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环江毛南族自治县洛阳镇中心小学2022年度部门决算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Cs/>
          <w:sz w:val="48"/>
          <w:szCs w:val="48"/>
          <w:highlight w:val="none"/>
          <w:lang w:val="en-US" w:eastAsia="zh-CN"/>
        </w:rPr>
      </w:pPr>
    </w:p>
    <w:p>
      <w:pPr>
        <w:jc w:val="center"/>
        <w:rPr>
          <w:rFonts w:hint="eastAsia" w:ascii="仿宋_GB2312" w:hAnsi="仿宋_GB2312" w:eastAsia="仿宋_GB2312" w:cs="仿宋_GB2312"/>
          <w:bCs/>
          <w:sz w:val="48"/>
          <w:szCs w:val="48"/>
          <w:highlight w:val="none"/>
          <w:lang w:val="en-US" w:eastAsia="zh-CN"/>
        </w:rPr>
      </w:pPr>
    </w:p>
    <w:p>
      <w:pPr>
        <w:jc w:val="center"/>
        <w:rPr>
          <w:rFonts w:hint="eastAsia" w:ascii="仿宋_GB2312" w:hAnsi="仿宋_GB2312" w:eastAsia="仿宋_GB2312" w:cs="仿宋_GB2312"/>
          <w:bCs/>
          <w:sz w:val="48"/>
          <w:szCs w:val="48"/>
          <w:highlight w:val="none"/>
          <w:lang w:val="en-US" w:eastAsia="zh-CN"/>
        </w:rPr>
      </w:pPr>
    </w:p>
    <w:p>
      <w:pPr>
        <w:jc w:val="center"/>
        <w:rPr>
          <w:rFonts w:ascii="仿宋" w:hAnsi="仿宋" w:eastAsia="仿宋" w:cs="仿宋"/>
          <w:sz w:val="32"/>
          <w:szCs w:val="32"/>
          <w:highlight w:val="none"/>
        </w:rPr>
      </w:pPr>
      <w:r>
        <w:rPr>
          <w:rFonts w:hint="eastAsia" w:ascii="仿宋_GB2312" w:hAnsi="仿宋_GB2312" w:eastAsia="仿宋_GB2312" w:cs="仿宋_GB2312"/>
          <w:bCs/>
          <w:sz w:val="48"/>
          <w:szCs w:val="48"/>
          <w:highlight w:val="none"/>
          <w:lang w:val="en-US" w:eastAsia="zh-CN"/>
        </w:rPr>
        <w:t>2023年10月</w:t>
      </w:r>
    </w:p>
    <w:p>
      <w:pPr>
        <w:jc w:val="both"/>
        <w:rPr>
          <w:rFonts w:hint="eastAsia" w:ascii="黑体" w:hAnsi="黑体" w:eastAsia="黑体" w:cs="黑体"/>
          <w:b/>
          <w:bCs/>
          <w:sz w:val="36"/>
          <w:szCs w:val="36"/>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环江毛南族自治县洛阳镇中心小学</w:t>
      </w:r>
      <w:r>
        <w:rPr>
          <w:rFonts w:hint="eastAsia" w:ascii="黑体" w:hAnsi="黑体" w:eastAsia="黑体" w:cs="黑体"/>
          <w:sz w:val="32"/>
          <w:szCs w:val="32"/>
          <w:highlight w:val="none"/>
        </w:rPr>
        <w:t>概况</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keepNext w:val="0"/>
        <w:keepLines w:val="0"/>
        <w:pageBreakBefore w:val="0"/>
        <w:widowControl w:val="0"/>
        <w:kinsoku/>
        <w:wordWrap/>
        <w:overflowPunct/>
        <w:topLinePunct w:val="0"/>
        <w:bidi w:val="0"/>
        <w:snapToGrid/>
        <w:spacing w:line="480" w:lineRule="exact"/>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环江毛南族自治县洛阳镇中心小学</w:t>
      </w:r>
      <w:r>
        <w:rPr>
          <w:rFonts w:hint="eastAsia" w:ascii="黑体" w:hAnsi="黑体" w:eastAsia="黑体" w:cs="黑体"/>
          <w:sz w:val="32"/>
          <w:szCs w:val="32"/>
          <w:highlight w:val="none"/>
        </w:rPr>
        <w:t>2022年度部门决算报表</w:t>
      </w:r>
    </w:p>
    <w:p>
      <w:pPr>
        <w:keepNext w:val="0"/>
        <w:keepLines w:val="0"/>
        <w:pageBreakBefore w:val="0"/>
        <w:widowControl w:val="0"/>
        <w:kinsoku/>
        <w:wordWrap/>
        <w:overflowPunct/>
        <w:topLinePunct w:val="0"/>
        <w:bidi w:val="0"/>
        <w:snapToGrid/>
        <w:spacing w:line="48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keepNext w:val="0"/>
        <w:keepLines w:val="0"/>
        <w:pageBreakBefore w:val="0"/>
        <w:widowControl w:val="0"/>
        <w:kinsoku/>
        <w:wordWrap/>
        <w:overflowPunct/>
        <w:topLinePunct w:val="0"/>
        <w:bidi w:val="0"/>
        <w:snapToGrid/>
        <w:spacing w:line="48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keepNext w:val="0"/>
        <w:keepLines w:val="0"/>
        <w:pageBreakBefore w:val="0"/>
        <w:widowControl w:val="0"/>
        <w:kinsoku/>
        <w:wordWrap/>
        <w:overflowPunct/>
        <w:topLinePunct w:val="0"/>
        <w:bidi w:val="0"/>
        <w:snapToGrid/>
        <w:spacing w:line="48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keepNext w:val="0"/>
        <w:keepLines w:val="0"/>
        <w:pageBreakBefore w:val="0"/>
        <w:widowControl w:val="0"/>
        <w:kinsoku/>
        <w:wordWrap/>
        <w:overflowPunct/>
        <w:topLinePunct w:val="0"/>
        <w:bidi w:val="0"/>
        <w:snapToGrid/>
        <w:spacing w:line="48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keepNext w:val="0"/>
        <w:keepLines w:val="0"/>
        <w:pageBreakBefore w:val="0"/>
        <w:widowControl w:val="0"/>
        <w:kinsoku/>
        <w:wordWrap/>
        <w:overflowPunct/>
        <w:topLinePunct w:val="0"/>
        <w:bidi w:val="0"/>
        <w:snapToGrid/>
        <w:spacing w:line="48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keepNext w:val="0"/>
        <w:keepLines w:val="0"/>
        <w:pageBreakBefore w:val="0"/>
        <w:widowControl w:val="0"/>
        <w:kinsoku/>
        <w:wordWrap/>
        <w:overflowPunct/>
        <w:topLinePunct w:val="0"/>
        <w:bidi w:val="0"/>
        <w:snapToGrid/>
        <w:spacing w:line="48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keepNext w:val="0"/>
        <w:keepLines w:val="0"/>
        <w:pageBreakBefore w:val="0"/>
        <w:widowControl w:val="0"/>
        <w:kinsoku/>
        <w:wordWrap/>
        <w:overflowPunct/>
        <w:topLinePunct w:val="0"/>
        <w:bidi w:val="0"/>
        <w:snapToGrid/>
        <w:spacing w:line="48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keepNext w:val="0"/>
        <w:keepLines w:val="0"/>
        <w:pageBreakBefore w:val="0"/>
        <w:widowControl w:val="0"/>
        <w:kinsoku/>
        <w:wordWrap/>
        <w:overflowPunct/>
        <w:topLinePunct w:val="0"/>
        <w:bidi w:val="0"/>
        <w:snapToGrid/>
        <w:spacing w:line="48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keepNext w:val="0"/>
        <w:keepLines w:val="0"/>
        <w:pageBreakBefore w:val="0"/>
        <w:widowControl w:val="0"/>
        <w:kinsoku/>
        <w:wordWrap/>
        <w:overflowPunct/>
        <w:topLinePunct w:val="0"/>
        <w:bidi w:val="0"/>
        <w:snapToGrid/>
        <w:spacing w:line="48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环江毛南族自治县洛阳镇中心小学</w:t>
      </w:r>
      <w:r>
        <w:rPr>
          <w:rFonts w:hint="eastAsia" w:ascii="黑体" w:hAnsi="黑体" w:eastAsia="黑体" w:cs="黑体"/>
          <w:sz w:val="32"/>
          <w:szCs w:val="32"/>
          <w:highlight w:val="none"/>
        </w:rPr>
        <w:t>2022年度部门决算情况说明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keepNext w:val="0"/>
        <w:keepLines w:val="0"/>
        <w:pageBreakBefore w:val="0"/>
        <w:widowControl w:val="0"/>
        <w:kinsoku/>
        <w:wordWrap/>
        <w:overflowPunct/>
        <w:topLinePunct w:val="0"/>
        <w:bidi w:val="0"/>
        <w:snapToGrid/>
        <w:spacing w:line="480" w:lineRule="exact"/>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center"/>
        <w:rPr>
          <w:rFonts w:hint="eastAsia" w:ascii="黑体" w:hAnsi="黑体" w:eastAsia="黑体" w:cs="黑体"/>
          <w:b/>
          <w:bCs/>
          <w:sz w:val="32"/>
          <w:szCs w:val="32"/>
          <w:highlight w:val="none"/>
        </w:rPr>
        <w:sectPr>
          <w:pgSz w:w="11906" w:h="16838"/>
          <w:pgMar w:top="1440" w:right="1800" w:bottom="1440" w:left="1800" w:header="851" w:footer="992" w:gutter="0"/>
          <w:cols w:space="425" w:num="1"/>
          <w:docGrid w:type="lines" w:linePitch="312" w:charSpace="0"/>
        </w:sectPr>
      </w:pP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环江毛南族自治县洛阳镇中心小学</w:t>
      </w:r>
      <w:r>
        <w:rPr>
          <w:rFonts w:hint="eastAsia" w:ascii="黑体" w:hAnsi="黑体" w:eastAsia="黑体" w:cs="黑体"/>
          <w:b/>
          <w:bCs/>
          <w:sz w:val="32"/>
          <w:szCs w:val="32"/>
          <w:highlight w:val="none"/>
        </w:rPr>
        <w:t>概况</w:t>
      </w:r>
    </w:p>
    <w:p>
      <w:pPr>
        <w:keepNext w:val="0"/>
        <w:keepLines w:val="0"/>
        <w:pageBreakBefore w:val="0"/>
        <w:widowControl w:val="0"/>
        <w:kinsoku/>
        <w:wordWrap/>
        <w:overflowPunct/>
        <w:topLinePunct w:val="0"/>
        <w:autoSpaceDE/>
        <w:autoSpaceDN/>
        <w:bidi w:val="0"/>
        <w:adjustRightInd/>
        <w:snapToGrid/>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（一）贯彻执行党和国家的教育方针、政策和法律法规；拟订全</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教育改革与发展规划并组织实施。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（二）编制本</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教育事业发展规划并检查实施情况。</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（三）督促检查全</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贯彻执行教育方针、政策、法令</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法规和上级的各项规定；评估指导全</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教育教学工作。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（四）负责推进</w:t>
      </w:r>
      <w:r>
        <w:rPr>
          <w:rFonts w:hint="eastAsia" w:ascii="仿宋_GB2312" w:eastAsia="仿宋_GB2312" w:cs="仿宋_GB2312"/>
          <w:kern w:val="0"/>
          <w:sz w:val="32"/>
          <w:szCs w:val="32"/>
          <w:lang w:val="en-US" w:eastAsia="zh-CN"/>
        </w:rPr>
        <w:t>全镇</w:t>
      </w:r>
      <w:r>
        <w:rPr>
          <w:rFonts w:hint="eastAsia" w:ascii="仿宋_GB2312" w:eastAsia="仿宋_GB2312" w:cs="仿宋_GB2312"/>
          <w:kern w:val="0"/>
          <w:sz w:val="32"/>
          <w:szCs w:val="32"/>
        </w:rPr>
        <w:t>义务教育均衡发展和促进教育公平，负责义务教育的宏观指导与协调。</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（五）负责全</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教育系统校长队伍、人才队伍和教师队伍建设，包括校长岗位培训、后备干部队伍建设、教师学历教育、继续教育等。</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（六）负责组织全</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做好</w:t>
      </w:r>
      <w:r>
        <w:rPr>
          <w:rFonts w:hint="eastAsia" w:ascii="仿宋_GB2312" w:eastAsia="仿宋_GB2312" w:cs="仿宋_GB2312"/>
          <w:kern w:val="0"/>
          <w:sz w:val="32"/>
          <w:szCs w:val="32"/>
          <w:lang w:val="en-US" w:eastAsia="zh-CN"/>
        </w:rPr>
        <w:t>一年级新生</w:t>
      </w:r>
      <w:r>
        <w:rPr>
          <w:rFonts w:hint="eastAsia" w:ascii="仿宋_GB2312" w:eastAsia="仿宋_GB2312" w:cs="仿宋_GB2312"/>
          <w:kern w:val="0"/>
          <w:sz w:val="32"/>
          <w:szCs w:val="32"/>
        </w:rPr>
        <w:t>招生录取工作和中小学学籍管理工作。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（七）按照中央关于全面推进素质教育要求，负责教育教学管理、教育教学改革及教育教学科学研究工作，检查指导全</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实施素质教育工作，并组织推广先进的教育教学经验。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（八）检查指导</w:t>
      </w:r>
      <w:r>
        <w:rPr>
          <w:rFonts w:hint="eastAsia" w:ascii="仿宋_GB2312" w:eastAsia="仿宋_GB2312" w:cs="仿宋_GB2312"/>
          <w:kern w:val="0"/>
          <w:sz w:val="32"/>
          <w:szCs w:val="32"/>
          <w:lang w:val="en-US" w:eastAsia="zh-CN"/>
        </w:rPr>
        <w:t>各</w:t>
      </w:r>
      <w:r>
        <w:rPr>
          <w:rFonts w:hint="eastAsia" w:ascii="仿宋_GB2312" w:eastAsia="仿宋_GB2312" w:cs="仿宋_GB2312"/>
          <w:kern w:val="0"/>
          <w:sz w:val="32"/>
          <w:szCs w:val="32"/>
        </w:rPr>
        <w:t>学校教育教学设备的装备、管理和使用工作。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（九）检查指导全</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开展信息化教学工作。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（十）负责全</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教师初</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中、高级专业技术职务资格的申报工作。按照管理权限对教师进行考核、聘任、奖惩、晋升等工作。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（十一）负责监督审计全</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教育经费和教育基建经费拨付、管理与使用工作。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（十二）负责全</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中小学校教学教育常规管理评估工作，指导全</w:t>
      </w:r>
      <w:r>
        <w:rPr>
          <w:rFonts w:hint="eastAsia" w:ascii="仿宋_GB2312" w:eastAsia="仿宋_GB2312" w:cs="仿宋_GB2312"/>
          <w:kern w:val="0"/>
          <w:sz w:val="32"/>
          <w:szCs w:val="32"/>
          <w:lang w:val="en-US" w:eastAsia="zh-CN"/>
        </w:rPr>
        <w:t>镇各学校</w:t>
      </w:r>
      <w:r>
        <w:rPr>
          <w:rFonts w:hint="eastAsia" w:ascii="仿宋_GB2312" w:eastAsia="仿宋_GB2312" w:cs="仿宋_GB2312"/>
          <w:kern w:val="0"/>
          <w:sz w:val="32"/>
          <w:szCs w:val="32"/>
        </w:rPr>
        <w:t>德育、体育、卫生、艺术、安全工作以及少先队工作。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（十三）负责指导全</w:t>
      </w:r>
      <w:r>
        <w:rPr>
          <w:rFonts w:hint="eastAsia" w:ascii="仿宋_GB2312" w:eastAsia="仿宋_GB2312" w:cs="仿宋_GB2312"/>
          <w:kern w:val="0"/>
          <w:sz w:val="32"/>
          <w:szCs w:val="32"/>
          <w:lang w:val="en-US" w:eastAsia="zh-CN"/>
        </w:rPr>
        <w:t>镇</w:t>
      </w:r>
      <w:r>
        <w:rPr>
          <w:rFonts w:hint="eastAsia" w:ascii="仿宋_GB2312" w:eastAsia="仿宋_GB2312" w:cs="仿宋_GB2312"/>
          <w:kern w:val="0"/>
          <w:sz w:val="32"/>
          <w:szCs w:val="32"/>
        </w:rPr>
        <w:t>学生资助管理工作。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四</w:t>
      </w:r>
      <w:r>
        <w:rPr>
          <w:rFonts w:hint="eastAsia" w:ascii="仿宋_GB2312" w:eastAsia="仿宋_GB2312" w:cs="仿宋_GB2312"/>
          <w:kern w:val="0"/>
          <w:sz w:val="32"/>
          <w:szCs w:val="32"/>
        </w:rPr>
        <w:t>）完成</w:t>
      </w:r>
      <w:r>
        <w:rPr>
          <w:rFonts w:hint="eastAsia" w:ascii="仿宋_GB2312" w:eastAsia="仿宋_GB2312" w:cs="仿宋_GB2312"/>
          <w:kern w:val="0"/>
          <w:sz w:val="32"/>
          <w:szCs w:val="32"/>
          <w:lang w:val="en-US" w:eastAsia="zh-CN"/>
        </w:rPr>
        <w:t>上级各部门</w:t>
      </w:r>
      <w:r>
        <w:rPr>
          <w:rFonts w:hint="eastAsia" w:ascii="仿宋_GB2312" w:eastAsia="仿宋_GB2312" w:cs="仿宋_GB2312"/>
          <w:kern w:val="0"/>
          <w:sz w:val="32"/>
          <w:szCs w:val="32"/>
        </w:rPr>
        <w:t>交办的其他工作</w:t>
      </w:r>
      <w:r>
        <w:rPr>
          <w:rFonts w:hint="eastAsia" w:ascii="仿宋_GB2312" w:eastAsia="仿宋_GB2312" w:cs="仿宋_GB2312"/>
          <w:kern w:val="0"/>
          <w:sz w:val="32"/>
          <w:szCs w:val="32"/>
          <w:lang w:val="en-US" w:eastAsia="zh-CN"/>
        </w:rPr>
        <w:t>任务</w:t>
      </w:r>
      <w:r>
        <w:rPr>
          <w:rFonts w:hint="eastAsia" w:ascii="仿宋_GB2312" w:eastAsia="仿宋_GB2312" w:cs="仿宋_GB2312"/>
          <w:kern w:val="0"/>
          <w:sz w:val="32"/>
          <w:szCs w:val="32"/>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宋体" w:hAnsi="宋体" w:cs="宋体"/>
          <w:b/>
          <w:bCs/>
          <w:color w:val="333333"/>
          <w:sz w:val="28"/>
          <w:szCs w:val="28"/>
        </w:rPr>
      </w:pPr>
      <w:r>
        <w:rPr>
          <w:rFonts w:hint="eastAsia" w:ascii="宋体" w:hAnsi="宋体" w:cs="宋体"/>
          <w:b/>
          <w:bCs/>
          <w:color w:val="333333"/>
          <w:sz w:val="28"/>
          <w:szCs w:val="28"/>
        </w:rPr>
        <w:t>（一）内设机构情况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val="en-US" w:eastAsia="zh-CN"/>
        </w:rPr>
        <w:t>洛阳镇中心小学</w:t>
      </w:r>
      <w:r>
        <w:rPr>
          <w:rFonts w:hint="eastAsia" w:ascii="仿宋_GB2312" w:eastAsia="仿宋_GB2312" w:cs="仿宋_GB2312"/>
          <w:kern w:val="0"/>
          <w:sz w:val="32"/>
          <w:szCs w:val="32"/>
        </w:rPr>
        <w:t>有</w:t>
      </w:r>
      <w:r>
        <w:rPr>
          <w:rFonts w:hint="eastAsia" w:ascii="仿宋_GB2312" w:eastAsia="仿宋_GB2312" w:cs="仿宋_GB2312"/>
          <w:kern w:val="0"/>
          <w:sz w:val="32"/>
          <w:szCs w:val="32"/>
          <w:lang w:eastAsia="zh-CN"/>
        </w:rPr>
        <w:t>三</w:t>
      </w:r>
      <w:r>
        <w:rPr>
          <w:rFonts w:hint="eastAsia" w:ascii="仿宋_GB2312" w:eastAsia="仿宋_GB2312" w:cs="仿宋_GB2312"/>
          <w:kern w:val="0"/>
          <w:sz w:val="32"/>
          <w:szCs w:val="32"/>
        </w:rPr>
        <w:t>个内设机构，分别为：行政办、</w:t>
      </w:r>
      <w:r>
        <w:rPr>
          <w:rFonts w:hint="eastAsia" w:ascii="仿宋_GB2312" w:eastAsia="仿宋_GB2312" w:cs="仿宋_GB2312"/>
          <w:kern w:val="0"/>
          <w:sz w:val="32"/>
          <w:szCs w:val="32"/>
          <w:lang w:val="en-US" w:eastAsia="zh-CN"/>
        </w:rPr>
        <w:t>教研</w:t>
      </w:r>
      <w:r>
        <w:rPr>
          <w:rFonts w:hint="eastAsia" w:ascii="仿宋_GB2312" w:eastAsia="仿宋_GB2312" w:cs="仿宋_GB2312"/>
          <w:kern w:val="0"/>
          <w:sz w:val="32"/>
          <w:szCs w:val="32"/>
          <w:lang w:eastAsia="zh-CN"/>
        </w:rPr>
        <w:t>办</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账务办</w:t>
      </w:r>
      <w:r>
        <w:rPr>
          <w:rFonts w:hint="eastAsia" w:asci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宋体" w:hAnsi="宋体" w:cs="宋体"/>
          <w:b/>
          <w:bCs/>
          <w:color w:val="333333"/>
          <w:sz w:val="28"/>
          <w:szCs w:val="28"/>
        </w:rPr>
      </w:pPr>
      <w:r>
        <w:rPr>
          <w:rFonts w:hint="eastAsia" w:ascii="宋体" w:hAnsi="宋体" w:cs="宋体"/>
          <w:b/>
          <w:bCs/>
          <w:color w:val="333333"/>
          <w:sz w:val="28"/>
          <w:szCs w:val="28"/>
        </w:rPr>
        <w:t>（</w:t>
      </w:r>
      <w:r>
        <w:rPr>
          <w:rFonts w:hint="eastAsia" w:ascii="宋体" w:hAnsi="宋体" w:cs="宋体"/>
          <w:b/>
          <w:bCs/>
          <w:color w:val="333333"/>
          <w:sz w:val="28"/>
          <w:szCs w:val="28"/>
          <w:lang w:val="en-US" w:eastAsia="zh-CN"/>
        </w:rPr>
        <w:t>二</w:t>
      </w:r>
      <w:r>
        <w:rPr>
          <w:rFonts w:hint="eastAsia" w:ascii="宋体" w:hAnsi="宋体" w:cs="宋体"/>
          <w:b/>
          <w:bCs/>
          <w:color w:val="333333"/>
          <w:sz w:val="28"/>
          <w:szCs w:val="28"/>
        </w:rPr>
        <w:t>）下属机构情况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eastAsia="仿宋_GB2312" w:cs="仿宋_GB2312"/>
          <w:kern w:val="0"/>
          <w:sz w:val="32"/>
          <w:szCs w:val="32"/>
          <w:lang w:val="en-US" w:eastAsia="zh-CN"/>
        </w:rPr>
        <w:t>洛阳镇中心小学</w:t>
      </w:r>
      <w:r>
        <w:rPr>
          <w:rFonts w:hint="eastAsia" w:ascii="仿宋_GB2312" w:eastAsia="仿宋_GB2312" w:cs="仿宋_GB2312"/>
          <w:kern w:val="0"/>
          <w:sz w:val="32"/>
          <w:szCs w:val="32"/>
        </w:rPr>
        <w:t>下属机构有</w:t>
      </w:r>
      <w:r>
        <w:rPr>
          <w:rFonts w:hint="eastAsia" w:ascii="仿宋_GB2312" w:eastAsia="仿宋_GB2312" w:cs="仿宋_GB2312"/>
          <w:kern w:val="0"/>
          <w:sz w:val="32"/>
          <w:szCs w:val="32"/>
          <w:lang w:val="en-US" w:eastAsia="zh-CN"/>
        </w:rPr>
        <w:t>11</w:t>
      </w:r>
      <w:r>
        <w:rPr>
          <w:rFonts w:hint="eastAsia" w:ascii="仿宋_GB2312" w:eastAsia="仿宋_GB2312" w:cs="仿宋_GB2312"/>
          <w:kern w:val="0"/>
          <w:sz w:val="32"/>
          <w:szCs w:val="32"/>
        </w:rPr>
        <w:t>个，其中</w:t>
      </w:r>
      <w:r>
        <w:rPr>
          <w:rFonts w:hint="eastAsia" w:ascii="仿宋_GB2312" w:eastAsia="仿宋_GB2312" w:cs="仿宋_GB2312"/>
          <w:kern w:val="0"/>
          <w:sz w:val="32"/>
          <w:szCs w:val="32"/>
          <w:lang w:val="en-US" w:eastAsia="zh-CN"/>
        </w:rPr>
        <w:t>完全小学2</w:t>
      </w:r>
      <w:r>
        <w:rPr>
          <w:rFonts w:hint="eastAsia" w:ascii="仿宋_GB2312" w:eastAsia="仿宋_GB2312" w:cs="仿宋_GB2312"/>
          <w:kern w:val="0"/>
          <w:sz w:val="32"/>
          <w:szCs w:val="32"/>
        </w:rPr>
        <w:t>个，</w:t>
      </w:r>
      <w:r>
        <w:rPr>
          <w:rFonts w:hint="eastAsia" w:ascii="仿宋_GB2312" w:eastAsia="仿宋_GB2312" w:cs="仿宋_GB2312"/>
          <w:kern w:val="0"/>
          <w:sz w:val="32"/>
          <w:szCs w:val="32"/>
          <w:lang w:val="en-US" w:eastAsia="zh-CN"/>
        </w:rPr>
        <w:t>洛阳镇中心校和洛阳镇第二小学。教学点9</w:t>
      </w:r>
      <w:r>
        <w:rPr>
          <w:rFonts w:hint="eastAsia" w:ascii="仿宋_GB2312" w:eastAsia="仿宋_GB2312" w:cs="仿宋_GB2312"/>
          <w:kern w:val="0"/>
          <w:sz w:val="32"/>
          <w:szCs w:val="32"/>
        </w:rPr>
        <w:t>个</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分别是合作教学点、大联教学点、凤凰教学点、妙石教学点、大福教学点、普乐教学点、大吉教学点、雅钢教学点、文雅教学点。</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环江毛南族自治县洛阳镇中心小学</w:t>
      </w:r>
      <w:r>
        <w:rPr>
          <w:rFonts w:hint="eastAsia" w:ascii="黑体" w:hAnsi="黑体" w:eastAsia="黑体" w:cs="黑体"/>
          <w:sz w:val="32"/>
          <w:szCs w:val="32"/>
          <w:highlight w:val="none"/>
        </w:rPr>
        <w:t xml:space="preserve"> 2022年度部门决算报表</w:t>
      </w:r>
    </w:p>
    <w:tbl>
      <w:tblPr>
        <w:tblStyle w:val="6"/>
        <w:tblW w:w="11062" w:type="dxa"/>
        <w:jc w:val="center"/>
        <w:tblLayout w:type="fixed"/>
        <w:tblCellMar>
          <w:top w:w="0" w:type="dxa"/>
          <w:left w:w="108" w:type="dxa"/>
          <w:bottom w:w="0" w:type="dxa"/>
          <w:right w:w="108" w:type="dxa"/>
        </w:tblCellMar>
      </w:tblPr>
      <w:tblGrid>
        <w:gridCol w:w="2006"/>
        <w:gridCol w:w="1888"/>
        <w:gridCol w:w="1759"/>
        <w:gridCol w:w="2105"/>
        <w:gridCol w:w="1737"/>
        <w:gridCol w:w="1567"/>
      </w:tblGrid>
      <w:tr>
        <w:tblPrEx>
          <w:tblCellMar>
            <w:top w:w="0" w:type="dxa"/>
            <w:left w:w="108" w:type="dxa"/>
            <w:bottom w:w="0" w:type="dxa"/>
            <w:right w:w="108" w:type="dxa"/>
          </w:tblCellMar>
        </w:tblPrEx>
        <w:trPr>
          <w:trHeight w:val="600" w:hRule="atLeast"/>
          <w:jc w:val="center"/>
        </w:trPr>
        <w:tc>
          <w:tcPr>
            <w:tcW w:w="11062"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243" w:hRule="atLeast"/>
          <w:jc w:val="center"/>
        </w:trPr>
        <w:tc>
          <w:tcPr>
            <w:tcW w:w="20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8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6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243" w:hRule="atLeast"/>
          <w:jc w:val="center"/>
        </w:trPr>
        <w:tc>
          <w:tcPr>
            <w:tcW w:w="5653"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环江毛南族自治县洛阳镇中心小学</w:t>
            </w:r>
          </w:p>
        </w:tc>
        <w:tc>
          <w:tcPr>
            <w:tcW w:w="2105"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67"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50" w:hRule="atLeast"/>
          <w:jc w:val="center"/>
        </w:trPr>
        <w:tc>
          <w:tcPr>
            <w:tcW w:w="565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540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8"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r>
              <w:rPr>
                <w:rFonts w:hint="eastAsia"/>
                <w:sz w:val="13"/>
                <w:szCs w:val="13"/>
                <w:highlight w:val="none"/>
              </w:rPr>
              <w:t>一、一般公共预算财政拨款收入</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3715.41</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一、一般公共服务支出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39.96</w:t>
            </w:r>
          </w:p>
        </w:tc>
      </w:tr>
      <w:tr>
        <w:tblPrEx>
          <w:tblCellMar>
            <w:top w:w="0" w:type="dxa"/>
            <w:left w:w="108" w:type="dxa"/>
            <w:bottom w:w="0" w:type="dxa"/>
            <w:right w:w="108" w:type="dxa"/>
          </w:tblCellMar>
        </w:tblPrEx>
        <w:trPr>
          <w:trHeight w:val="328"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1"/>
                <w:szCs w:val="11"/>
                <w:highlight w:val="none"/>
              </w:rPr>
            </w:pPr>
            <w:r>
              <w:rPr>
                <w:rFonts w:hint="eastAsia"/>
                <w:sz w:val="11"/>
                <w:szCs w:val="11"/>
                <w:highlight w:val="none"/>
              </w:rPr>
              <w:t>二、政府性基金预算财政拨款收入</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二、外交支出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02"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r>
              <w:rPr>
                <w:rFonts w:hint="eastAsia"/>
                <w:sz w:val="11"/>
                <w:szCs w:val="11"/>
                <w:highlight w:val="none"/>
              </w:rPr>
              <w:t>三、国有资本经营预算财政拨款收入</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三、国防支出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r>
              <w:rPr>
                <w:rFonts w:hint="eastAsia"/>
                <w:sz w:val="13"/>
                <w:szCs w:val="13"/>
                <w:highlight w:val="none"/>
              </w:rPr>
              <w:t>四、上级补助收入</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四、公共安全支出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r>
              <w:rPr>
                <w:rFonts w:hint="eastAsia"/>
                <w:sz w:val="13"/>
                <w:szCs w:val="13"/>
                <w:highlight w:val="none"/>
              </w:rPr>
              <w:t>五、事业收入</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五、教育支出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2773.43</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r>
              <w:rPr>
                <w:rFonts w:hint="eastAsia"/>
                <w:sz w:val="13"/>
                <w:szCs w:val="13"/>
                <w:highlight w:val="none"/>
              </w:rPr>
              <w:t>六、经营收入</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六、科学技术支出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4"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r>
              <w:rPr>
                <w:rFonts w:hint="eastAsia"/>
                <w:sz w:val="13"/>
                <w:szCs w:val="13"/>
                <w:highlight w:val="none"/>
              </w:rPr>
              <w:t>七、附属单位上缴收入</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七、文化旅游体育与传媒支出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6"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r>
              <w:rPr>
                <w:rFonts w:hint="eastAsia"/>
                <w:sz w:val="13"/>
                <w:szCs w:val="13"/>
                <w:highlight w:val="none"/>
              </w:rPr>
              <w:t>八、其他收入</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八、社会保障和就业支出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280.40</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九、卫生健康支出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十、节能环保支出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十一、城乡社区支出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十二、农林水支出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十三、交通运输支出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9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十四、资源勘探工业信息等支出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十五、商业服务业等支出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十六、金融支出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02"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十七、援助其他地区支出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14"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十八、自然资源海洋气象等支出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十九、住房保障支出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209.05</w:t>
            </w:r>
          </w:p>
        </w:tc>
      </w:tr>
      <w:tr>
        <w:tblPrEx>
          <w:tblCellMar>
            <w:top w:w="0" w:type="dxa"/>
            <w:left w:w="108" w:type="dxa"/>
            <w:bottom w:w="0" w:type="dxa"/>
            <w:right w:w="108" w:type="dxa"/>
          </w:tblCellMar>
        </w:tblPrEx>
        <w:trPr>
          <w:trHeight w:val="302"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二十、粮油物资储备支出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9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二十一、国有资本经营预算支出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02"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二十二、灾害防治及应急管理支出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6"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二十三、其他支出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413.77</w:t>
            </w:r>
          </w:p>
        </w:tc>
      </w:tr>
      <w:tr>
        <w:tblPrEx>
          <w:tblCellMar>
            <w:top w:w="0" w:type="dxa"/>
            <w:left w:w="108" w:type="dxa"/>
            <w:bottom w:w="0" w:type="dxa"/>
            <w:right w:w="108" w:type="dxa"/>
          </w:tblCellMar>
        </w:tblPrEx>
        <w:trPr>
          <w:trHeight w:val="9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二十四、债务还本支出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44"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二十五、债务付息支出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18"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二十六、抗疫特别国债安排的支出</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5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r>
              <w:rPr>
                <w:rFonts w:hint="eastAsia"/>
                <w:sz w:val="13"/>
                <w:szCs w:val="13"/>
                <w:highlight w:val="none"/>
              </w:rPr>
              <w:t>本年收入合计</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3716.61</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本年支出合计</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3716.61</w:t>
            </w:r>
          </w:p>
        </w:tc>
      </w:tr>
      <w:tr>
        <w:tblPrEx>
          <w:tblCellMar>
            <w:top w:w="0" w:type="dxa"/>
            <w:left w:w="108" w:type="dxa"/>
            <w:bottom w:w="0" w:type="dxa"/>
            <w:right w:w="108" w:type="dxa"/>
          </w:tblCellMar>
        </w:tblPrEx>
        <w:trPr>
          <w:trHeight w:val="29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r>
              <w:rPr>
                <w:rFonts w:hint="eastAsia"/>
                <w:sz w:val="13"/>
                <w:szCs w:val="13"/>
                <w:highlight w:val="none"/>
              </w:rPr>
              <w:t>使用非财政拨款结余</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结余分配</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30"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r>
              <w:rPr>
                <w:rFonts w:hint="eastAsia"/>
                <w:sz w:val="13"/>
                <w:szCs w:val="13"/>
                <w:highlight w:val="none"/>
              </w:rPr>
              <w:t>年初结转和结余</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年末结转和结余</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94"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4" w:hRule="atLeast"/>
          <w:jc w:val="center"/>
        </w:trPr>
        <w:tc>
          <w:tcPr>
            <w:tcW w:w="2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3"/>
                <w:szCs w:val="13"/>
                <w:highlight w:val="none"/>
              </w:rPr>
            </w:pPr>
            <w:r>
              <w:rPr>
                <w:rFonts w:hint="eastAsia"/>
                <w:sz w:val="13"/>
                <w:szCs w:val="13"/>
                <w:highlight w:val="none"/>
              </w:rPr>
              <w:t>总计</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17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3716.61</w:t>
            </w:r>
          </w:p>
        </w:tc>
        <w:tc>
          <w:tcPr>
            <w:tcW w:w="2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eastAsia" w:ascii="宋体" w:hAnsi="宋体" w:eastAsia="宋体" w:cs="宋体"/>
                <w:color w:val="000000"/>
                <w:kern w:val="0"/>
                <w:sz w:val="13"/>
                <w:szCs w:val="13"/>
                <w:highlight w:val="none"/>
                <w:lang w:bidi="ar"/>
              </w:rPr>
              <w:t>总计</w:t>
            </w: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3716.61</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t>注：1.本表反映部门本年度的总收支和年末结转结余情况。</w:t>
      </w:r>
      <w:r>
        <w:rPr>
          <w:rFonts w:hint="eastAsia" w:ascii="宋体" w:hAnsi="宋体" w:eastAsia="宋体" w:cs="宋体"/>
          <w:color w:val="000000"/>
          <w:kern w:val="0"/>
          <w:sz w:val="30"/>
          <w:szCs w:val="30"/>
          <w:highlight w:val="none"/>
          <w:lang w:bidi="ar"/>
        </w:rPr>
        <w:br w:type="page"/>
      </w:r>
    </w:p>
    <w:tbl>
      <w:tblPr>
        <w:tblStyle w:val="6"/>
        <w:tblW w:w="10140" w:type="dxa"/>
        <w:jc w:val="center"/>
        <w:tblLayout w:type="fixed"/>
        <w:tblCellMar>
          <w:top w:w="0" w:type="dxa"/>
          <w:left w:w="108" w:type="dxa"/>
          <w:bottom w:w="0" w:type="dxa"/>
          <w:right w:w="108" w:type="dxa"/>
        </w:tblCellMar>
      </w:tblPr>
      <w:tblGrid>
        <w:gridCol w:w="1135"/>
        <w:gridCol w:w="971"/>
        <w:gridCol w:w="236"/>
        <w:gridCol w:w="236"/>
        <w:gridCol w:w="376"/>
        <w:gridCol w:w="1090"/>
        <w:gridCol w:w="1042"/>
        <w:gridCol w:w="984"/>
        <w:gridCol w:w="1052"/>
        <w:gridCol w:w="1062"/>
        <w:gridCol w:w="1033"/>
        <w:gridCol w:w="923"/>
      </w:tblGrid>
      <w:tr>
        <w:tblPrEx>
          <w:tblCellMar>
            <w:top w:w="0" w:type="dxa"/>
            <w:left w:w="108" w:type="dxa"/>
            <w:bottom w:w="0" w:type="dxa"/>
            <w:right w:w="108" w:type="dxa"/>
          </w:tblCellMar>
        </w:tblPrEx>
        <w:trPr>
          <w:trHeight w:val="679" w:hRule="atLeast"/>
          <w:jc w:val="center"/>
        </w:trPr>
        <w:tc>
          <w:tcPr>
            <w:tcW w:w="1014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170" w:hRule="atLeast"/>
          <w:jc w:val="center"/>
        </w:trPr>
        <w:tc>
          <w:tcPr>
            <w:tcW w:w="2106"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7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8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5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170" w:hRule="atLeast"/>
          <w:jc w:val="center"/>
        </w:trPr>
        <w:tc>
          <w:tcPr>
            <w:tcW w:w="5086"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环江毛南族自治县洛阳镇中心小学</w:t>
            </w:r>
          </w:p>
        </w:tc>
        <w:tc>
          <w:tcPr>
            <w:tcW w:w="984"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175" w:hRule="atLeast"/>
          <w:jc w:val="center"/>
        </w:trPr>
        <w:tc>
          <w:tcPr>
            <w:tcW w:w="295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0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0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0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0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0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9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12" w:hRule="atLeast"/>
          <w:jc w:val="center"/>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19"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0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19"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19"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175" w:hRule="atLeast"/>
          <w:jc w:val="center"/>
        </w:trPr>
        <w:tc>
          <w:tcPr>
            <w:tcW w:w="295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175" w:hRule="atLeast"/>
          <w:jc w:val="center"/>
        </w:trPr>
        <w:tc>
          <w:tcPr>
            <w:tcW w:w="295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3716.61</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3716.61</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4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39.96</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39.96</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39.96</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39.96</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39.96</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39.96</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2773.43</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2773.43</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2770.49</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2770.49</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2641.36</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2641.36</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129.13</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129.13</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2.52</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2.52</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2.52</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2.52</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20599</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其他教育支出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0.43</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0.43</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2059999</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0.43</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0.43</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280.40</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280.40</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280.40</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280.40</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1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280.40</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280.40</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209.05</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209.05</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209.05</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209.05</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209.05</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209.05</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413.77</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413.77</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default" w:ascii="宋体" w:hAnsi="宋体" w:eastAsia="宋体" w:cs="宋体"/>
                <w:color w:val="000000"/>
                <w:kern w:val="0"/>
                <w:sz w:val="13"/>
                <w:szCs w:val="13"/>
                <w:highlight w:val="none"/>
                <w:lang w:bidi="ar"/>
              </w:rPr>
              <w:t>彩票公益金安排的支出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default" w:ascii="宋体" w:hAnsi="宋体" w:eastAsia="宋体" w:cs="宋体"/>
                <w:color w:val="000000"/>
                <w:kern w:val="0"/>
                <w:sz w:val="11"/>
                <w:szCs w:val="11"/>
                <w:highlight w:val="none"/>
                <w:lang w:bidi="ar"/>
              </w:rPr>
              <w:t>用于教育事业的彩票公益金支出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412.57</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412.57</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18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412.57</w:t>
            </w:r>
          </w:p>
        </w:tc>
        <w:tc>
          <w:tcPr>
            <w:tcW w:w="10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412.57</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0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75" w:hRule="atLeast"/>
          <w:jc w:val="center"/>
        </w:trPr>
        <w:tc>
          <w:tcPr>
            <w:tcW w:w="1014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tbl>
      <w:tblPr>
        <w:tblStyle w:val="6"/>
        <w:tblW w:w="10260" w:type="dxa"/>
        <w:jc w:val="center"/>
        <w:tblLayout w:type="fixed"/>
        <w:tblCellMar>
          <w:top w:w="0" w:type="dxa"/>
          <w:left w:w="108" w:type="dxa"/>
          <w:bottom w:w="0" w:type="dxa"/>
          <w:right w:w="108" w:type="dxa"/>
        </w:tblCellMar>
      </w:tblPr>
      <w:tblGrid>
        <w:gridCol w:w="827"/>
        <w:gridCol w:w="240"/>
        <w:gridCol w:w="166"/>
        <w:gridCol w:w="69"/>
        <w:gridCol w:w="1691"/>
        <w:gridCol w:w="1105"/>
        <w:gridCol w:w="1221"/>
        <w:gridCol w:w="1279"/>
        <w:gridCol w:w="1202"/>
        <w:gridCol w:w="1202"/>
        <w:gridCol w:w="1258"/>
      </w:tblGrid>
      <w:tr>
        <w:tblPrEx>
          <w:tblCellMar>
            <w:top w:w="0" w:type="dxa"/>
            <w:left w:w="108" w:type="dxa"/>
            <w:bottom w:w="0" w:type="dxa"/>
            <w:right w:w="108" w:type="dxa"/>
          </w:tblCellMar>
        </w:tblPrEx>
        <w:trPr>
          <w:trHeight w:val="659" w:hRule="atLeast"/>
          <w:jc w:val="center"/>
        </w:trPr>
        <w:tc>
          <w:tcPr>
            <w:tcW w:w="1026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29" w:hRule="atLeast"/>
          <w:jc w:val="center"/>
        </w:trPr>
        <w:tc>
          <w:tcPr>
            <w:tcW w:w="8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5"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91"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5"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21"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79"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0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0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58"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659" w:hRule="atLeast"/>
          <w:jc w:val="center"/>
        </w:trPr>
        <w:tc>
          <w:tcPr>
            <w:tcW w:w="6598"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环江毛南族自治县洛阳镇中心小学</w:t>
            </w:r>
          </w:p>
        </w:tc>
        <w:tc>
          <w:tcPr>
            <w:tcW w:w="1202"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02"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58"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40" w:hRule="atLeast"/>
          <w:jc w:val="center"/>
        </w:trPr>
        <w:tc>
          <w:tcPr>
            <w:tcW w:w="299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1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2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2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2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40" w:hRule="atLeast"/>
          <w:jc w:val="center"/>
        </w:trPr>
        <w:tc>
          <w:tcPr>
            <w:tcW w:w="123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76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40" w:hRule="atLeast"/>
          <w:jc w:val="center"/>
        </w:trPr>
        <w:tc>
          <w:tcPr>
            <w:tcW w:w="12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40" w:hRule="atLeast"/>
          <w:jc w:val="center"/>
        </w:trPr>
        <w:tc>
          <w:tcPr>
            <w:tcW w:w="12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40" w:hRule="atLeast"/>
          <w:jc w:val="center"/>
        </w:trPr>
        <w:tc>
          <w:tcPr>
            <w:tcW w:w="299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2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340" w:hRule="atLeast"/>
          <w:jc w:val="center"/>
        </w:trPr>
        <w:tc>
          <w:tcPr>
            <w:tcW w:w="299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3716.61</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3395.19</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321.42</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669"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39.96</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39.96</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39.96</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39.96</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69"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39.96</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39.96</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2773.43</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2632.22</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141.21</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2770.49</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2632.22</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138.27</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2641.36</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2632.22</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9.14</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419"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default" w:ascii="宋体" w:hAnsi="宋体" w:eastAsia="宋体" w:cs="宋体"/>
                <w:color w:val="000000"/>
                <w:kern w:val="0"/>
                <w:sz w:val="13"/>
                <w:szCs w:val="13"/>
                <w:highlight w:val="none"/>
                <w:lang w:bidi="ar"/>
              </w:rPr>
              <w:t xml:space="preserve">  其他普通教育支出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129.13</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129.13</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455"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default" w:ascii="宋体" w:hAnsi="宋体" w:eastAsia="宋体" w:cs="宋体"/>
                <w:color w:val="000000"/>
                <w:kern w:val="0"/>
                <w:sz w:val="13"/>
                <w:szCs w:val="13"/>
                <w:highlight w:val="none"/>
                <w:lang w:bidi="ar"/>
              </w:rPr>
              <w:t>教育费附加安排的支出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2.52</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2.52</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69"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default" w:ascii="宋体" w:hAnsi="宋体" w:eastAsia="宋体" w:cs="宋体"/>
                <w:color w:val="000000"/>
                <w:kern w:val="0"/>
                <w:sz w:val="11"/>
                <w:szCs w:val="11"/>
                <w:highlight w:val="none"/>
                <w:lang w:bidi="ar"/>
              </w:rPr>
              <w:t>其他教育费附加安排的支出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2.52</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2.52</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20599</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其他教育支出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0.43</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0.43</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9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2059999</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0.43</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0.43</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443"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default" w:ascii="宋体" w:hAnsi="宋体" w:eastAsia="宋体" w:cs="宋体"/>
                <w:color w:val="000000"/>
                <w:kern w:val="0"/>
                <w:sz w:val="13"/>
                <w:szCs w:val="13"/>
                <w:highlight w:val="none"/>
                <w:lang w:bidi="ar"/>
              </w:rPr>
              <w:t>社会保障和就业支出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280.40</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280.40</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95"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default" w:ascii="宋体" w:hAnsi="宋体" w:eastAsia="宋体" w:cs="宋体"/>
                <w:color w:val="000000"/>
                <w:kern w:val="0"/>
                <w:sz w:val="13"/>
                <w:szCs w:val="13"/>
                <w:highlight w:val="none"/>
                <w:lang w:bidi="ar"/>
              </w:rPr>
              <w:t>行政事业单位养老支出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280.40</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280.40</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45"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default" w:ascii="宋体" w:hAnsi="宋体" w:eastAsia="宋体" w:cs="宋体"/>
                <w:color w:val="000000"/>
                <w:kern w:val="0"/>
                <w:sz w:val="13"/>
                <w:szCs w:val="13"/>
                <w:highlight w:val="none"/>
                <w:lang w:bidi="ar"/>
              </w:rPr>
              <w:t>机关事业单位基本养老保险缴费支出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280.40</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280.40</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209.05</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209.05</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209.05</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209.05</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209.05</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209.05</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413.77</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233.56</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180.21</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89"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3"/>
                <w:szCs w:val="13"/>
                <w:highlight w:val="none"/>
                <w:lang w:bidi="ar"/>
              </w:rPr>
            </w:pPr>
            <w:r>
              <w:rPr>
                <w:rFonts w:hint="default" w:ascii="宋体" w:hAnsi="宋体" w:eastAsia="宋体" w:cs="宋体"/>
                <w:color w:val="000000"/>
                <w:kern w:val="0"/>
                <w:sz w:val="13"/>
                <w:szCs w:val="13"/>
                <w:highlight w:val="none"/>
                <w:lang w:bidi="ar"/>
              </w:rPr>
              <w:t>彩票公益金安排的支出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19"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用于教育事业的彩票公益金支出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412.57</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233.56</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179.01</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17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412.57</w:t>
            </w:r>
          </w:p>
        </w:tc>
        <w:tc>
          <w:tcPr>
            <w:tcW w:w="12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233.56</w:t>
            </w: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179.01</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40" w:hRule="atLeast"/>
          <w:jc w:val="center"/>
        </w:trPr>
        <w:tc>
          <w:tcPr>
            <w:tcW w:w="1026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tbl>
      <w:tblPr>
        <w:tblStyle w:val="6"/>
        <w:tblW w:w="5060" w:type="pct"/>
        <w:tblInd w:w="0" w:type="dxa"/>
        <w:tblLayout w:type="fixed"/>
        <w:tblCellMar>
          <w:top w:w="0" w:type="dxa"/>
          <w:left w:w="108" w:type="dxa"/>
          <w:bottom w:w="0" w:type="dxa"/>
          <w:right w:w="108" w:type="dxa"/>
        </w:tblCellMar>
      </w:tblPr>
      <w:tblGrid>
        <w:gridCol w:w="1628"/>
        <w:gridCol w:w="577"/>
        <w:gridCol w:w="844"/>
        <w:gridCol w:w="1706"/>
        <w:gridCol w:w="664"/>
        <w:gridCol w:w="909"/>
        <w:gridCol w:w="1303"/>
        <w:gridCol w:w="1325"/>
        <w:gridCol w:w="1592"/>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0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0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3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1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5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2999"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环江毛南族自治县洛阳镇中心小学</w:t>
            </w:r>
          </w:p>
        </w:tc>
        <w:tc>
          <w:tcPr>
            <w:tcW w:w="617"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8"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54"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445"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554"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0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1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3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1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2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政府性基金预算财政拨款</w:t>
            </w:r>
          </w:p>
        </w:tc>
        <w:tc>
          <w:tcPr>
            <w:tcW w:w="7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334" w:hRule="atLeast"/>
        </w:trPr>
        <w:tc>
          <w:tcPr>
            <w:tcW w:w="77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0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3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1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364"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1"/>
                <w:szCs w:val="11"/>
                <w:highlight w:val="none"/>
                <w:lang w:bidi="ar"/>
              </w:rPr>
            </w:pPr>
            <w:r>
              <w:rPr>
                <w:rFonts w:hint="eastAsia" w:ascii="宋体" w:hAnsi="宋体" w:eastAsia="宋体" w:cs="宋体"/>
                <w:color w:val="000000"/>
                <w:kern w:val="0"/>
                <w:sz w:val="11"/>
                <w:szCs w:val="11"/>
                <w:highlight w:val="none"/>
                <w:lang w:bidi="ar"/>
              </w:rPr>
              <w:t>一、一般公共预算财政拨款</w:t>
            </w: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15"/>
                <w:szCs w:val="15"/>
                <w:highlight w:val="none"/>
                <w:lang w:bidi="ar"/>
              </w:rPr>
              <w:t>3715.41</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5"/>
                <w:szCs w:val="15"/>
                <w:highlight w:val="none"/>
                <w:lang w:bidi="ar"/>
              </w:rPr>
            </w:pPr>
            <w:r>
              <w:rPr>
                <w:rFonts w:hint="default" w:ascii="宋体" w:hAnsi="宋体" w:eastAsia="宋体" w:cs="宋体"/>
                <w:color w:val="000000"/>
                <w:kern w:val="0"/>
                <w:sz w:val="15"/>
                <w:szCs w:val="15"/>
                <w:highlight w:val="none"/>
                <w:lang w:bidi="ar"/>
              </w:rPr>
              <w:t>一、一般公共服务支出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39.96</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39.96</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1"/>
                <w:szCs w:val="11"/>
                <w:highlight w:val="none"/>
                <w:lang w:bidi="ar"/>
              </w:rPr>
            </w:pPr>
            <w:r>
              <w:rPr>
                <w:rFonts w:hint="eastAsia" w:ascii="宋体" w:hAnsi="宋体" w:eastAsia="宋体" w:cs="宋体"/>
                <w:color w:val="000000"/>
                <w:kern w:val="0"/>
                <w:sz w:val="11"/>
                <w:szCs w:val="11"/>
                <w:highlight w:val="none"/>
                <w:lang w:bidi="ar"/>
              </w:rPr>
              <w:t>二、政府性基金预算财政拨款</w:t>
            </w: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5"/>
                <w:szCs w:val="15"/>
                <w:highlight w:val="none"/>
                <w:lang w:bidi="ar"/>
              </w:rPr>
            </w:pPr>
            <w:r>
              <w:rPr>
                <w:rFonts w:hint="default" w:ascii="宋体" w:hAnsi="宋体" w:eastAsia="宋体" w:cs="宋体"/>
                <w:color w:val="000000"/>
                <w:kern w:val="0"/>
                <w:sz w:val="15"/>
                <w:szCs w:val="15"/>
                <w:highlight w:val="none"/>
                <w:lang w:bidi="ar"/>
              </w:rPr>
              <w:t>二、外交支出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16"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1"/>
                <w:szCs w:val="11"/>
                <w:highlight w:val="none"/>
                <w:lang w:bidi="ar"/>
              </w:rPr>
            </w:pPr>
            <w:r>
              <w:rPr>
                <w:rFonts w:hint="eastAsia" w:ascii="宋体" w:hAnsi="宋体" w:eastAsia="宋体" w:cs="宋体"/>
                <w:color w:val="000000"/>
                <w:kern w:val="0"/>
                <w:sz w:val="10"/>
                <w:szCs w:val="10"/>
                <w:highlight w:val="none"/>
                <w:lang w:bidi="ar"/>
              </w:rPr>
              <w:t>三、国有资本经营预算财政拨款</w:t>
            </w: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5"/>
                <w:szCs w:val="15"/>
                <w:highlight w:val="none"/>
                <w:lang w:bidi="ar"/>
              </w:rPr>
            </w:pPr>
            <w:r>
              <w:rPr>
                <w:rFonts w:hint="default" w:ascii="宋体" w:hAnsi="宋体" w:eastAsia="宋体" w:cs="宋体"/>
                <w:color w:val="000000"/>
                <w:kern w:val="0"/>
                <w:sz w:val="15"/>
                <w:szCs w:val="15"/>
                <w:highlight w:val="none"/>
                <w:lang w:bidi="ar"/>
              </w:rPr>
              <w:t>三、国防支出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5"/>
                <w:szCs w:val="15"/>
                <w:highlight w:val="none"/>
                <w:lang w:bidi="ar"/>
              </w:rPr>
            </w:pPr>
            <w:r>
              <w:rPr>
                <w:rFonts w:hint="default" w:ascii="宋体" w:hAnsi="宋体" w:eastAsia="宋体" w:cs="宋体"/>
                <w:color w:val="000000"/>
                <w:kern w:val="0"/>
                <w:sz w:val="15"/>
                <w:szCs w:val="15"/>
                <w:highlight w:val="none"/>
                <w:lang w:bidi="ar"/>
              </w:rPr>
              <w:t>四、公共安全支出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5"/>
                <w:szCs w:val="15"/>
                <w:highlight w:val="none"/>
                <w:lang w:bidi="ar"/>
              </w:rPr>
            </w:pPr>
            <w:r>
              <w:rPr>
                <w:rFonts w:hint="default" w:ascii="宋体" w:hAnsi="宋体" w:eastAsia="宋体" w:cs="宋体"/>
                <w:color w:val="000000"/>
                <w:kern w:val="0"/>
                <w:sz w:val="15"/>
                <w:szCs w:val="15"/>
                <w:highlight w:val="none"/>
                <w:lang w:bidi="ar"/>
              </w:rPr>
              <w:t>五、教育支出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15"/>
                <w:szCs w:val="15"/>
                <w:highlight w:val="none"/>
                <w:lang w:bidi="ar"/>
              </w:rPr>
              <w:t>2773.43</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2773.43</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5"/>
                <w:szCs w:val="15"/>
                <w:highlight w:val="none"/>
                <w:lang w:bidi="ar"/>
              </w:rPr>
            </w:pPr>
            <w:r>
              <w:rPr>
                <w:rFonts w:hint="default" w:ascii="宋体" w:hAnsi="宋体" w:eastAsia="宋体" w:cs="宋体"/>
                <w:color w:val="000000"/>
                <w:kern w:val="0"/>
                <w:sz w:val="15"/>
                <w:szCs w:val="15"/>
                <w:highlight w:val="none"/>
                <w:lang w:bidi="ar"/>
              </w:rPr>
              <w:t>六、科学技术支出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七、文化旅游体育与传媒支出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八、社会保障和就业支出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280.40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280.40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5"/>
                <w:szCs w:val="15"/>
                <w:highlight w:val="none"/>
                <w:lang w:bidi="ar"/>
              </w:rPr>
            </w:pPr>
            <w:r>
              <w:rPr>
                <w:rFonts w:hint="default" w:ascii="宋体" w:hAnsi="宋体" w:eastAsia="宋体" w:cs="宋体"/>
                <w:color w:val="000000"/>
                <w:kern w:val="0"/>
                <w:sz w:val="15"/>
                <w:szCs w:val="15"/>
                <w:highlight w:val="none"/>
                <w:lang w:bidi="ar"/>
              </w:rPr>
              <w:t>九、卫生健康支出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5"/>
                <w:szCs w:val="15"/>
                <w:highlight w:val="none"/>
                <w:lang w:bidi="ar"/>
              </w:rPr>
            </w:pPr>
            <w:r>
              <w:rPr>
                <w:rFonts w:hint="default" w:ascii="宋体" w:hAnsi="宋体" w:eastAsia="宋体" w:cs="宋体"/>
                <w:color w:val="000000"/>
                <w:kern w:val="0"/>
                <w:sz w:val="15"/>
                <w:szCs w:val="15"/>
                <w:highlight w:val="none"/>
                <w:lang w:bidi="ar"/>
              </w:rPr>
              <w:t>十、节能环保支出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5"/>
                <w:szCs w:val="15"/>
                <w:highlight w:val="none"/>
                <w:lang w:bidi="ar"/>
              </w:rPr>
            </w:pPr>
            <w:r>
              <w:rPr>
                <w:rFonts w:hint="default" w:ascii="宋体" w:hAnsi="宋体" w:eastAsia="宋体" w:cs="宋体"/>
                <w:color w:val="000000"/>
                <w:kern w:val="0"/>
                <w:sz w:val="15"/>
                <w:szCs w:val="15"/>
                <w:highlight w:val="none"/>
                <w:lang w:bidi="ar"/>
              </w:rPr>
              <w:t>十一、城乡社区支出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5"/>
                <w:szCs w:val="15"/>
                <w:highlight w:val="none"/>
                <w:lang w:bidi="ar"/>
              </w:rPr>
            </w:pPr>
            <w:r>
              <w:rPr>
                <w:rFonts w:hint="default" w:ascii="宋体" w:hAnsi="宋体" w:eastAsia="宋体" w:cs="宋体"/>
                <w:color w:val="000000"/>
                <w:kern w:val="0"/>
                <w:sz w:val="15"/>
                <w:szCs w:val="15"/>
                <w:highlight w:val="none"/>
                <w:lang w:bidi="ar"/>
              </w:rPr>
              <w:t>十二、农林水支出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5"/>
                <w:szCs w:val="15"/>
                <w:highlight w:val="none"/>
                <w:lang w:bidi="ar"/>
              </w:rPr>
            </w:pPr>
            <w:r>
              <w:rPr>
                <w:rFonts w:hint="default" w:ascii="宋体" w:hAnsi="宋体" w:eastAsia="宋体" w:cs="宋体"/>
                <w:color w:val="000000"/>
                <w:kern w:val="0"/>
                <w:sz w:val="15"/>
                <w:szCs w:val="15"/>
                <w:highlight w:val="none"/>
                <w:lang w:bidi="ar"/>
              </w:rPr>
              <w:t>十三、交通运输支出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十四、资源勘探工业信息等支出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十五、商业服务业等支出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十六、金融支出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十七、援助其他地区支出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十八、自然资源海洋气象等支出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十九、住房保障支出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209.05</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209.05</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二十、粮油物资储备支出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二十一、国有资本经营预算支出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0"/>
                <w:szCs w:val="10"/>
                <w:highlight w:val="none"/>
                <w:lang w:bidi="ar"/>
              </w:rPr>
              <w:t>二十二、灾害防治及应急管理支出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二十三、其他支出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413.77</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412.57</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二十四、债务还本支出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二十五、债务付息支出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0"/>
                <w:szCs w:val="10"/>
                <w:highlight w:val="none"/>
                <w:lang w:bidi="ar"/>
              </w:rPr>
              <w:t>二十六、抗疫特别国债安排的支出</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14"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1"/>
                <w:szCs w:val="11"/>
                <w:highlight w:val="none"/>
                <w:lang w:bidi="ar"/>
              </w:rPr>
            </w:pPr>
            <w:r>
              <w:rPr>
                <w:rFonts w:hint="eastAsia" w:ascii="宋体" w:hAnsi="宋体" w:eastAsia="宋体" w:cs="宋体"/>
                <w:color w:val="000000"/>
                <w:kern w:val="0"/>
                <w:sz w:val="11"/>
                <w:szCs w:val="11"/>
                <w:highlight w:val="none"/>
                <w:lang w:bidi="ar"/>
              </w:rPr>
              <w:t>本年收入合计</w:t>
            </w: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15"/>
                <w:szCs w:val="15"/>
                <w:highlight w:val="none"/>
                <w:lang w:bidi="ar"/>
              </w:rPr>
              <w:t>3716.61</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3"/>
                <w:szCs w:val="13"/>
                <w:highlight w:val="none"/>
                <w:lang w:bidi="ar"/>
              </w:rPr>
            </w:pPr>
            <w:r>
              <w:rPr>
                <w:rFonts w:hint="default" w:ascii="宋体" w:hAnsi="宋体" w:eastAsia="宋体" w:cs="宋体"/>
                <w:color w:val="000000"/>
                <w:kern w:val="0"/>
                <w:sz w:val="13"/>
                <w:szCs w:val="13"/>
                <w:highlight w:val="none"/>
                <w:lang w:bidi="ar"/>
              </w:rPr>
              <w:t>本年支出合计</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15"/>
                <w:szCs w:val="15"/>
                <w:highlight w:val="none"/>
                <w:lang w:bidi="ar"/>
              </w:rPr>
              <w:t>3716.61</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3715.41</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1"/>
                <w:szCs w:val="11"/>
                <w:highlight w:val="none"/>
                <w:lang w:bidi="ar"/>
              </w:rPr>
            </w:pPr>
            <w:r>
              <w:rPr>
                <w:rFonts w:hint="eastAsia" w:ascii="宋体" w:hAnsi="宋体" w:eastAsia="宋体" w:cs="宋体"/>
                <w:color w:val="000000"/>
                <w:kern w:val="0"/>
                <w:sz w:val="11"/>
                <w:szCs w:val="11"/>
                <w:highlight w:val="none"/>
                <w:lang w:bidi="ar"/>
              </w:rPr>
              <w:t>年初财政拨款结转和结余</w:t>
            </w: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3"/>
                <w:szCs w:val="13"/>
                <w:highlight w:val="none"/>
                <w:lang w:bidi="ar"/>
              </w:rPr>
            </w:pPr>
            <w:r>
              <w:rPr>
                <w:rFonts w:hint="default" w:ascii="宋体" w:hAnsi="宋体" w:eastAsia="宋体" w:cs="宋体"/>
                <w:color w:val="000000"/>
                <w:kern w:val="0"/>
                <w:sz w:val="13"/>
                <w:szCs w:val="13"/>
                <w:highlight w:val="none"/>
                <w:lang w:bidi="ar"/>
              </w:rPr>
              <w:t>年末财政拨款结转和结余</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1"/>
                <w:szCs w:val="11"/>
                <w:highlight w:val="none"/>
                <w:lang w:bidi="ar"/>
              </w:rPr>
            </w:pPr>
            <w:r>
              <w:rPr>
                <w:rFonts w:hint="eastAsia" w:ascii="宋体" w:hAnsi="宋体" w:eastAsia="宋体" w:cs="宋体"/>
                <w:color w:val="000000"/>
                <w:kern w:val="0"/>
                <w:sz w:val="11"/>
                <w:szCs w:val="11"/>
                <w:highlight w:val="none"/>
                <w:lang w:bidi="ar"/>
              </w:rPr>
              <w:t xml:space="preserve">  一般公共预算财政拨款</w:t>
            </w: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1"/>
                <w:szCs w:val="11"/>
                <w:highlight w:val="none"/>
                <w:lang w:bidi="ar"/>
              </w:rPr>
            </w:pPr>
            <w:r>
              <w:rPr>
                <w:rFonts w:hint="eastAsia" w:ascii="宋体" w:hAnsi="宋体" w:eastAsia="宋体" w:cs="宋体"/>
                <w:color w:val="000000"/>
                <w:kern w:val="0"/>
                <w:sz w:val="11"/>
                <w:szCs w:val="11"/>
                <w:highlight w:val="none"/>
                <w:lang w:bidi="ar"/>
              </w:rPr>
              <w:t xml:space="preserve">  政府性基金预算财政拨款</w:t>
            </w: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1"/>
                <w:szCs w:val="11"/>
                <w:highlight w:val="none"/>
                <w:lang w:bidi="ar"/>
              </w:rPr>
            </w:pPr>
            <w:r>
              <w:rPr>
                <w:rFonts w:hint="eastAsia" w:ascii="宋体" w:hAnsi="宋体" w:eastAsia="宋体" w:cs="宋体"/>
                <w:color w:val="000000"/>
                <w:kern w:val="0"/>
                <w:sz w:val="11"/>
                <w:szCs w:val="11"/>
                <w:highlight w:val="none"/>
                <w:lang w:bidi="ar"/>
              </w:rPr>
              <w:t xml:space="preserve">  国有资本经营预算财政拨款</w:t>
            </w: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1"/>
                <w:szCs w:val="11"/>
                <w:highlight w:val="none"/>
                <w:lang w:bidi="ar"/>
              </w:rPr>
            </w:pPr>
            <w:r>
              <w:rPr>
                <w:rFonts w:hint="eastAsia" w:ascii="宋体" w:hAnsi="宋体" w:eastAsia="宋体" w:cs="宋体"/>
                <w:color w:val="000000"/>
                <w:kern w:val="0"/>
                <w:sz w:val="11"/>
                <w:szCs w:val="11"/>
                <w:highlight w:val="none"/>
                <w:lang w:bidi="ar"/>
              </w:rPr>
              <w:t>总计</w:t>
            </w:r>
          </w:p>
        </w:tc>
        <w:tc>
          <w:tcPr>
            <w:tcW w:w="2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15"/>
                <w:szCs w:val="15"/>
                <w:highlight w:val="none"/>
                <w:lang w:bidi="ar"/>
              </w:rPr>
              <w:t>3716.61</w:t>
            </w:r>
          </w:p>
        </w:tc>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1"/>
                <w:szCs w:val="11"/>
                <w:highlight w:val="none"/>
                <w:lang w:bidi="ar"/>
              </w:rPr>
            </w:pPr>
            <w:r>
              <w:rPr>
                <w:rFonts w:hint="default" w:ascii="宋体" w:hAnsi="宋体" w:eastAsia="宋体" w:cs="宋体"/>
                <w:color w:val="000000"/>
                <w:kern w:val="0"/>
                <w:sz w:val="11"/>
                <w:szCs w:val="11"/>
                <w:highlight w:val="none"/>
                <w:lang w:bidi="ar"/>
              </w:rPr>
              <w:t>总计</w:t>
            </w: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43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15"/>
                <w:szCs w:val="15"/>
                <w:highlight w:val="none"/>
                <w:lang w:bidi="ar"/>
              </w:rPr>
              <w:t>3716.61</w:t>
            </w:r>
          </w:p>
        </w:tc>
        <w:tc>
          <w:tcPr>
            <w:tcW w:w="61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3715.41</w:t>
            </w:r>
          </w:p>
        </w:tc>
        <w:tc>
          <w:tcPr>
            <w:tcW w:w="62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w:t>
            </w:r>
          </w:p>
        </w:tc>
        <w:tc>
          <w:tcPr>
            <w:tcW w:w="7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5000" w:type="pct"/>
            <w:gridSpan w:val="9"/>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tbl>
      <w:tblPr>
        <w:tblStyle w:val="6"/>
        <w:tblW w:w="10300" w:type="dxa"/>
        <w:tblInd w:w="96" w:type="dxa"/>
        <w:tblLayout w:type="fixed"/>
        <w:tblCellMar>
          <w:top w:w="0" w:type="dxa"/>
          <w:left w:w="108" w:type="dxa"/>
          <w:bottom w:w="0" w:type="dxa"/>
          <w:right w:w="108" w:type="dxa"/>
        </w:tblCellMar>
      </w:tblPr>
      <w:tblGrid>
        <w:gridCol w:w="1464"/>
        <w:gridCol w:w="182"/>
        <w:gridCol w:w="236"/>
        <w:gridCol w:w="236"/>
        <w:gridCol w:w="1494"/>
        <w:gridCol w:w="2313"/>
        <w:gridCol w:w="2264"/>
        <w:gridCol w:w="2111"/>
      </w:tblGrid>
      <w:tr>
        <w:tblPrEx>
          <w:tblCellMar>
            <w:top w:w="0" w:type="dxa"/>
            <w:left w:w="108" w:type="dxa"/>
            <w:bottom w:w="0" w:type="dxa"/>
            <w:right w:w="108" w:type="dxa"/>
          </w:tblCellMar>
        </w:tblPrEx>
        <w:trPr>
          <w:trHeight w:val="675" w:hRule="atLeast"/>
        </w:trPr>
        <w:tc>
          <w:tcPr>
            <w:tcW w:w="1030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38" w:hRule="atLeast"/>
        </w:trPr>
        <w:tc>
          <w:tcPr>
            <w:tcW w:w="1646"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1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1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38" w:hRule="atLeast"/>
        </w:trPr>
        <w:tc>
          <w:tcPr>
            <w:tcW w:w="5925"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环江毛南族自治县洛阳镇中心小学</w:t>
            </w:r>
          </w:p>
        </w:tc>
        <w:tc>
          <w:tcPr>
            <w:tcW w:w="2264"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11"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69" w:hRule="atLeast"/>
        </w:trPr>
        <w:tc>
          <w:tcPr>
            <w:tcW w:w="361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66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64" w:hRule="atLeast"/>
        </w:trPr>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148"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22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31" w:hRule="atLeast"/>
        </w:trPr>
        <w:tc>
          <w:tcPr>
            <w:tcW w:w="14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8"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64" w:hRule="atLeast"/>
        </w:trPr>
        <w:tc>
          <w:tcPr>
            <w:tcW w:w="14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8"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69" w:hRule="atLeast"/>
        </w:trPr>
        <w:tc>
          <w:tcPr>
            <w:tcW w:w="361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69" w:hRule="atLeast"/>
        </w:trPr>
        <w:tc>
          <w:tcPr>
            <w:tcW w:w="361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3715.41</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3395.19</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320.22</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39.96</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39.96</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39.96</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39.96</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31"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39.96</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39.96</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2773.43</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2632.22</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141.21</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2770.49</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2632.22</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138.27</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2641.36</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2632.22</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9.14</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129.13</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129.13</w:t>
            </w:r>
          </w:p>
        </w:tc>
      </w:tr>
      <w:tr>
        <w:tblPrEx>
          <w:tblCellMar>
            <w:top w:w="0" w:type="dxa"/>
            <w:left w:w="108" w:type="dxa"/>
            <w:bottom w:w="0" w:type="dxa"/>
            <w:right w:w="108" w:type="dxa"/>
          </w:tblCellMar>
        </w:tblPrEx>
        <w:trPr>
          <w:trHeight w:val="631"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教育费附加安排的支出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2.52</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2.52</w:t>
            </w:r>
          </w:p>
        </w:tc>
      </w:tr>
      <w:tr>
        <w:tblPrEx>
          <w:tblCellMar>
            <w:top w:w="0" w:type="dxa"/>
            <w:left w:w="108" w:type="dxa"/>
            <w:bottom w:w="0" w:type="dxa"/>
            <w:right w:w="108" w:type="dxa"/>
          </w:tblCellMar>
        </w:tblPrEx>
        <w:trPr>
          <w:trHeight w:val="631"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2050999</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其他教育费附加安排的支出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2.52</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2.52</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20599</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其他教育支出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0.43</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0.43</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2059999</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0.43</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0.43</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280.40</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280.40</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31"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280.40</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280.40</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31"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w:t>
            </w:r>
            <w:r>
              <w:rPr>
                <w:rFonts w:hint="default" w:ascii="宋体" w:hAnsi="宋体" w:eastAsia="宋体" w:cs="宋体"/>
                <w:color w:val="000000"/>
                <w:sz w:val="15"/>
                <w:szCs w:val="15"/>
                <w:highlight w:val="none"/>
              </w:rPr>
              <w:t>机关事业单位基本养老保险缴费支出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280.40</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280.40</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209.05</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209.05</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209.05</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209.05</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209.05</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209.05</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412.57</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233.56</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179.01</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412.57</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233.56</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179.01</w:t>
            </w:r>
          </w:p>
        </w:tc>
      </w:tr>
      <w:tr>
        <w:tblPrEx>
          <w:tblCellMar>
            <w:top w:w="0" w:type="dxa"/>
            <w:left w:w="108" w:type="dxa"/>
            <w:bottom w:w="0" w:type="dxa"/>
            <w:right w:w="108" w:type="dxa"/>
          </w:tblCellMar>
        </w:tblPrEx>
        <w:trPr>
          <w:trHeight w:val="369" w:hRule="atLeast"/>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14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23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412.57</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233.56</w:t>
            </w: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179.01</w:t>
            </w:r>
          </w:p>
        </w:tc>
      </w:tr>
      <w:tr>
        <w:tblPrEx>
          <w:tblCellMar>
            <w:top w:w="0" w:type="dxa"/>
            <w:left w:w="108" w:type="dxa"/>
            <w:bottom w:w="0" w:type="dxa"/>
            <w:right w:w="108" w:type="dxa"/>
          </w:tblCellMar>
        </w:tblPrEx>
        <w:trPr>
          <w:trHeight w:val="369" w:hRule="atLeast"/>
        </w:trPr>
        <w:tc>
          <w:tcPr>
            <w:tcW w:w="1030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tbl>
      <w:tblPr>
        <w:tblStyle w:val="6"/>
        <w:tblW w:w="10860" w:type="dxa"/>
        <w:jc w:val="center"/>
        <w:tblLayout w:type="fixed"/>
        <w:tblCellMar>
          <w:top w:w="0" w:type="dxa"/>
          <w:left w:w="108" w:type="dxa"/>
          <w:bottom w:w="0" w:type="dxa"/>
          <w:right w:w="108" w:type="dxa"/>
        </w:tblCellMar>
      </w:tblPr>
      <w:tblGrid>
        <w:gridCol w:w="858"/>
        <w:gridCol w:w="1839"/>
        <w:gridCol w:w="857"/>
        <w:gridCol w:w="992"/>
        <w:gridCol w:w="1820"/>
        <w:gridCol w:w="899"/>
        <w:gridCol w:w="909"/>
        <w:gridCol w:w="1665"/>
        <w:gridCol w:w="1021"/>
      </w:tblGrid>
      <w:tr>
        <w:tblPrEx>
          <w:tblCellMar>
            <w:top w:w="0" w:type="dxa"/>
            <w:left w:w="108" w:type="dxa"/>
            <w:bottom w:w="0" w:type="dxa"/>
            <w:right w:w="108" w:type="dxa"/>
          </w:tblCellMar>
        </w:tblPrEx>
        <w:trPr>
          <w:trHeight w:val="287" w:hRule="atLeast"/>
          <w:jc w:val="center"/>
        </w:trPr>
        <w:tc>
          <w:tcPr>
            <w:tcW w:w="1086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21"/>
                <w:szCs w:val="21"/>
                <w:highlight w:val="none"/>
                <w:lang w:bidi="ar"/>
              </w:rPr>
              <w:t>一般公共预算财政拨款基本支出决算明细表</w:t>
            </w:r>
          </w:p>
        </w:tc>
      </w:tr>
      <w:tr>
        <w:tblPrEx>
          <w:tblCellMar>
            <w:top w:w="0" w:type="dxa"/>
            <w:left w:w="108" w:type="dxa"/>
            <w:bottom w:w="0" w:type="dxa"/>
            <w:right w:w="108" w:type="dxa"/>
          </w:tblCellMar>
        </w:tblPrEx>
        <w:trPr>
          <w:trHeight w:val="216" w:hRule="atLeast"/>
          <w:jc w:val="center"/>
        </w:trPr>
        <w:tc>
          <w:tcPr>
            <w:tcW w:w="85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5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9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0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2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13"/>
                <w:szCs w:val="13"/>
                <w:highlight w:val="none"/>
              </w:rPr>
            </w:pPr>
            <w:r>
              <w:rPr>
                <w:rFonts w:hint="eastAsia" w:ascii="宋体" w:hAnsi="宋体" w:eastAsia="宋体" w:cs="宋体"/>
                <w:color w:val="000000"/>
                <w:kern w:val="0"/>
                <w:sz w:val="13"/>
                <w:szCs w:val="13"/>
                <w:highlight w:val="none"/>
                <w:lang w:bidi="ar"/>
              </w:rPr>
              <w:t>公开06表</w:t>
            </w:r>
          </w:p>
        </w:tc>
      </w:tr>
      <w:tr>
        <w:tblPrEx>
          <w:tblCellMar>
            <w:top w:w="0" w:type="dxa"/>
            <w:left w:w="108" w:type="dxa"/>
            <w:bottom w:w="0" w:type="dxa"/>
            <w:right w:w="108" w:type="dxa"/>
          </w:tblCellMar>
        </w:tblPrEx>
        <w:trPr>
          <w:trHeight w:val="319" w:hRule="atLeast"/>
          <w:jc w:val="center"/>
        </w:trPr>
        <w:tc>
          <w:tcPr>
            <w:tcW w:w="6366"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环江毛南族自治县洛阳镇中心小学</w:t>
            </w:r>
          </w:p>
        </w:tc>
        <w:tc>
          <w:tcPr>
            <w:tcW w:w="89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0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8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jc w:val="center"/>
        </w:trPr>
        <w:tc>
          <w:tcPr>
            <w:tcW w:w="355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730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376"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5"/>
                <w:szCs w:val="15"/>
                <w:highlight w:val="none"/>
                <w:lang w:bidi="ar"/>
              </w:rPr>
              <w:t>科目编码</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科目名称</w:t>
            </w:r>
          </w:p>
        </w:tc>
        <w:tc>
          <w:tcPr>
            <w:tcW w:w="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决算数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科目编码</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科目名称</w:t>
            </w: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决算数</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5"/>
                <w:szCs w:val="15"/>
                <w:highlight w:val="none"/>
                <w:lang w:bidi="ar"/>
              </w:rPr>
              <w:t>科目编码</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科目名称</w:t>
            </w:r>
          </w:p>
        </w:tc>
        <w:tc>
          <w:tcPr>
            <w:tcW w:w="1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决算数</w:t>
            </w:r>
          </w:p>
        </w:tc>
      </w:tr>
      <w:tr>
        <w:tblPrEx>
          <w:tblCellMar>
            <w:top w:w="0" w:type="dxa"/>
            <w:left w:w="108" w:type="dxa"/>
            <w:bottom w:w="0" w:type="dxa"/>
            <w:right w:w="108" w:type="dxa"/>
          </w:tblCellMar>
        </w:tblPrEx>
        <w:trPr>
          <w:trHeight w:val="431"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18"/>
                <w:szCs w:val="18"/>
                <w:highlight w:val="none"/>
              </w:rPr>
            </w:pPr>
            <w:r>
              <w:rPr>
                <w:rFonts w:hint="default" w:ascii="宋体" w:hAnsi="宋体" w:eastAsia="宋体" w:cs="宋体"/>
                <w:color w:val="000000"/>
                <w:kern w:val="0"/>
                <w:sz w:val="18"/>
                <w:szCs w:val="18"/>
                <w:highlight w:val="none"/>
                <w:lang w:bidi="ar"/>
              </w:rPr>
              <w:t>2788.60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160.07</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债务利息及费用支出</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1"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18"/>
                <w:szCs w:val="18"/>
                <w:highlight w:val="none"/>
              </w:rPr>
            </w:pPr>
            <w:r>
              <w:rPr>
                <w:rFonts w:hint="default" w:ascii="宋体" w:hAnsi="宋体" w:eastAsia="宋体" w:cs="宋体"/>
                <w:color w:val="000000"/>
                <w:kern w:val="0"/>
                <w:sz w:val="18"/>
                <w:szCs w:val="18"/>
                <w:highlight w:val="none"/>
                <w:lang w:bidi="ar"/>
              </w:rPr>
              <w:t>1066.22</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60.35</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国内债务付息</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1"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18"/>
                <w:szCs w:val="18"/>
                <w:highlight w:val="none"/>
              </w:rPr>
            </w:pPr>
            <w:r>
              <w:rPr>
                <w:rFonts w:hint="default" w:ascii="宋体" w:hAnsi="宋体" w:eastAsia="宋体" w:cs="宋体"/>
                <w:color w:val="000000"/>
                <w:kern w:val="0"/>
                <w:sz w:val="18"/>
                <w:szCs w:val="18"/>
                <w:highlight w:val="none"/>
                <w:lang w:bidi="ar"/>
              </w:rPr>
              <w:t>172.72</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国外债务付息</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1"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18"/>
                <w:szCs w:val="18"/>
                <w:highlight w:val="none"/>
              </w:rPr>
            </w:pPr>
            <w:r>
              <w:rPr>
                <w:rFonts w:hint="default" w:ascii="宋体" w:hAnsi="宋体" w:eastAsia="宋体" w:cs="宋体"/>
                <w:color w:val="000000"/>
                <w:kern w:val="0"/>
                <w:sz w:val="18"/>
                <w:szCs w:val="18"/>
                <w:highlight w:val="none"/>
                <w:lang w:bidi="ar"/>
              </w:rPr>
              <w:t>442.83</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资本性支出</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2.95</w:t>
            </w:r>
          </w:p>
        </w:tc>
      </w:tr>
      <w:tr>
        <w:tblPrEx>
          <w:tblCellMar>
            <w:top w:w="0" w:type="dxa"/>
            <w:left w:w="108" w:type="dxa"/>
            <w:bottom w:w="0" w:type="dxa"/>
            <w:right w:w="108" w:type="dxa"/>
          </w:tblCellMar>
        </w:tblPrEx>
        <w:trPr>
          <w:trHeight w:val="621"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18"/>
                <w:szCs w:val="18"/>
                <w:highlight w:val="none"/>
              </w:rPr>
            </w:pPr>
            <w:r>
              <w:rPr>
                <w:rFonts w:hint="default" w:ascii="宋体" w:hAnsi="宋体" w:eastAsia="宋体" w:cs="宋体"/>
                <w:color w:val="000000"/>
                <w:kern w:val="0"/>
                <w:sz w:val="18"/>
                <w:szCs w:val="18"/>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房屋建筑物购建</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31"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18"/>
                <w:szCs w:val="18"/>
                <w:highlight w:val="none"/>
              </w:rPr>
            </w:pPr>
            <w:r>
              <w:rPr>
                <w:rFonts w:hint="default" w:ascii="宋体" w:hAnsi="宋体" w:eastAsia="宋体" w:cs="宋体"/>
                <w:color w:val="000000"/>
                <w:kern w:val="0"/>
                <w:sz w:val="18"/>
                <w:szCs w:val="18"/>
                <w:highlight w:val="none"/>
                <w:lang w:bidi="ar"/>
              </w:rPr>
              <w:t>452.12</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办公设备购置</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2.73</w:t>
            </w:r>
          </w:p>
        </w:tc>
      </w:tr>
      <w:tr>
        <w:tblPrEx>
          <w:tblCellMar>
            <w:top w:w="0" w:type="dxa"/>
            <w:left w:w="108" w:type="dxa"/>
            <w:bottom w:w="0" w:type="dxa"/>
            <w:right w:w="108" w:type="dxa"/>
          </w:tblCellMar>
        </w:tblPrEx>
        <w:trPr>
          <w:trHeight w:val="455"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w:t>
            </w:r>
            <w:r>
              <w:rPr>
                <w:rFonts w:hint="eastAsia" w:ascii="宋体" w:hAnsi="宋体" w:eastAsia="宋体" w:cs="宋体"/>
                <w:color w:val="000000"/>
                <w:kern w:val="0"/>
                <w:sz w:val="10"/>
                <w:szCs w:val="10"/>
                <w:highlight w:val="none"/>
                <w:lang w:bidi="ar"/>
              </w:rPr>
              <w:t xml:space="preserve"> 机关事业单位基本养老保险缴费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18"/>
                <w:szCs w:val="18"/>
                <w:highlight w:val="none"/>
              </w:rPr>
            </w:pPr>
            <w:r>
              <w:rPr>
                <w:rFonts w:hint="default" w:ascii="宋体" w:hAnsi="宋体" w:eastAsia="宋体" w:cs="宋体"/>
                <w:color w:val="000000"/>
                <w:kern w:val="0"/>
                <w:sz w:val="18"/>
                <w:szCs w:val="18"/>
                <w:highlight w:val="none"/>
                <w:lang w:bidi="ar"/>
              </w:rPr>
              <w:t>292.97</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11.69</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专用设备购置</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0.22</w:t>
            </w:r>
          </w:p>
        </w:tc>
      </w:tr>
      <w:tr>
        <w:tblPrEx>
          <w:tblCellMar>
            <w:top w:w="0" w:type="dxa"/>
            <w:left w:w="108" w:type="dxa"/>
            <w:bottom w:w="0" w:type="dxa"/>
            <w:right w:w="108" w:type="dxa"/>
          </w:tblCellMar>
        </w:tblPrEx>
        <w:trPr>
          <w:trHeight w:val="407"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12.89</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基础设施建设</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3"/>
                <w:szCs w:val="13"/>
                <w:highlight w:val="none"/>
              </w:rPr>
            </w:pPr>
            <w:r>
              <w:rPr>
                <w:rFonts w:hint="eastAsia" w:ascii="宋体" w:hAnsi="宋体" w:eastAsia="宋体" w:cs="宋体"/>
                <w:color w:val="000000"/>
                <w:kern w:val="0"/>
                <w:sz w:val="13"/>
                <w:szCs w:val="13"/>
                <w:highlight w:val="none"/>
                <w:lang w:bidi="ar"/>
              </w:rPr>
              <w:t xml:space="preserve">  职工基本医疗保险缴费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1"/>
                <w:szCs w:val="21"/>
                <w:highlight w:val="none"/>
                <w:lang w:bidi="ar"/>
              </w:rPr>
              <w:t>125.91</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19"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3"/>
                <w:szCs w:val="13"/>
                <w:highlight w:val="none"/>
              </w:rPr>
            </w:pPr>
            <w:r>
              <w:rPr>
                <w:rFonts w:hint="eastAsia" w:ascii="宋体" w:hAnsi="宋体" w:eastAsia="宋体" w:cs="宋体"/>
                <w:color w:val="000000"/>
                <w:kern w:val="0"/>
                <w:sz w:val="13"/>
                <w:szCs w:val="13"/>
                <w:highlight w:val="none"/>
                <w:lang w:bidi="ar"/>
              </w:rPr>
              <w:t xml:space="preserve">  公务员医疗补助缴费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w:t>
            </w:r>
            <w:r>
              <w:rPr>
                <w:rFonts w:hint="eastAsia" w:ascii="宋体" w:hAnsi="宋体" w:eastAsia="宋体" w:cs="宋体"/>
                <w:color w:val="000000"/>
                <w:kern w:val="0"/>
                <w:sz w:val="11"/>
                <w:szCs w:val="11"/>
                <w:highlight w:val="none"/>
                <w:lang w:bidi="ar"/>
              </w:rPr>
              <w:t>信息网络及软件购置更新</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90"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3"/>
                <w:szCs w:val="13"/>
                <w:highlight w:val="none"/>
              </w:rPr>
            </w:pPr>
            <w:r>
              <w:rPr>
                <w:rFonts w:hint="eastAsia" w:ascii="宋体" w:hAnsi="宋体" w:eastAsia="宋体" w:cs="宋体"/>
                <w:color w:val="000000"/>
                <w:kern w:val="0"/>
                <w:sz w:val="13"/>
                <w:szCs w:val="13"/>
                <w:highlight w:val="none"/>
                <w:lang w:bidi="ar"/>
              </w:rPr>
              <w:t xml:space="preserve">  其他社会保障缴费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15.77</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5.29</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19"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18"/>
                <w:szCs w:val="18"/>
                <w:highlight w:val="none"/>
              </w:rPr>
            </w:pPr>
            <w:r>
              <w:rPr>
                <w:rFonts w:hint="default" w:ascii="宋体" w:hAnsi="宋体" w:eastAsia="宋体" w:cs="宋体"/>
                <w:color w:val="000000"/>
                <w:kern w:val="0"/>
                <w:sz w:val="18"/>
                <w:szCs w:val="18"/>
                <w:highlight w:val="none"/>
                <w:lang w:bidi="ar"/>
              </w:rPr>
              <w:t>209.05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8"/>
                <w:szCs w:val="18"/>
                <w:highlight w:val="none"/>
              </w:rPr>
            </w:pPr>
            <w:r>
              <w:rPr>
                <w:rFonts w:hint="default" w:ascii="宋体" w:hAnsi="宋体" w:eastAsia="宋体" w:cs="宋体"/>
                <w:color w:val="000000"/>
                <w:kern w:val="0"/>
                <w:sz w:val="18"/>
                <w:szCs w:val="18"/>
                <w:highlight w:val="none"/>
                <w:lang w:bidi="ar"/>
              </w:rPr>
              <w:t>30212</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w:t>
            </w:r>
            <w:r>
              <w:rPr>
                <w:rFonts w:hint="eastAsia" w:ascii="宋体" w:hAnsi="宋体" w:eastAsia="宋体" w:cs="宋体"/>
                <w:color w:val="000000"/>
                <w:kern w:val="0"/>
                <w:sz w:val="13"/>
                <w:szCs w:val="13"/>
                <w:highlight w:val="none"/>
                <w:lang w:bidi="ar"/>
              </w:rPr>
              <w:t>因公出国（境）费用</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95"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16.92</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71"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其他工资福利支出</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11.01</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w:t>
            </w:r>
            <w:r>
              <w:rPr>
                <w:rFonts w:hint="eastAsia" w:ascii="宋体" w:hAnsi="宋体" w:eastAsia="宋体" w:cs="宋体"/>
                <w:color w:val="000000"/>
                <w:kern w:val="0"/>
                <w:sz w:val="13"/>
                <w:szCs w:val="13"/>
                <w:highlight w:val="none"/>
                <w:lang w:bidi="ar"/>
              </w:rPr>
              <w:t>地上附着物和青苗补偿</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18"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对个人和家庭的补助</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18"/>
                <w:szCs w:val="18"/>
                <w:highlight w:val="none"/>
                <w:lang w:bidi="ar"/>
              </w:rPr>
              <w:t>443.56</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3"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公务用车购置</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71"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其他交通工具购置</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83"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文物和陈列品购置</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27"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40.51</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无形资产购置</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8"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13"/>
                <w:szCs w:val="13"/>
                <w:highlight w:val="none"/>
                <w:lang w:bidi="ar"/>
              </w:rPr>
              <w:t>136.59</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5"/>
                <w:szCs w:val="15"/>
                <w:highlight w:val="none"/>
              </w:rPr>
            </w:pPr>
            <w:r>
              <w:rPr>
                <w:rFonts w:hint="eastAsia" w:ascii="宋体" w:hAnsi="宋体" w:eastAsia="宋体" w:cs="宋体"/>
                <w:color w:val="000000"/>
                <w:kern w:val="0"/>
                <w:sz w:val="15"/>
                <w:szCs w:val="15"/>
                <w:highlight w:val="none"/>
                <w:lang w:bidi="ar"/>
              </w:rPr>
              <w:t xml:space="preserve">  其他资本性支出</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13"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0.12</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35"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0"/>
                <w:szCs w:val="10"/>
                <w:highlight w:val="none"/>
              </w:rPr>
            </w:pPr>
            <w:r>
              <w:rPr>
                <w:rFonts w:hint="eastAsia" w:ascii="宋体" w:hAnsi="宋体" w:eastAsia="宋体" w:cs="宋体"/>
                <w:color w:val="000000"/>
                <w:kern w:val="0"/>
                <w:sz w:val="10"/>
                <w:szCs w:val="10"/>
                <w:highlight w:val="none"/>
                <w:lang w:bidi="ar"/>
              </w:rPr>
              <w:t xml:space="preserve">  国家赔偿费用支出</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70"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13"/>
                <w:szCs w:val="13"/>
                <w:highlight w:val="none"/>
                <w:lang w:bidi="ar"/>
              </w:rPr>
              <w:t>227.87</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39.96</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0"/>
                <w:szCs w:val="10"/>
                <w:highlight w:val="none"/>
              </w:rPr>
            </w:pPr>
            <w:r>
              <w:rPr>
                <w:rFonts w:hint="eastAsia" w:ascii="宋体" w:hAnsi="宋体" w:eastAsia="宋体" w:cs="宋体"/>
                <w:color w:val="000000"/>
                <w:kern w:val="0"/>
                <w:sz w:val="10"/>
                <w:szCs w:val="10"/>
                <w:highlight w:val="none"/>
                <w:lang w:bidi="ar"/>
              </w:rPr>
              <w:t xml:space="preserve">  对民间非营利组织和群众性自治组织补贴</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47"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47"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3"/>
                <w:szCs w:val="13"/>
                <w:highlight w:val="none"/>
              </w:rPr>
            </w:pPr>
            <w:r>
              <w:rPr>
                <w:rFonts w:hint="eastAsia" w:ascii="宋体" w:hAnsi="宋体" w:eastAsia="宋体" w:cs="宋体"/>
                <w:color w:val="000000"/>
                <w:kern w:val="0"/>
                <w:sz w:val="13"/>
                <w:szCs w:val="13"/>
                <w:highlight w:val="none"/>
                <w:lang w:bidi="ar"/>
              </w:rPr>
              <w:t xml:space="preserve">  个人农业生产补贴</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3"/>
                <w:szCs w:val="13"/>
                <w:highlight w:val="none"/>
              </w:rPr>
            </w:pPr>
            <w:r>
              <w:rPr>
                <w:rFonts w:hint="eastAsia" w:ascii="宋体" w:hAnsi="宋体" w:eastAsia="宋体" w:cs="宋体"/>
                <w:color w:val="000000"/>
                <w:kern w:val="0"/>
                <w:sz w:val="13"/>
                <w:szCs w:val="13"/>
                <w:highlight w:val="none"/>
                <w:lang w:bidi="ar"/>
              </w:rPr>
              <w:t xml:space="preserve">  公务用车运行维护费</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63"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3"/>
                <w:szCs w:val="13"/>
                <w:highlight w:val="none"/>
              </w:rPr>
            </w:pPr>
            <w:r>
              <w:rPr>
                <w:rFonts w:hint="eastAsia" w:ascii="宋体" w:hAnsi="宋体" w:eastAsia="宋体" w:cs="宋体"/>
                <w:color w:val="000000"/>
                <w:kern w:val="0"/>
                <w:sz w:val="13"/>
                <w:szCs w:val="13"/>
                <w:highlight w:val="none"/>
                <w:lang w:bidi="ar"/>
              </w:rPr>
              <w:t xml:space="preserve">  代缴社会保险费</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3"/>
                <w:szCs w:val="13"/>
                <w:highlight w:val="none"/>
              </w:rPr>
            </w:pPr>
            <w:r>
              <w:rPr>
                <w:rFonts w:hint="eastAsia" w:ascii="宋体" w:hAnsi="宋体" w:eastAsia="宋体" w:cs="宋体"/>
                <w:color w:val="000000"/>
                <w:kern w:val="0"/>
                <w:sz w:val="13"/>
                <w:szCs w:val="13"/>
                <w:highlight w:val="none"/>
                <w:lang w:bidi="ar"/>
              </w:rPr>
              <w:t xml:space="preserve">  其他交通费用</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83"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3"/>
                <w:szCs w:val="13"/>
                <w:highlight w:val="none"/>
              </w:rPr>
            </w:pPr>
            <w:r>
              <w:rPr>
                <w:rFonts w:hint="eastAsia" w:ascii="宋体" w:hAnsi="宋体" w:eastAsia="宋体" w:cs="宋体"/>
                <w:color w:val="000000"/>
                <w:kern w:val="0"/>
                <w:sz w:val="13"/>
                <w:szCs w:val="13"/>
                <w:highlight w:val="none"/>
                <w:lang w:bidi="ar"/>
              </w:rPr>
              <w:t xml:space="preserve">  其他对个人和家庭的补助</w:t>
            </w: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38.58</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3"/>
                <w:szCs w:val="13"/>
                <w:highlight w:val="none"/>
              </w:rPr>
            </w:pPr>
            <w:r>
              <w:rPr>
                <w:rFonts w:hint="eastAsia" w:ascii="宋体" w:hAnsi="宋体" w:eastAsia="宋体" w:cs="宋体"/>
                <w:color w:val="000000"/>
                <w:kern w:val="0"/>
                <w:sz w:val="13"/>
                <w:szCs w:val="13"/>
                <w:highlight w:val="none"/>
                <w:lang w:bidi="ar"/>
              </w:rPr>
              <w:t xml:space="preserve">  税金及附加费用</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23"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3"/>
                <w:szCs w:val="13"/>
                <w:highlight w:val="none"/>
              </w:rPr>
            </w:pPr>
            <w:r>
              <w:rPr>
                <w:rFonts w:hint="eastAsia" w:ascii="宋体" w:hAnsi="宋体" w:eastAsia="宋体" w:cs="宋体"/>
                <w:color w:val="000000"/>
                <w:kern w:val="0"/>
                <w:sz w:val="13"/>
                <w:szCs w:val="13"/>
                <w:highlight w:val="none"/>
                <w:lang w:bidi="ar"/>
              </w:rPr>
              <w:t xml:space="preserve">  其他商品和服务支出</w:t>
            </w: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5.54</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170"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1"/>
                <w:szCs w:val="11"/>
                <w:highlight w:val="none"/>
              </w:rPr>
            </w:pPr>
            <w:r>
              <w:rPr>
                <w:rFonts w:hint="default" w:ascii="宋体" w:hAnsi="宋体" w:eastAsia="宋体" w:cs="宋体"/>
                <w:color w:val="000000"/>
                <w:kern w:val="0"/>
                <w:sz w:val="10"/>
                <w:szCs w:val="10"/>
                <w:highlight w:val="none"/>
                <w:lang w:bidi="ar"/>
              </w:rPr>
              <w:t>人员经费合计</w:t>
            </w:r>
          </w:p>
          <w:bookmarkEnd w:id="0"/>
          <w:bookmarkEnd w:id="1"/>
        </w:tc>
        <w:tc>
          <w:tcPr>
            <w:tcW w:w="183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11"/>
                <w:szCs w:val="11"/>
                <w:highlight w:val="none"/>
              </w:rPr>
            </w:pPr>
          </w:p>
        </w:tc>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11"/>
                <w:szCs w:val="11"/>
                <w:highlight w:val="none"/>
              </w:rPr>
            </w:pPr>
            <w:r>
              <w:rPr>
                <w:rFonts w:hint="default" w:ascii="宋体" w:hAnsi="宋体" w:eastAsia="宋体" w:cs="宋体"/>
                <w:color w:val="000000"/>
                <w:kern w:val="0"/>
                <w:sz w:val="11"/>
                <w:szCs w:val="11"/>
                <w:highlight w:val="none"/>
                <w:lang w:bidi="ar"/>
              </w:rPr>
              <w:t>3232.16</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11"/>
                <w:szCs w:val="11"/>
                <w:highlight w:val="none"/>
              </w:rPr>
            </w:pPr>
            <w:r>
              <w:rPr>
                <w:rFonts w:hint="default" w:ascii="宋体" w:hAnsi="宋体" w:eastAsia="宋体" w:cs="宋体"/>
                <w:color w:val="000000"/>
                <w:kern w:val="0"/>
                <w:sz w:val="11"/>
                <w:szCs w:val="11"/>
                <w:highlight w:val="none"/>
                <w:lang w:bidi="ar"/>
              </w:rPr>
              <w:t>公用经费合计</w:t>
            </w:r>
          </w:p>
        </w:tc>
        <w:tc>
          <w:tcPr>
            <w:tcW w:w="18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8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163.02</w:t>
            </w:r>
          </w:p>
        </w:tc>
      </w:tr>
      <w:tr>
        <w:tblPrEx>
          <w:tblCellMar>
            <w:top w:w="0" w:type="dxa"/>
            <w:left w:w="108" w:type="dxa"/>
            <w:bottom w:w="0" w:type="dxa"/>
            <w:right w:w="108" w:type="dxa"/>
          </w:tblCellMar>
        </w:tblPrEx>
        <w:trPr>
          <w:trHeight w:val="322" w:hRule="atLeast"/>
          <w:jc w:val="center"/>
        </w:trPr>
        <w:tc>
          <w:tcPr>
            <w:tcW w:w="1086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sectPr>
          <w:pgSz w:w="11906" w:h="16838"/>
          <w:pgMar w:top="1134" w:right="850" w:bottom="1134" w:left="850" w:header="851" w:footer="992" w:gutter="0"/>
          <w:pgNumType w:fmt="decimal"/>
          <w:cols w:space="0" w:num="1"/>
          <w:rtlGutter w:val="0"/>
          <w:docGrid w:type="lines" w:linePitch="312" w:charSpace="0"/>
        </w:sect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tbl>
      <w:tblPr>
        <w:tblStyle w:val="6"/>
        <w:tblW w:w="10838" w:type="dxa"/>
        <w:jc w:val="center"/>
        <w:tblLayout w:type="fixed"/>
        <w:tblCellMar>
          <w:top w:w="0" w:type="dxa"/>
          <w:left w:w="108" w:type="dxa"/>
          <w:bottom w:w="0" w:type="dxa"/>
          <w:right w:w="108" w:type="dxa"/>
        </w:tblCellMar>
      </w:tblPr>
      <w:tblGrid>
        <w:gridCol w:w="995"/>
        <w:gridCol w:w="236"/>
        <w:gridCol w:w="236"/>
        <w:gridCol w:w="1248"/>
        <w:gridCol w:w="1515"/>
        <w:gridCol w:w="1268"/>
        <w:gridCol w:w="1228"/>
        <w:gridCol w:w="1289"/>
        <w:gridCol w:w="1325"/>
        <w:gridCol w:w="1495"/>
        <w:gridCol w:w="3"/>
      </w:tblGrid>
      <w:tr>
        <w:tblPrEx>
          <w:tblCellMar>
            <w:top w:w="0" w:type="dxa"/>
            <w:left w:w="108" w:type="dxa"/>
            <w:bottom w:w="0" w:type="dxa"/>
            <w:right w:w="108" w:type="dxa"/>
          </w:tblCellMar>
        </w:tblPrEx>
        <w:trPr>
          <w:trHeight w:val="621" w:hRule="atLeast"/>
          <w:jc w:val="center"/>
        </w:trPr>
        <w:tc>
          <w:tcPr>
            <w:tcW w:w="10838"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gridAfter w:val="1"/>
          <w:wAfter w:w="3" w:type="dxa"/>
          <w:trHeight w:val="311" w:hRule="atLeast"/>
          <w:jc w:val="center"/>
        </w:trPr>
        <w:tc>
          <w:tcPr>
            <w:tcW w:w="9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1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9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311" w:hRule="atLeast"/>
          <w:jc w:val="center"/>
        </w:trPr>
        <w:tc>
          <w:tcPr>
            <w:tcW w:w="6726"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环江毛南族自治县洛阳镇中心小学</w:t>
            </w:r>
          </w:p>
        </w:tc>
        <w:tc>
          <w:tcPr>
            <w:tcW w:w="128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25"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9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15"/>
                <w:szCs w:val="15"/>
                <w:highlight w:val="none"/>
                <w:lang w:bidi="ar"/>
              </w:rPr>
              <w:t>金额单位：万元</w:t>
            </w:r>
          </w:p>
        </w:tc>
      </w:tr>
      <w:tr>
        <w:tblPrEx>
          <w:tblCellMar>
            <w:top w:w="0" w:type="dxa"/>
            <w:left w:w="108" w:type="dxa"/>
            <w:bottom w:w="0" w:type="dxa"/>
            <w:right w:w="108" w:type="dxa"/>
          </w:tblCellMar>
        </w:tblPrEx>
        <w:trPr>
          <w:trHeight w:val="320" w:hRule="atLeast"/>
          <w:jc w:val="center"/>
        </w:trPr>
        <w:tc>
          <w:tcPr>
            <w:tcW w:w="271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38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49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trHeight w:val="312" w:hRule="atLeast"/>
          <w:jc w:val="center"/>
        </w:trPr>
        <w:tc>
          <w:tcPr>
            <w:tcW w:w="123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48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2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3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49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jc w:val="center"/>
        </w:trPr>
        <w:tc>
          <w:tcPr>
            <w:tcW w:w="123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9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jc w:val="center"/>
        </w:trPr>
        <w:tc>
          <w:tcPr>
            <w:tcW w:w="123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9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0" w:hRule="atLeast"/>
          <w:jc w:val="center"/>
        </w:trPr>
        <w:tc>
          <w:tcPr>
            <w:tcW w:w="271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2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2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320" w:hRule="atLeast"/>
          <w:jc w:val="center"/>
        </w:trPr>
        <w:tc>
          <w:tcPr>
            <w:tcW w:w="271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1.20</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1.20</w:t>
            </w:r>
          </w:p>
        </w:tc>
        <w:tc>
          <w:tcPr>
            <w:tcW w:w="12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1.20</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0" w:hRule="atLeast"/>
          <w:jc w:val="center"/>
        </w:trPr>
        <w:tc>
          <w:tcPr>
            <w:tcW w:w="123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14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其他支出</w:t>
            </w: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2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1.20</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1.20</w:t>
            </w:r>
          </w:p>
        </w:tc>
        <w:tc>
          <w:tcPr>
            <w:tcW w:w="12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1.20</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31" w:hRule="atLeast"/>
          <w:jc w:val="center"/>
        </w:trPr>
        <w:tc>
          <w:tcPr>
            <w:tcW w:w="123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w:t>
            </w:r>
          </w:p>
        </w:tc>
        <w:tc>
          <w:tcPr>
            <w:tcW w:w="14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彩票公益金安排的支出</w:t>
            </w: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2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1.20</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1.20</w:t>
            </w:r>
          </w:p>
        </w:tc>
        <w:tc>
          <w:tcPr>
            <w:tcW w:w="12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1.20</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941" w:hRule="atLeast"/>
          <w:jc w:val="center"/>
        </w:trPr>
        <w:tc>
          <w:tcPr>
            <w:tcW w:w="123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2296004</w:t>
            </w:r>
          </w:p>
        </w:tc>
        <w:tc>
          <w:tcPr>
            <w:tcW w:w="14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用于教育事业的彩票公益金支出</w:t>
            </w: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2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1.20</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1.20</w:t>
            </w:r>
          </w:p>
        </w:tc>
        <w:tc>
          <w:tcPr>
            <w:tcW w:w="12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1.20</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20" w:hRule="atLeast"/>
          <w:jc w:val="center"/>
        </w:trPr>
        <w:tc>
          <w:tcPr>
            <w:tcW w:w="10838"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tc>
      </w:tr>
    </w:tbl>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tbl>
      <w:tblPr>
        <w:tblStyle w:val="6"/>
        <w:tblW w:w="10240" w:type="dxa"/>
        <w:jc w:val="center"/>
        <w:tblLayout w:type="fixed"/>
        <w:tblCellMar>
          <w:top w:w="0" w:type="dxa"/>
          <w:left w:w="108" w:type="dxa"/>
          <w:bottom w:w="0" w:type="dxa"/>
          <w:right w:w="108" w:type="dxa"/>
        </w:tblCellMar>
      </w:tblPr>
      <w:tblGrid>
        <w:gridCol w:w="1196"/>
        <w:gridCol w:w="362"/>
        <w:gridCol w:w="236"/>
        <w:gridCol w:w="261"/>
        <w:gridCol w:w="1435"/>
        <w:gridCol w:w="2192"/>
        <w:gridCol w:w="2298"/>
        <w:gridCol w:w="2260"/>
      </w:tblGrid>
      <w:tr>
        <w:tblPrEx>
          <w:tblCellMar>
            <w:top w:w="0" w:type="dxa"/>
            <w:left w:w="108" w:type="dxa"/>
            <w:bottom w:w="0" w:type="dxa"/>
            <w:right w:w="108" w:type="dxa"/>
          </w:tblCellMar>
        </w:tblPrEx>
        <w:trPr>
          <w:trHeight w:val="498" w:hRule="atLeast"/>
          <w:jc w:val="center"/>
        </w:trPr>
        <w:tc>
          <w:tcPr>
            <w:tcW w:w="102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305" w:hRule="atLeast"/>
          <w:jc w:val="center"/>
        </w:trPr>
        <w:tc>
          <w:tcPr>
            <w:tcW w:w="1558"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9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305" w:hRule="atLeast"/>
          <w:jc w:val="center"/>
        </w:trPr>
        <w:tc>
          <w:tcPr>
            <w:tcW w:w="5682"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环江毛南族自治县洛阳镇中心小学</w:t>
            </w:r>
          </w:p>
        </w:tc>
        <w:tc>
          <w:tcPr>
            <w:tcW w:w="229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jc w:val="center"/>
        </w:trPr>
        <w:tc>
          <w:tcPr>
            <w:tcW w:w="349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67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jc w:val="center"/>
        </w:trPr>
        <w:tc>
          <w:tcPr>
            <w:tcW w:w="119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94"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1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29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2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jc w:val="center"/>
        </w:trPr>
        <w:tc>
          <w:tcPr>
            <w:tcW w:w="119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94"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9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9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6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jc w:val="center"/>
        </w:trPr>
        <w:tc>
          <w:tcPr>
            <w:tcW w:w="119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94"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9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9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6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5" w:hRule="atLeast"/>
          <w:jc w:val="center"/>
        </w:trPr>
        <w:tc>
          <w:tcPr>
            <w:tcW w:w="349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2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15" w:hRule="atLeast"/>
          <w:jc w:val="center"/>
        </w:trPr>
        <w:tc>
          <w:tcPr>
            <w:tcW w:w="349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19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2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22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15" w:hRule="atLeast"/>
          <w:jc w:val="center"/>
        </w:trPr>
        <w:tc>
          <w:tcPr>
            <w:tcW w:w="119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294"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19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2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22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2"/>
          <w:szCs w:val="22"/>
          <w:lang w:val="en-US" w:eastAsia="zh-CN" w:bidi="ar"/>
        </w:rPr>
        <w:t>本单位</w:t>
      </w:r>
      <w:r>
        <w:rPr>
          <w:rFonts w:hint="default" w:ascii="Times New Roman" w:hAnsi="Times New Roman" w:eastAsia="宋体" w:cs="Times New Roman"/>
          <w:color w:val="auto"/>
          <w:kern w:val="2"/>
          <w:sz w:val="22"/>
          <w:szCs w:val="22"/>
          <w:lang w:val="en-US" w:eastAsia="zh-CN" w:bidi="ar"/>
        </w:rPr>
        <w:t>2022</w:t>
      </w:r>
      <w:r>
        <w:rPr>
          <w:rFonts w:hint="eastAsia" w:ascii="宋体" w:hAnsi="宋体" w:eastAsia="宋体" w:cs="宋体"/>
          <w:color w:val="auto"/>
          <w:kern w:val="2"/>
          <w:sz w:val="22"/>
          <w:szCs w:val="22"/>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0410" w:type="dxa"/>
        <w:jc w:val="center"/>
        <w:tblLayout w:type="fixed"/>
        <w:tblCellMar>
          <w:top w:w="0" w:type="dxa"/>
          <w:left w:w="108" w:type="dxa"/>
          <w:bottom w:w="0" w:type="dxa"/>
          <w:right w:w="108" w:type="dxa"/>
        </w:tblCellMar>
      </w:tblPr>
      <w:tblGrid>
        <w:gridCol w:w="1136"/>
        <w:gridCol w:w="1055"/>
        <w:gridCol w:w="809"/>
        <w:gridCol w:w="857"/>
        <w:gridCol w:w="839"/>
        <w:gridCol w:w="768"/>
        <w:gridCol w:w="790"/>
        <w:gridCol w:w="858"/>
        <w:gridCol w:w="779"/>
        <w:gridCol w:w="851"/>
        <w:gridCol w:w="839"/>
        <w:gridCol w:w="829"/>
      </w:tblGrid>
      <w:tr>
        <w:tblPrEx>
          <w:tblCellMar>
            <w:top w:w="0" w:type="dxa"/>
            <w:left w:w="108" w:type="dxa"/>
            <w:bottom w:w="0" w:type="dxa"/>
            <w:right w:w="108" w:type="dxa"/>
          </w:tblCellMar>
        </w:tblPrEx>
        <w:trPr>
          <w:trHeight w:val="831" w:hRule="atLeast"/>
          <w:jc w:val="center"/>
        </w:trPr>
        <w:tc>
          <w:tcPr>
            <w:tcW w:w="1041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30"/>
                <w:szCs w:val="30"/>
                <w:highlight w:val="none"/>
                <w:lang w:bidi="ar"/>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trHeight w:val="311" w:hRule="atLeast"/>
          <w:jc w:val="center"/>
        </w:trPr>
        <w:tc>
          <w:tcPr>
            <w:tcW w:w="11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0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5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5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7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2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13"/>
                <w:szCs w:val="13"/>
                <w:highlight w:val="none"/>
                <w:lang w:bidi="ar"/>
              </w:rPr>
              <w:t>公开0</w:t>
            </w:r>
            <w:r>
              <w:rPr>
                <w:rFonts w:hint="eastAsia" w:ascii="宋体" w:hAnsi="宋体" w:eastAsia="宋体" w:cs="宋体"/>
                <w:color w:val="000000"/>
                <w:kern w:val="0"/>
                <w:sz w:val="13"/>
                <w:szCs w:val="13"/>
                <w:highlight w:val="none"/>
                <w:lang w:val="en-US" w:eastAsia="zh-CN" w:bidi="ar"/>
              </w:rPr>
              <w:t>9</w:t>
            </w:r>
            <w:r>
              <w:rPr>
                <w:rFonts w:hint="eastAsia" w:ascii="宋体" w:hAnsi="宋体" w:eastAsia="宋体" w:cs="宋体"/>
                <w:color w:val="000000"/>
                <w:kern w:val="0"/>
                <w:sz w:val="13"/>
                <w:szCs w:val="13"/>
                <w:highlight w:val="none"/>
                <w:lang w:bidi="ar"/>
              </w:rPr>
              <w:t>表</w:t>
            </w:r>
          </w:p>
        </w:tc>
      </w:tr>
      <w:tr>
        <w:tblPrEx>
          <w:tblCellMar>
            <w:top w:w="0" w:type="dxa"/>
            <w:left w:w="108" w:type="dxa"/>
            <w:bottom w:w="0" w:type="dxa"/>
            <w:right w:w="108" w:type="dxa"/>
          </w:tblCellMar>
        </w:tblPrEx>
        <w:trPr>
          <w:trHeight w:val="318" w:hRule="atLeast"/>
          <w:jc w:val="center"/>
        </w:trPr>
        <w:tc>
          <w:tcPr>
            <w:tcW w:w="5464"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环江毛南族自治县洛阳镇中心小学</w:t>
            </w:r>
          </w:p>
        </w:tc>
        <w:tc>
          <w:tcPr>
            <w:tcW w:w="7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5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7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6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8" w:hRule="atLeast"/>
          <w:jc w:val="center"/>
        </w:trPr>
        <w:tc>
          <w:tcPr>
            <w:tcW w:w="54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4946"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645" w:hRule="atLeast"/>
          <w:jc w:val="center"/>
        </w:trPr>
        <w:tc>
          <w:tcPr>
            <w:tcW w:w="113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0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250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76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79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85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246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8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trHeight w:val="1279" w:hRule="atLeast"/>
          <w:jc w:val="center"/>
        </w:trPr>
        <w:tc>
          <w:tcPr>
            <w:tcW w:w="113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8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76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9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5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8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82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45" w:hRule="atLeast"/>
          <w:jc w:val="center"/>
        </w:trPr>
        <w:tc>
          <w:tcPr>
            <w:tcW w:w="11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0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80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8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8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7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7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8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7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8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8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82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trHeight w:val="410" w:hRule="atLeast"/>
          <w:jc w:val="center"/>
        </w:trPr>
        <w:tc>
          <w:tcPr>
            <w:tcW w:w="113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80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83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85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77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839"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829"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1597" w:hRule="atLeast"/>
          <w:jc w:val="center"/>
        </w:trPr>
        <w:tc>
          <w:tcPr>
            <w:tcW w:w="10410"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本单位</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1906" w:h="16838"/>
          <w:pgMar w:top="1134" w:right="1134" w:bottom="1134" w:left="1134" w:header="851" w:footer="992" w:gutter="0"/>
          <w:pgNumType w:fmt="decimal"/>
          <w:cols w:space="0" w:num="1"/>
          <w:rtlGutter w:val="0"/>
          <w:docGrid w:type="lines" w:linePitch="321" w:charSpace="0"/>
        </w:sect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环江毛南族自治县洛阳镇中心小学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3716.61</w:t>
      </w:r>
      <w:r>
        <w:rPr>
          <w:rFonts w:hint="eastAsia" w:ascii="仿宋" w:hAnsi="仿宋" w:eastAsia="仿宋" w:cs="仿宋"/>
          <w:sz w:val="32"/>
          <w:szCs w:val="32"/>
          <w:highlight w:val="none"/>
        </w:rPr>
        <w:t>万元，较2021年度决算数</w:t>
      </w:r>
      <w:r>
        <w:rPr>
          <w:rFonts w:ascii="仿宋" w:hAnsi="仿宋" w:eastAsia="仿宋" w:cs="仿宋"/>
          <w:sz w:val="32"/>
          <w:u w:color="auto"/>
        </w:rPr>
        <w:t>减少549.84</w:t>
      </w:r>
      <w:r>
        <w:rPr>
          <w:rFonts w:hint="eastAsia" w:ascii="仿宋" w:hAnsi="仿宋" w:eastAsia="仿宋" w:cs="仿宋"/>
          <w:sz w:val="32"/>
          <w:szCs w:val="32"/>
          <w:highlight w:val="none"/>
        </w:rPr>
        <w:t>万元，</w:t>
      </w:r>
      <w:r>
        <w:rPr>
          <w:rFonts w:ascii="仿宋" w:hAnsi="仿宋" w:eastAsia="仿宋" w:cs="仿宋"/>
          <w:sz w:val="32"/>
          <w:u w:color="auto"/>
        </w:rPr>
        <w:t>下降12.89%</w:t>
      </w:r>
      <w:r>
        <w:rPr>
          <w:rFonts w:hint="eastAsia" w:ascii="仿宋" w:hAnsi="仿宋" w:eastAsia="仿宋" w:cs="仿宋"/>
          <w:sz w:val="32"/>
          <w:szCs w:val="32"/>
          <w:highlight w:val="none"/>
        </w:rPr>
        <w:t>，其中本年收入</w:t>
      </w:r>
      <w:r>
        <w:rPr>
          <w:rFonts w:ascii="仿宋" w:hAnsi="仿宋" w:eastAsia="仿宋" w:cs="仿宋"/>
          <w:sz w:val="32"/>
          <w:u w:color="auto"/>
        </w:rPr>
        <w:t>3716.61</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3715.41</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增加124.11</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增长3.46%</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教师工资福利提高。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1.20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增加1.20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主要原因是：本单位是财政全额拨款单位，没有</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主要原因是：本单位是财政全额拨款单位，没有</w:t>
      </w:r>
      <w:r>
        <w:rPr>
          <w:rFonts w:hint="eastAsia" w:ascii="仿宋" w:hAnsi="仿宋" w:eastAsia="仿宋" w:cs="仿宋"/>
          <w:color w:val="auto"/>
          <w:kern w:val="2"/>
          <w:sz w:val="32"/>
          <w:szCs w:val="32"/>
          <w:highlight w:val="none"/>
          <w:lang w:val="en-US" w:eastAsia="zh-CN" w:bidi="ar"/>
        </w:rPr>
        <w:t>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主要原因是：本单位是财政全额拨款单位，</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本单位人事义务教学工作，没有经营性收入。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减少675.15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25315" cy="2103120"/>
            <wp:effectExtent l="4445" t="4445" r="5080"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3716.61</w:t>
      </w:r>
      <w:r>
        <w:rPr>
          <w:rFonts w:hint="eastAsia" w:ascii="仿宋" w:hAnsi="仿宋" w:eastAsia="仿宋" w:cs="仿宋"/>
          <w:sz w:val="32"/>
          <w:szCs w:val="32"/>
          <w:highlight w:val="none"/>
        </w:rPr>
        <w:t>万元，其中本年支出</w:t>
      </w:r>
      <w:r>
        <w:rPr>
          <w:rFonts w:ascii="仿宋" w:hAnsi="仿宋" w:eastAsia="仿宋" w:cs="仿宋"/>
          <w:sz w:val="32"/>
          <w:u w:color="auto"/>
        </w:rPr>
        <w:t>3716.61</w:t>
      </w:r>
      <w:r>
        <w:rPr>
          <w:rFonts w:hint="eastAsia" w:ascii="仿宋" w:hAnsi="仿宋" w:eastAsia="仿宋" w:cs="仿宋"/>
          <w:sz w:val="32"/>
          <w:szCs w:val="32"/>
          <w:highlight w:val="none"/>
        </w:rPr>
        <w:t>万元，较2021年度决算数</w:t>
      </w:r>
      <w:r>
        <w:rPr>
          <w:rFonts w:ascii="仿宋" w:hAnsi="仿宋" w:eastAsia="仿宋" w:cs="仿宋"/>
          <w:sz w:val="32"/>
          <w:u w:color="auto"/>
        </w:rPr>
        <w:t>减少549.84</w:t>
      </w:r>
      <w:r>
        <w:rPr>
          <w:rFonts w:hint="eastAsia" w:ascii="仿宋" w:hAnsi="仿宋" w:eastAsia="仿宋" w:cs="仿宋"/>
          <w:sz w:val="32"/>
          <w:szCs w:val="32"/>
          <w:highlight w:val="none"/>
        </w:rPr>
        <w:t>万元，</w:t>
      </w:r>
      <w:r>
        <w:rPr>
          <w:rFonts w:ascii="仿宋" w:hAnsi="仿宋" w:eastAsia="仿宋" w:cs="仿宋"/>
          <w:sz w:val="32"/>
          <w:u w:color="auto"/>
        </w:rPr>
        <w:t>下降12.89%</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39.96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val="en-US" w:eastAsia="zh-CN"/>
          <w14:textFill>
            <w14:solidFill>
              <w14:schemeClr w14:val="tx1"/>
            </w14:solidFill>
          </w14:textFill>
        </w:rPr>
        <w:t>2022年工会经费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增加39.96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2021年工会经费没在2021年年度决算数中。</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2773.43</w:t>
      </w:r>
      <w:r>
        <w:rPr>
          <w:rFonts w:hint="eastAsia" w:ascii="仿宋" w:hAnsi="仿宋" w:eastAsia="仿宋" w:cs="仿宋"/>
          <w:sz w:val="32"/>
          <w:szCs w:val="32"/>
          <w:highlight w:val="none"/>
        </w:rPr>
        <w:t>万元：</w:t>
      </w:r>
      <w:r>
        <w:rPr>
          <w:rFonts w:hint="eastAsia" w:ascii="仿宋_GB2312" w:hAnsi="仿宋_GB2312" w:eastAsia="仿宋_GB2312" w:cs="仿宋_GB2312"/>
          <w:bCs/>
          <w:kern w:val="0"/>
          <w:sz w:val="32"/>
          <w:szCs w:val="32"/>
          <w:highlight w:val="none"/>
        </w:rPr>
        <w:t>主要用于本部门为保证日常运转发生的基本支出，如根据国家及自治区规定</w:t>
      </w:r>
      <w:r>
        <w:rPr>
          <w:rFonts w:hint="eastAsia" w:ascii="仿宋_GB2312" w:hAnsi="仿宋_GB2312" w:eastAsia="仿宋_GB2312" w:cs="仿宋_GB2312"/>
          <w:bCs/>
          <w:spacing w:val="-3"/>
          <w:kern w:val="0"/>
          <w:sz w:val="32"/>
          <w:szCs w:val="32"/>
          <w:highlight w:val="none"/>
        </w:rPr>
        <w:t>的基本工资和津补贴标准等安排的人员经费支出和日常公用经</w:t>
      </w:r>
      <w:r>
        <w:rPr>
          <w:rFonts w:hint="eastAsia" w:ascii="仿宋_GB2312" w:hAnsi="仿宋_GB2312" w:eastAsia="仿宋_GB2312" w:cs="仿宋_GB2312"/>
          <w:bCs/>
          <w:kern w:val="0"/>
          <w:sz w:val="32"/>
          <w:szCs w:val="32"/>
          <w:highlight w:val="none"/>
        </w:rPr>
        <w:t>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减少464.74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下降14.35%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在职在编教职工人数减少，在校生数减少。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280.40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auto"/>
          <w:kern w:val="2"/>
          <w:sz w:val="32"/>
          <w:szCs w:val="32"/>
          <w:highlight w:val="none"/>
          <w:lang w:val="en-US" w:eastAsia="zh-CN" w:bidi="ar"/>
        </w:rPr>
        <w:t>在职在编教职工社会保险缴费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减少135.45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下降32.57%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在职在编教职工人数减少。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209.05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kern w:val="0"/>
          <w:sz w:val="32"/>
          <w:szCs w:val="32"/>
          <w:highlight w:val="none"/>
        </w:rPr>
        <w:t>本部门</w:t>
      </w:r>
      <w:r>
        <w:rPr>
          <w:rFonts w:hint="eastAsia" w:ascii="仿宋" w:hAnsi="仿宋" w:eastAsia="仿宋" w:cs="仿宋"/>
          <w:color w:val="auto"/>
          <w:kern w:val="2"/>
          <w:sz w:val="32"/>
          <w:szCs w:val="32"/>
          <w:highlight w:val="none"/>
          <w:lang w:val="en-US" w:eastAsia="zh-CN" w:bidi="ar"/>
        </w:rPr>
        <w:t>在职在编教职工</w:t>
      </w:r>
      <w:r>
        <w:rPr>
          <w:rFonts w:hint="eastAsia" w:ascii="仿宋_GB2312" w:hAnsi="仿宋_GB2312" w:eastAsia="仿宋_GB2312" w:cs="仿宋_GB2312"/>
          <w:bCs/>
          <w:kern w:val="0"/>
          <w:sz w:val="32"/>
          <w:szCs w:val="32"/>
          <w:highlight w:val="none"/>
        </w:rPr>
        <w:t>按规定的比例计缴的住房公积金。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增加101.50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增长94.37%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主要原因是调整</w:t>
      </w:r>
      <w:r>
        <w:rPr>
          <w:rFonts w:hint="eastAsia" w:ascii="仿宋" w:hAnsi="仿宋" w:eastAsia="仿宋" w:cs="仿宋"/>
          <w:color w:val="auto"/>
          <w:kern w:val="2"/>
          <w:sz w:val="32"/>
          <w:szCs w:val="32"/>
          <w:highlight w:val="none"/>
          <w:lang w:val="en-US" w:eastAsia="zh-CN" w:bidi="ar"/>
        </w:rPr>
        <w:t>在职在编教职工计缴基数，计缴金额增加。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413.77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学校公用经费、寄宿生生活补助、困难学生生活补助、学生营养餐经费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减少91.11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下降18.05%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主要原因是：在校学生数减少</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lang w:eastAsia="zh-CN"/>
        </w:rPr>
        <w:t>。</w:t>
      </w:r>
    </w:p>
    <w:p>
      <w:pPr>
        <w:ind w:firstLine="640" w:firstLineChars="200"/>
        <w:jc w:val="both"/>
        <w:rPr>
          <w:rFonts w:hint="eastAsia" w:ascii="黑体" w:hAnsi="黑体" w:eastAsia="黑体" w:cs="黑体"/>
          <w:sz w:val="32"/>
          <w:szCs w:val="32"/>
          <w:highlight w:val="none"/>
        </w:rPr>
      </w:pPr>
      <w:r>
        <w:rPr>
          <w:rFonts w:hint="eastAsia" w:ascii="仿宋" w:hAnsi="仿宋" w:eastAsia="仿宋" w:cs="仿宋"/>
          <w:sz w:val="32"/>
          <w:szCs w:val="32"/>
          <w:highlight w:val="none"/>
        </w:rPr>
        <w:drawing>
          <wp:inline distT="0" distB="0" distL="114300" distR="114300">
            <wp:extent cx="5605780" cy="3489325"/>
            <wp:effectExtent l="5080" t="4445" r="889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环江毛南族自治县洛阳镇中心小学2022年度一般公共预算财政拨款支出</w:t>
      </w:r>
      <w:r>
        <w:rPr>
          <w:rFonts w:ascii="仿宋" w:hAnsi="仿宋" w:eastAsia="仿宋" w:cs="仿宋"/>
          <w:sz w:val="32"/>
          <w:u w:color="auto"/>
        </w:rPr>
        <w:t>3715.41</w:t>
      </w:r>
      <w:r>
        <w:rPr>
          <w:rFonts w:hint="eastAsia" w:ascii="仿宋" w:hAnsi="仿宋" w:eastAsia="仿宋" w:cs="仿宋"/>
          <w:sz w:val="32"/>
          <w:szCs w:val="32"/>
          <w:highlight w:val="none"/>
        </w:rPr>
        <w:t>万元，较2021年度决算数</w:t>
      </w:r>
      <w:r>
        <w:rPr>
          <w:rFonts w:ascii="仿宋" w:hAnsi="仿宋" w:eastAsia="仿宋" w:cs="仿宋"/>
          <w:sz w:val="32"/>
          <w:u w:color="auto"/>
        </w:rPr>
        <w:t>减少547.85</w:t>
      </w:r>
      <w:r>
        <w:rPr>
          <w:rFonts w:hint="eastAsia" w:ascii="仿宋" w:hAnsi="仿宋" w:eastAsia="仿宋" w:cs="仿宋"/>
          <w:sz w:val="32"/>
          <w:szCs w:val="32"/>
          <w:highlight w:val="none"/>
        </w:rPr>
        <w:t>万元，</w:t>
      </w:r>
      <w:r>
        <w:rPr>
          <w:rFonts w:ascii="仿宋" w:hAnsi="仿宋" w:eastAsia="仿宋" w:cs="仿宋"/>
          <w:sz w:val="32"/>
          <w:u w:color="auto"/>
        </w:rPr>
        <w:t>下降12.85%</w:t>
      </w:r>
      <w:r>
        <w:rPr>
          <w:rFonts w:hint="eastAsia" w:ascii="仿宋" w:hAnsi="仿宋" w:eastAsia="仿宋" w:cs="仿宋"/>
          <w:sz w:val="32"/>
          <w:szCs w:val="32"/>
          <w:highlight w:val="none"/>
        </w:rPr>
        <w:t>。其中：基本支出</w:t>
      </w:r>
      <w:r>
        <w:rPr>
          <w:rFonts w:ascii="仿宋" w:hAnsi="仿宋" w:eastAsia="仿宋" w:cs="仿宋"/>
          <w:sz w:val="32"/>
          <w:u w:color="auto"/>
        </w:rPr>
        <w:t>3395.19</w:t>
      </w:r>
      <w:r>
        <w:rPr>
          <w:rFonts w:hint="eastAsia" w:ascii="仿宋" w:hAnsi="仿宋" w:eastAsia="仿宋" w:cs="仿宋"/>
          <w:sz w:val="32"/>
          <w:szCs w:val="32"/>
          <w:highlight w:val="none"/>
        </w:rPr>
        <w:t>万元，项目支出</w:t>
      </w:r>
      <w:r>
        <w:rPr>
          <w:rFonts w:ascii="仿宋" w:hAnsi="仿宋" w:eastAsia="仿宋" w:cs="仿宋"/>
          <w:sz w:val="32"/>
          <w:u w:color="auto"/>
        </w:rPr>
        <w:t>320.22</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环江毛南族自治县洛阳镇中心小学2022 年度一般公共预算财政拨款支出年初预算为</w:t>
      </w:r>
      <w:r>
        <w:rPr>
          <w:rFonts w:ascii="仿宋" w:hAnsi="仿宋" w:eastAsia="仿宋" w:cs="仿宋"/>
          <w:sz w:val="32"/>
          <w:u w:color="auto"/>
        </w:rPr>
        <w:t>2784.16</w:t>
      </w:r>
      <w:r>
        <w:rPr>
          <w:rFonts w:hint="eastAsia" w:ascii="仿宋" w:hAnsi="仿宋" w:eastAsia="仿宋" w:cs="仿宋"/>
          <w:sz w:val="32"/>
          <w:szCs w:val="32"/>
          <w:highlight w:val="none"/>
        </w:rPr>
        <w:t>万元，支出决算为</w:t>
      </w:r>
      <w:r>
        <w:rPr>
          <w:rFonts w:ascii="仿宋" w:hAnsi="仿宋" w:eastAsia="仿宋" w:cs="仿宋"/>
          <w:sz w:val="32"/>
          <w:u w:color="auto"/>
        </w:rPr>
        <w:t>3715.41</w:t>
      </w:r>
      <w:r>
        <w:rPr>
          <w:rFonts w:hint="eastAsia" w:ascii="仿宋" w:hAnsi="仿宋" w:eastAsia="仿宋" w:cs="仿宋"/>
          <w:sz w:val="32"/>
          <w:szCs w:val="32"/>
          <w:highlight w:val="none"/>
        </w:rPr>
        <w:t>万元，完成年初预算的</w:t>
      </w:r>
      <w:r>
        <w:rPr>
          <w:rFonts w:ascii="仿宋" w:hAnsi="仿宋" w:eastAsia="仿宋" w:cs="仿宋"/>
          <w:sz w:val="32"/>
          <w:u w:color="auto"/>
        </w:rPr>
        <w:t>133.45%</w:t>
      </w:r>
      <w:r>
        <w:rPr>
          <w:rFonts w:hint="eastAsia" w:ascii="仿宋" w:hAnsi="仿宋" w:eastAsia="仿宋" w:cs="仿宋"/>
          <w:sz w:val="32"/>
          <w:szCs w:val="32"/>
          <w:highlight w:val="none"/>
        </w:rPr>
        <w:t>。</w:t>
      </w:r>
    </w:p>
    <w:p>
      <w:pPr>
        <w:jc w:val="left"/>
        <w:rPr>
          <w:rFonts w:hint="eastAsia" w:eastAsia="仿宋"/>
          <w:color w:val="FF0000"/>
          <w:highlight w:val="none"/>
          <w:lang w:val="en-US" w:eastAsia="zh-CN"/>
        </w:rPr>
      </w:pPr>
      <w:bookmarkStart w:id="3" w:name="OLE_LINK2"/>
      <w:bookmarkEnd w:id="3"/>
      <w:r>
        <w:rPr>
          <w:rFonts w:hint="eastAsia" w:ascii="仿宋" w:hAnsi="仿宋" w:eastAsia="仿宋"/>
          <w:sz w:val="32"/>
          <w:szCs w:val="32"/>
          <w:highlight w:val="none"/>
        </w:rPr>
        <w:t xml:space="preserve"> 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39.96</w:t>
      </w:r>
      <w:r>
        <w:rPr>
          <w:rFonts w:hint="eastAsia" w:ascii="仿宋" w:hAnsi="仿宋" w:eastAsia="仿宋"/>
          <w:sz w:val="32"/>
          <w:szCs w:val="32"/>
          <w:highlight w:val="none"/>
        </w:rPr>
        <w:t>万元，支出决算为</w:t>
      </w:r>
      <w:r>
        <w:rPr>
          <w:rFonts w:ascii="仿宋" w:hAnsi="仿宋" w:eastAsia="仿宋"/>
          <w:sz w:val="32"/>
          <w:szCs w:val="32"/>
          <w:highlight w:val="none"/>
        </w:rPr>
        <w:t>39.96</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239"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55"/>
        <w:gridCol w:w="2232"/>
        <w:gridCol w:w="852"/>
        <w:gridCol w:w="804"/>
        <w:gridCol w:w="18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4" w:hRule="atLeast"/>
        </w:trPr>
        <w:tc>
          <w:tcPr>
            <w:tcW w:w="955"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2232"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52"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4"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848"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548"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6" w:hRule="atLeast"/>
        </w:trPr>
        <w:tc>
          <w:tcPr>
            <w:tcW w:w="955" w:type="dxa"/>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2232" w:type="dxa"/>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852"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39.96</w:t>
            </w:r>
          </w:p>
        </w:tc>
        <w:tc>
          <w:tcPr>
            <w:tcW w:w="804"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39.96</w:t>
            </w:r>
          </w:p>
        </w:tc>
        <w:tc>
          <w:tcPr>
            <w:tcW w:w="1848"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548"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2022年工会费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 w:hRule="atLeast"/>
        </w:trPr>
        <w:tc>
          <w:tcPr>
            <w:tcW w:w="955" w:type="dxa"/>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2232" w:type="dxa"/>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52"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39.96</w:t>
            </w:r>
          </w:p>
        </w:tc>
        <w:tc>
          <w:tcPr>
            <w:tcW w:w="804"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39.96</w:t>
            </w:r>
          </w:p>
        </w:tc>
        <w:tc>
          <w:tcPr>
            <w:tcW w:w="1848"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548" w:type="dxa"/>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default" w:eastAsia="仿宋"/>
          <w:color w:val="auto"/>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2184.74</w:t>
      </w:r>
      <w:r>
        <w:rPr>
          <w:rFonts w:hint="eastAsia" w:ascii="仿宋" w:hAnsi="仿宋" w:eastAsia="仿宋"/>
          <w:sz w:val="32"/>
          <w:szCs w:val="32"/>
          <w:highlight w:val="none"/>
        </w:rPr>
        <w:t>万元，支出决算为</w:t>
      </w:r>
      <w:r>
        <w:rPr>
          <w:rFonts w:ascii="仿宋" w:hAnsi="仿宋" w:eastAsia="仿宋"/>
          <w:sz w:val="32"/>
          <w:szCs w:val="32"/>
          <w:highlight w:val="none"/>
        </w:rPr>
        <w:t>2773.43</w:t>
      </w:r>
      <w:r>
        <w:rPr>
          <w:rFonts w:hint="eastAsia" w:ascii="仿宋" w:hAnsi="仿宋" w:eastAsia="仿宋"/>
          <w:sz w:val="32"/>
          <w:szCs w:val="32"/>
          <w:highlight w:val="none"/>
        </w:rPr>
        <w:t>万元，完成年初预算的</w:t>
      </w:r>
      <w:r>
        <w:rPr>
          <w:rFonts w:ascii="仿宋" w:hAnsi="仿宋" w:eastAsia="仿宋"/>
          <w:sz w:val="32"/>
          <w:szCs w:val="32"/>
          <w:highlight w:val="none"/>
        </w:rPr>
        <w:t>126.95%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在职在编教师工资福利提高。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91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7"/>
        <w:gridCol w:w="1157"/>
        <w:gridCol w:w="1068"/>
        <w:gridCol w:w="866"/>
        <w:gridCol w:w="1179"/>
        <w:gridCol w:w="1917"/>
        <w:gridCol w:w="1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15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10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1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9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2050202</w:t>
            </w:r>
          </w:p>
        </w:tc>
        <w:tc>
          <w:tcPr>
            <w:tcW w:w="115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w:t>
            </w:r>
          </w:p>
        </w:tc>
        <w:tc>
          <w:tcPr>
            <w:tcW w:w="10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2184.74</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2641.36</w:t>
            </w:r>
          </w:p>
        </w:tc>
        <w:tc>
          <w:tcPr>
            <w:tcW w:w="11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120.90%</w:t>
            </w:r>
          </w:p>
        </w:tc>
        <w:tc>
          <w:tcPr>
            <w:tcW w:w="19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教师工资福利支出</w:t>
            </w:r>
          </w:p>
        </w:tc>
        <w:tc>
          <w:tcPr>
            <w:tcW w:w="19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18"/>
                <w:szCs w:val="18"/>
                <w:highlight w:val="none"/>
                <w:lang w:val="en-US" w:eastAsia="zh-CN" w:bidi="ar"/>
              </w:rPr>
              <w:t>工资福利提高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15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10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129.13</w:t>
            </w:r>
          </w:p>
        </w:tc>
        <w:tc>
          <w:tcPr>
            <w:tcW w:w="11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9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退休教师生活补助</w:t>
            </w:r>
          </w:p>
        </w:tc>
        <w:tc>
          <w:tcPr>
            <w:tcW w:w="19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年初没有列入预算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2050999</w:t>
            </w:r>
          </w:p>
        </w:tc>
        <w:tc>
          <w:tcPr>
            <w:tcW w:w="115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10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2.52</w:t>
            </w:r>
          </w:p>
        </w:tc>
        <w:tc>
          <w:tcPr>
            <w:tcW w:w="11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9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auto"/>
                <w:sz w:val="18"/>
                <w:szCs w:val="18"/>
                <w:highlight w:val="none"/>
                <w:u w:val="none"/>
                <w:lang w:val="en-US" w:eastAsia="zh-CN"/>
              </w:rPr>
            </w:pPr>
            <w:r>
              <w:rPr>
                <w:rFonts w:hint="eastAsia" w:ascii="仿宋" w:hAnsi="仿宋" w:eastAsia="仿宋" w:cs="仿宋"/>
                <w:b w:val="0"/>
                <w:bCs w:val="0"/>
                <w:i w:val="0"/>
                <w:iCs w:val="0"/>
                <w:color w:val="auto"/>
                <w:sz w:val="18"/>
                <w:szCs w:val="18"/>
                <w:highlight w:val="none"/>
                <w:u w:val="none"/>
                <w:lang w:val="en-US" w:eastAsia="zh-CN"/>
              </w:rPr>
              <w:t>办公费增加等支出</w:t>
            </w:r>
          </w:p>
        </w:tc>
        <w:tc>
          <w:tcPr>
            <w:tcW w:w="19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年初没有列入预算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2059999</w:t>
            </w:r>
          </w:p>
        </w:tc>
        <w:tc>
          <w:tcPr>
            <w:tcW w:w="115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其他教育支出</w:t>
            </w:r>
          </w:p>
        </w:tc>
        <w:tc>
          <w:tcPr>
            <w:tcW w:w="10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0.43</w:t>
            </w:r>
          </w:p>
        </w:tc>
        <w:tc>
          <w:tcPr>
            <w:tcW w:w="11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9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auto"/>
                <w:sz w:val="18"/>
                <w:szCs w:val="18"/>
                <w:highlight w:val="none"/>
                <w:u w:val="none"/>
                <w:lang w:val="en-US" w:eastAsia="zh-CN"/>
              </w:rPr>
            </w:pPr>
            <w:r>
              <w:rPr>
                <w:rFonts w:hint="eastAsia" w:ascii="仿宋" w:hAnsi="仿宋" w:eastAsia="仿宋" w:cs="仿宋"/>
                <w:b w:val="0"/>
                <w:bCs w:val="0"/>
                <w:i w:val="0"/>
                <w:iCs w:val="0"/>
                <w:color w:val="auto"/>
                <w:sz w:val="18"/>
                <w:szCs w:val="18"/>
                <w:highlight w:val="none"/>
                <w:u w:val="none"/>
                <w:lang w:val="en-US" w:eastAsia="zh-CN"/>
              </w:rPr>
              <w:t>教师年度考核优秀嘉奖</w:t>
            </w:r>
          </w:p>
        </w:tc>
        <w:tc>
          <w:tcPr>
            <w:tcW w:w="19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年初没有列入预算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7"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15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06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2184.74</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2773.43</w:t>
            </w:r>
          </w:p>
        </w:tc>
        <w:tc>
          <w:tcPr>
            <w:tcW w:w="11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9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96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319.69</w:t>
      </w:r>
      <w:r>
        <w:rPr>
          <w:rFonts w:hint="eastAsia" w:ascii="仿宋" w:hAnsi="仿宋" w:eastAsia="仿宋"/>
          <w:sz w:val="32"/>
          <w:szCs w:val="32"/>
          <w:highlight w:val="none"/>
        </w:rPr>
        <w:t>万元，支出决算为</w:t>
      </w:r>
      <w:r>
        <w:rPr>
          <w:rFonts w:ascii="仿宋" w:hAnsi="仿宋" w:eastAsia="仿宋"/>
          <w:sz w:val="32"/>
          <w:szCs w:val="32"/>
          <w:highlight w:val="none"/>
        </w:rPr>
        <w:t>280.40</w:t>
      </w:r>
      <w:r>
        <w:rPr>
          <w:rFonts w:hint="eastAsia" w:ascii="仿宋" w:hAnsi="仿宋" w:eastAsia="仿宋"/>
          <w:sz w:val="32"/>
          <w:szCs w:val="32"/>
          <w:highlight w:val="none"/>
        </w:rPr>
        <w:t>万元，完成年初预算的</w:t>
      </w:r>
      <w:r>
        <w:rPr>
          <w:rFonts w:ascii="仿宋" w:hAnsi="仿宋" w:eastAsia="仿宋"/>
          <w:sz w:val="32"/>
          <w:szCs w:val="32"/>
          <w:highlight w:val="none"/>
        </w:rPr>
        <w:t>87.71%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sz w:val="32"/>
          <w:szCs w:val="32"/>
          <w:highlight w:val="none"/>
          <w:lang w:val="en-US" w:eastAsia="zh-CN"/>
        </w:rPr>
        <w:t>在职在编教师人员减少</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319.69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280.40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87.71%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在职在编教师养老保险缴费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在职在编教师人员减少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319.69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280.40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6143625" cy="2482215"/>
            <wp:effectExtent l="4445" t="4445" r="5080" b="889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239.77</w:t>
      </w:r>
      <w:r>
        <w:rPr>
          <w:rFonts w:hint="eastAsia" w:ascii="仿宋" w:hAnsi="仿宋" w:eastAsia="仿宋"/>
          <w:sz w:val="32"/>
          <w:szCs w:val="32"/>
          <w:highlight w:val="none"/>
        </w:rPr>
        <w:t>万元，支出决算为</w:t>
      </w:r>
      <w:r>
        <w:rPr>
          <w:rFonts w:ascii="仿宋" w:hAnsi="仿宋" w:eastAsia="仿宋"/>
          <w:sz w:val="32"/>
          <w:szCs w:val="32"/>
          <w:highlight w:val="none"/>
        </w:rPr>
        <w:t>209.05</w:t>
      </w:r>
      <w:r>
        <w:rPr>
          <w:rFonts w:hint="eastAsia" w:ascii="仿宋" w:hAnsi="仿宋" w:eastAsia="仿宋"/>
          <w:sz w:val="32"/>
          <w:szCs w:val="32"/>
          <w:highlight w:val="none"/>
        </w:rPr>
        <w:t>万元，完成年初预算的</w:t>
      </w:r>
      <w:r>
        <w:rPr>
          <w:rFonts w:ascii="仿宋" w:hAnsi="仿宋" w:eastAsia="仿宋"/>
          <w:sz w:val="32"/>
          <w:szCs w:val="32"/>
          <w:highlight w:val="none"/>
        </w:rPr>
        <w:t>87.19%</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sz w:val="32"/>
          <w:szCs w:val="32"/>
          <w:highlight w:val="none"/>
          <w:lang w:val="en-US" w:eastAsia="zh-CN"/>
        </w:rPr>
        <w:t>在职在编教师人员减少</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93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2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261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239.77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209.05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87.19%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在职在编教师公积金缴费</w:t>
            </w:r>
          </w:p>
        </w:tc>
        <w:tc>
          <w:tcPr>
            <w:tcW w:w="261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在职在编教师人员减少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239.77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209.05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261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6188075" cy="3244215"/>
            <wp:effectExtent l="4445" t="4445" r="17780" b="889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412.57</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年初没有列入预算。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412.57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学校公用经费、寄宿生生活补助、困难学生生活补助、学生营养餐经费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年初没有列入预算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jc w:val="center"/>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412.57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环江毛南族自治县洛阳镇中心小学2022年度一般公共预算财政拨款基本支出</w:t>
      </w:r>
      <w:r>
        <w:rPr>
          <w:rFonts w:ascii="仿宋" w:hAnsi="仿宋" w:eastAsia="仿宋" w:cs="仿宋"/>
          <w:sz w:val="32"/>
          <w:u w:color="auto"/>
        </w:rPr>
        <w:t>3395.19</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3232.16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163.02</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2788.60万元，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107.14%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在职在编教师岗位变动，工资福利提高。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1066.22万元，30102津贴补贴172.72万元，30103奖金442.83万元，30107绩效工资452.12万元，30108机关事业单位基本养老保险缴费292.97万元，30110职工基本医疗保险缴费125.91万元，30112其他社会保障缴费15.77万元，30113住房公积金209.05万元，30199其他工资福利支出11.01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223385" cy="2218055"/>
            <wp:effectExtent l="4445" t="4445" r="8890" b="1778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160.07万元，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400.58%</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30201办公费60.35万元，30205水费7.30万元，30206电费11.69万元，30207邮电费12.89万元，30211差旅费5.29万元，30213维修（护）费16.92万元，30226劳务费0.12万元，30228工会经费39.96万元，30299其他商品和服务支出5.54万元。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033520" cy="1997710"/>
            <wp:effectExtent l="4445" t="5080" r="15875" b="889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443.56万元，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338.47%</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30304抚恤金40.51万元，30305生活补助136.59万元，30308助学金227.87万元，30399其他对个人和家庭的补助38.58万元。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原因是本单位无债务。</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201160" cy="2880995"/>
            <wp:effectExtent l="5080" t="5080" r="15240" b="952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资本性支出</w:t>
      </w:r>
      <w:r>
        <w:rPr>
          <w:rFonts w:ascii="仿宋" w:hAnsi="仿宋" w:eastAsia="仿宋" w:cs="仿宋"/>
          <w:sz w:val="32"/>
          <w:u w:color="auto"/>
        </w:rPr>
        <w:t>2.95万元，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31002办公设备购置2.73万元，31003专用设备购置0.22万元。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本单位年内没有其他支出。</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环江毛南族自治县洛阳镇中心小学2022年度政府性基金支出</w:t>
      </w:r>
      <w:r>
        <w:rPr>
          <w:rFonts w:ascii="仿宋" w:hAnsi="仿宋" w:eastAsia="仿宋" w:cs="仿宋"/>
          <w:sz w:val="32"/>
          <w:szCs w:val="32"/>
          <w:highlight w:val="none"/>
        </w:rPr>
        <w:t>1.20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减少1.99</w:t>
      </w:r>
      <w:r>
        <w:rPr>
          <w:rFonts w:hint="eastAsia" w:ascii="仿宋" w:hAnsi="仿宋" w:eastAsia="仿宋" w:cs="仿宋"/>
          <w:sz w:val="32"/>
          <w:szCs w:val="32"/>
          <w:highlight w:val="none"/>
        </w:rPr>
        <w:t>万元，</w:t>
      </w:r>
      <w:r>
        <w:rPr>
          <w:rFonts w:ascii="仿宋" w:hAnsi="仿宋" w:eastAsia="仿宋" w:cs="仿宋"/>
          <w:sz w:val="32"/>
          <w:szCs w:val="32"/>
          <w:highlight w:val="none"/>
        </w:rPr>
        <w:t>下降62.38%</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1.20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环江毛南族自治县洛阳镇中心小学2022年度政府性基金支出年初预算为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1.20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u w:color="auto"/>
        </w:rPr>
        <w:t>1)其他支出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w:t>
      </w:r>
      <w:r>
        <w:rPr>
          <w:rFonts w:hint="eastAsia" w:ascii="仿宋" w:hAnsi="仿宋" w:eastAsia="仿宋" w:cs="仿宋"/>
          <w:color w:val="000000"/>
          <w:sz w:val="32"/>
          <w:szCs w:val="32"/>
          <w:shd w:val="clear" w:color="auto" w:fill="FFFFFF"/>
        </w:rPr>
        <w:t>类）</w:t>
      </w:r>
      <w:r>
        <w:rPr>
          <w:rFonts w:hint="eastAsia" w:ascii="仿宋" w:hAnsi="仿宋" w:eastAsia="仿宋" w:cs="仿宋"/>
          <w:color w:val="000000"/>
          <w:sz w:val="32"/>
          <w:szCs w:val="32"/>
          <w:shd w:val="clear" w:color="auto" w:fill="FFFFFF"/>
          <w:lang w:val="en-US" w:eastAsia="zh-CN"/>
        </w:rPr>
        <w:t>彩票公益金安排的支出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w:t>
      </w:r>
      <w:r>
        <w:rPr>
          <w:rFonts w:hint="eastAsia" w:ascii="仿宋" w:hAnsi="仿宋" w:eastAsia="仿宋" w:cs="仿宋"/>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 xml:space="preserve">  用于教育事业的彩票公益金支出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2296004</w:t>
      </w:r>
      <w:r>
        <w:rPr>
          <w:rFonts w:hint="eastAsia" w:ascii="仿宋" w:hAnsi="仿宋" w:eastAsia="仿宋" w:cs="仿宋"/>
          <w:color w:val="000000"/>
          <w:sz w:val="32"/>
          <w:szCs w:val="32"/>
          <w:shd w:val="clear" w:color="auto" w:fill="FFFFFF"/>
        </w:rPr>
        <w:t>项）年初预算为</w:t>
      </w:r>
      <w:r>
        <w:rPr>
          <w:rFonts w:ascii="仿宋" w:hAnsi="仿宋" w:eastAsia="仿宋" w:cs="仿宋"/>
          <w:color w:val="000000"/>
          <w:sz w:val="32"/>
          <w:u w:color="auto"/>
        </w:rPr>
        <w:t>0.00</w:t>
      </w:r>
      <w:r>
        <w:rPr>
          <w:rFonts w:hint="eastAsia" w:ascii="仿宋" w:hAnsi="仿宋" w:eastAsia="仿宋" w:cs="仿宋"/>
          <w:color w:val="000000"/>
          <w:sz w:val="32"/>
          <w:szCs w:val="32"/>
          <w:shd w:val="clear" w:color="auto" w:fill="FFFFFF"/>
        </w:rPr>
        <w:t>万元，支出决算为</w:t>
      </w:r>
      <w:r>
        <w:rPr>
          <w:rFonts w:ascii="仿宋" w:hAnsi="仿宋" w:eastAsia="仿宋" w:cs="仿宋"/>
          <w:color w:val="000000"/>
          <w:sz w:val="32"/>
          <w:u w:color="auto"/>
        </w:rPr>
        <w:t>1.20</w:t>
      </w:r>
      <w:r>
        <w:rPr>
          <w:rFonts w:hint="eastAsia" w:ascii="仿宋" w:hAnsi="仿宋" w:eastAsia="仿宋" w:cs="仿宋"/>
          <w:color w:val="000000"/>
          <w:sz w:val="32"/>
          <w:szCs w:val="32"/>
          <w:shd w:val="clear" w:color="auto" w:fill="FFFFFF"/>
        </w:rPr>
        <w:t>万元，完成年初预算的</w:t>
      </w:r>
      <w:r>
        <w:rPr>
          <w:rFonts w:ascii="仿宋" w:hAnsi="仿宋" w:eastAsia="仿宋" w:cs="仿宋"/>
          <w:color w:val="000000"/>
          <w:sz w:val="32"/>
          <w:u w:color="auto"/>
        </w:rPr>
        <w:t>100%</w:t>
      </w:r>
      <w:r>
        <w:rPr>
          <w:rFonts w:hint="eastAsia" w:ascii="仿宋" w:hAnsi="仿宋" w:eastAsia="仿宋" w:cs="仿宋"/>
          <w:color w:val="000000"/>
          <w:sz w:val="32"/>
          <w:szCs w:val="32"/>
          <w:shd w:val="clear" w:color="auto" w:fill="FFFFFF"/>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环江毛南族自治县洛阳镇中心小学2022年度国有资本经营预算支出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环江毛南族自治县洛阳镇中心小学2022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环江毛南族自治县洛阳镇中心小学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本单位是财政全额拨款事业单位，没有</w:t>
      </w:r>
      <w:r>
        <w:rPr>
          <w:rFonts w:hint="eastAsia" w:ascii="仿宋" w:hAnsi="仿宋" w:eastAsia="仿宋" w:cs="仿宋"/>
          <w:sz w:val="32"/>
          <w:szCs w:val="32"/>
          <w:highlight w:val="none"/>
        </w:rPr>
        <w:t>“三公”经费</w:t>
      </w:r>
      <w:r>
        <w:rPr>
          <w:rFonts w:hint="eastAsia" w:ascii="仿宋" w:hAnsi="仿宋" w:eastAsia="仿宋" w:cs="仿宋"/>
          <w:sz w:val="32"/>
          <w:szCs w:val="32"/>
          <w:highlight w:val="none"/>
          <w:lang w:val="en-US" w:eastAsia="zh-CN"/>
        </w:rPr>
        <w:t>的预决算数据。</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（一）因公出国（境）费支出0.00</w:t>
      </w:r>
      <w:r>
        <w:rPr>
          <w:rFonts w:hint="eastAsia" w:ascii="仿宋" w:hAnsi="仿宋" w:eastAsia="仿宋" w:cs="仿宋"/>
          <w:sz w:val="32"/>
          <w:szCs w:val="32"/>
          <w:highlight w:val="none"/>
        </w:rPr>
        <w:t>万元，完成年初预算的0%</w:t>
      </w:r>
      <w:r>
        <w:rPr>
          <w:rFonts w:hint="eastAsia" w:ascii="仿宋" w:hAnsi="仿宋" w:eastAsia="仿宋" w:cs="仿宋"/>
          <w:sz w:val="32"/>
          <w:szCs w:val="32"/>
          <w:highlight w:val="none"/>
        </w:rPr>
        <w:t>，比上年增加0.00</w:t>
      </w:r>
      <w:r>
        <w:rPr>
          <w:rFonts w:hint="eastAsia" w:ascii="仿宋" w:hAnsi="仿宋" w:eastAsia="仿宋" w:cs="仿宋"/>
          <w:sz w:val="32"/>
          <w:szCs w:val="32"/>
          <w:highlight w:val="none"/>
        </w:rPr>
        <w:t xml:space="preserve"> 万元。</w:t>
      </w:r>
      <w:r>
        <w:rPr>
          <w:rFonts w:hint="eastAsia" w:ascii="仿宋" w:hAnsi="仿宋" w:eastAsia="仿宋" w:cs="仿宋"/>
          <w:sz w:val="32"/>
          <w:szCs w:val="32"/>
          <w:highlight w:val="none"/>
          <w:lang w:val="en-US" w:eastAsia="zh-CN"/>
        </w:rPr>
        <w:t>原因是：本单位无</w:t>
      </w:r>
      <w:r>
        <w:rPr>
          <w:rFonts w:hint="eastAsia" w:ascii="仿宋" w:hAnsi="仿宋" w:eastAsia="仿宋" w:cs="仿宋"/>
          <w:sz w:val="32"/>
          <w:szCs w:val="32"/>
          <w:highlight w:val="none"/>
        </w:rPr>
        <w:t>因公出国（境）费支出</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全年使用财政拨款安排</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（局、办、镇）机关、</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 xml:space="preserve">个所属单位出国团组  </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 xml:space="preserve">个，参加其他单位组织的出国团组 </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个，全年因</w:t>
      </w:r>
      <w:r>
        <w:rPr>
          <w:rFonts w:hint="eastAsia" w:ascii="仿宋" w:hAnsi="仿宋" w:eastAsia="仿宋" w:cs="仿宋"/>
          <w:sz w:val="32"/>
          <w:szCs w:val="32"/>
          <w:highlight w:val="none"/>
        </w:rPr>
        <w:t>公出国（境）团组共计0</w:t>
      </w:r>
      <w:r>
        <w:rPr>
          <w:rFonts w:hint="eastAsia" w:ascii="仿宋" w:hAnsi="仿宋" w:eastAsia="仿宋" w:cs="仿宋"/>
          <w:sz w:val="32"/>
          <w:szCs w:val="32"/>
          <w:highlight w:val="none"/>
        </w:rPr>
        <w:t>个，累计0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（二）公务用车购置及运行维护费0.00</w:t>
      </w:r>
      <w:r>
        <w:rPr>
          <w:rFonts w:hint="eastAsia" w:ascii="仿宋" w:hAnsi="仿宋" w:eastAsia="仿宋" w:cs="仿宋"/>
          <w:sz w:val="32"/>
          <w:szCs w:val="32"/>
          <w:highlight w:val="none"/>
        </w:rPr>
        <w:t>万元。其中：公务用车购置支出0.00</w:t>
      </w:r>
      <w:r>
        <w:rPr>
          <w:rFonts w:hint="eastAsia" w:ascii="仿宋" w:hAnsi="仿宋" w:eastAsia="仿宋" w:cs="仿宋"/>
          <w:sz w:val="32"/>
          <w:szCs w:val="32"/>
          <w:highlight w:val="none"/>
        </w:rPr>
        <w:t>万元，完成年初预算的0%</w:t>
      </w:r>
      <w:r>
        <w:rPr>
          <w:rFonts w:hint="eastAsia" w:ascii="仿宋" w:hAnsi="仿宋" w:eastAsia="仿宋" w:cs="仿宋"/>
          <w:sz w:val="32"/>
          <w:szCs w:val="32"/>
          <w:highlight w:val="none"/>
        </w:rPr>
        <w:t>，比上年增加0.00</w:t>
      </w:r>
      <w:r>
        <w:rPr>
          <w:rFonts w:hint="eastAsia" w:ascii="仿宋" w:hAnsi="仿宋" w:eastAsia="仿宋" w:cs="仿宋"/>
          <w:sz w:val="32"/>
          <w:szCs w:val="32"/>
          <w:highlight w:val="none"/>
        </w:rPr>
        <w:t xml:space="preserve"> 万元。</w:t>
      </w:r>
      <w:bookmarkStart w:id="5" w:name="PO_part3A6B2IncReason1"/>
      <w:r>
        <w:rPr>
          <w:rFonts w:hint="eastAsia" w:ascii="仿宋" w:hAnsi="仿宋" w:eastAsia="仿宋" w:cs="仿宋"/>
          <w:sz w:val="32"/>
          <w:szCs w:val="32"/>
          <w:highlight w:val="none"/>
        </w:rPr>
        <w:t>本部门无公务用车购置</w:t>
      </w:r>
      <w:bookmarkEnd w:id="5"/>
      <w:r>
        <w:rPr>
          <w:rFonts w:hint="eastAsia" w:ascii="仿宋" w:hAnsi="仿宋" w:eastAsia="仿宋" w:cs="仿宋"/>
          <w:sz w:val="32"/>
          <w:szCs w:val="32"/>
          <w:highlight w:val="none"/>
          <w:lang w:eastAsia="zh-CN"/>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公务用车运行维护支出0.00</w:t>
      </w:r>
      <w:r>
        <w:rPr>
          <w:rFonts w:hint="eastAsia" w:ascii="仿宋" w:hAnsi="仿宋" w:eastAsia="仿宋" w:cs="仿宋"/>
          <w:sz w:val="32"/>
          <w:szCs w:val="32"/>
          <w:highlight w:val="none"/>
        </w:rPr>
        <w:t>万元，完成年初预算的0%</w:t>
      </w:r>
      <w:r>
        <w:rPr>
          <w:rFonts w:hint="eastAsia" w:ascii="仿宋" w:hAnsi="仿宋" w:eastAsia="仿宋" w:cs="仿宋"/>
          <w:sz w:val="32"/>
          <w:szCs w:val="32"/>
          <w:highlight w:val="none"/>
        </w:rPr>
        <w:t>，比上年增加0.00</w:t>
      </w:r>
      <w:r>
        <w:rPr>
          <w:rFonts w:hint="eastAsia" w:ascii="仿宋" w:hAnsi="仿宋" w:eastAsia="仿宋" w:cs="仿宋"/>
          <w:sz w:val="32"/>
          <w:szCs w:val="32"/>
          <w:highlight w:val="none"/>
        </w:rPr>
        <w:t>万元。主要原因是：本部门无</w:t>
      </w:r>
      <w:r>
        <w:rPr>
          <w:rFonts w:hint="eastAsia" w:ascii="仿宋" w:hAnsi="仿宋" w:eastAsia="仿宋" w:cs="仿宋"/>
          <w:sz w:val="32"/>
          <w:szCs w:val="32"/>
          <w:highlight w:val="none"/>
        </w:rPr>
        <w:t>公务用车运行维护支出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rPr>
        <w:t>单位开支财政拨款的公务用车保有量为0辆，全年运行费支出0.00万元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平均每辆</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（三）公务接待费支出0.00</w:t>
      </w:r>
      <w:r>
        <w:rPr>
          <w:rFonts w:hint="eastAsia" w:ascii="仿宋" w:hAnsi="仿宋" w:eastAsia="仿宋" w:cs="仿宋"/>
          <w:sz w:val="32"/>
          <w:szCs w:val="32"/>
          <w:highlight w:val="none"/>
        </w:rPr>
        <w:t>万元，完成年初预算的0%</w:t>
      </w:r>
      <w:r>
        <w:rPr>
          <w:rFonts w:hint="eastAsia" w:ascii="仿宋" w:hAnsi="仿宋" w:eastAsia="仿宋" w:cs="仿宋"/>
          <w:sz w:val="32"/>
          <w:szCs w:val="32"/>
          <w:highlight w:val="none"/>
        </w:rPr>
        <w:t>， 比上年增加0.00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主要原因是：无</w:t>
      </w:r>
      <w:r>
        <w:rPr>
          <w:rFonts w:hint="eastAsia" w:ascii="仿宋" w:hAnsi="仿宋" w:eastAsia="仿宋" w:cs="仿宋"/>
          <w:sz w:val="32"/>
          <w:szCs w:val="32"/>
          <w:highlight w:val="none"/>
        </w:rPr>
        <w:t>公务接待费支出</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国内公务接待批次0</w:t>
      </w:r>
      <w:r>
        <w:rPr>
          <w:rFonts w:hint="eastAsia" w:ascii="仿宋" w:hAnsi="仿宋" w:eastAsia="仿宋" w:cs="仿宋"/>
          <w:sz w:val="32"/>
          <w:szCs w:val="32"/>
          <w:highlight w:val="none"/>
        </w:rPr>
        <w:t>次，人次0</w:t>
      </w:r>
      <w:r>
        <w:rPr>
          <w:rFonts w:hint="eastAsia" w:ascii="仿宋" w:hAnsi="仿宋" w:eastAsia="仿宋" w:cs="仿宋"/>
          <w:sz w:val="32"/>
          <w:szCs w:val="32"/>
          <w:highlight w:val="none"/>
        </w:rPr>
        <w:t>次，国（境）外公务接待批次0</w:t>
      </w:r>
      <w:r>
        <w:rPr>
          <w:rFonts w:hint="eastAsia" w:ascii="仿宋" w:hAnsi="仿宋" w:eastAsia="仿宋" w:cs="仿宋"/>
          <w:sz w:val="32"/>
          <w:szCs w:val="32"/>
          <w:highlight w:val="none"/>
        </w:rPr>
        <w:t>次，人次0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jc w:val="left"/>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0.00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本单位是财政全额拨款事业单位，不属于机关运行经费范围。</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黑体" w:hAnsi="黑体" w:eastAsia="黑体" w:cs="黑体"/>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bookmarkStart w:id="6" w:name="_GoBack"/>
      <w:bookmarkEnd w:id="6"/>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506.55</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157.6</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度中央专项彩票公益金支持乡村学校少年宫经费政府性基金预算项目支出开展绩效自评，共涉及资金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1.52</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126.7</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决算中项目绩效自评结果</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我</w:t>
      </w:r>
      <w:r>
        <w:rPr>
          <w:rFonts w:hint="eastAsia" w:ascii="仿宋" w:hAnsi="仿宋" w:eastAsia="仿宋" w:cs="仿宋"/>
          <w:color w:val="000000" w:themeColor="text1"/>
          <w:sz w:val="32"/>
          <w:szCs w:val="32"/>
          <w:lang w:val="en-US"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根据年初设定的绩效目标，六一儿童节慰问金项目自评得分为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80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整理报账材料不规范，未能及时支付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严格按照财经制度要求，规范资金正确使用</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中央专项彩票公益金支持乡村学校少年宫经费项目自评得分为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80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整理报账材料不规范，未能及时支付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严格按照财经制度要求，规范资金正确使用</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城乡义务教育公用经费县级配套资金项目自评得分为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80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整理报账材料不规范，未能及时支付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严格按照财经制度要求，规范资金正确使用</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班主任津贴项目自评得分为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80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整理报账材料不规范，未能及时支付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严格按照财经制度要求，规范资金正确使用</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义务教育中央级公用经费项目自评得分为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88.3</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整理报账材料不规范，未能及时支付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严格按照财经制度要求，规范资金正确使用</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食堂钟点工补贴资金项目自评得分为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85.3</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整理报账材料不规范，未能及时支付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严格按照财经制度要求，规范资金正确使用</w:t>
      </w:r>
      <w:r>
        <w:rPr>
          <w:rFonts w:hint="eastAsia" w:ascii="仿宋" w:hAnsi="仿宋" w:eastAsia="仿宋" w:cs="仿宋"/>
          <w:color w:val="000000" w:themeColor="text1"/>
          <w:sz w:val="32"/>
          <w:szCs w:val="32"/>
          <w14:textFill>
            <w14:solidFill>
              <w14:schemeClr w14:val="tx1"/>
            </w14:solidFill>
          </w14:textFill>
        </w:rPr>
        <w:t>。</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134" w:right="1134" w:bottom="1134" w:left="1134" w:header="851" w:footer="992" w:gutter="0"/>
      <w:pgNumType w:fmt="decimal"/>
      <w:cols w:space="0" w:num="1"/>
      <w:rtlGutter w:val="0"/>
      <w:docGrid w:type="lines" w:linePitch="32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5YjEyZmVlN2IxZDgwMTY5OGEyZjRiMzlhMTNlOWE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4E2A47"/>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C746A7"/>
    <w:rsid w:val="04E54546"/>
    <w:rsid w:val="05992762"/>
    <w:rsid w:val="06922EDA"/>
    <w:rsid w:val="07B0770E"/>
    <w:rsid w:val="07DC7AFD"/>
    <w:rsid w:val="080A5EB3"/>
    <w:rsid w:val="0942143F"/>
    <w:rsid w:val="0D100297"/>
    <w:rsid w:val="0D202B45"/>
    <w:rsid w:val="0F8D4C87"/>
    <w:rsid w:val="0FD53BF0"/>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E664F5B"/>
    <w:rsid w:val="1EB34BE1"/>
    <w:rsid w:val="1F071A55"/>
    <w:rsid w:val="215E639F"/>
    <w:rsid w:val="21EC3183"/>
    <w:rsid w:val="225E72CD"/>
    <w:rsid w:val="23925828"/>
    <w:rsid w:val="246E2F77"/>
    <w:rsid w:val="24BA695C"/>
    <w:rsid w:val="254B4E2B"/>
    <w:rsid w:val="26A050C5"/>
    <w:rsid w:val="28177725"/>
    <w:rsid w:val="283D7C94"/>
    <w:rsid w:val="29480E03"/>
    <w:rsid w:val="2983634D"/>
    <w:rsid w:val="2BB02055"/>
    <w:rsid w:val="2C575A56"/>
    <w:rsid w:val="2DBC67E4"/>
    <w:rsid w:val="2F257714"/>
    <w:rsid w:val="2F3275E5"/>
    <w:rsid w:val="30AA08EF"/>
    <w:rsid w:val="30D23D1C"/>
    <w:rsid w:val="31221CF5"/>
    <w:rsid w:val="31400178"/>
    <w:rsid w:val="31F86547"/>
    <w:rsid w:val="321E3342"/>
    <w:rsid w:val="327759C8"/>
    <w:rsid w:val="330B377C"/>
    <w:rsid w:val="33185FE3"/>
    <w:rsid w:val="34EE2E36"/>
    <w:rsid w:val="350870D2"/>
    <w:rsid w:val="36777241"/>
    <w:rsid w:val="371E78D5"/>
    <w:rsid w:val="38A951DB"/>
    <w:rsid w:val="38B31605"/>
    <w:rsid w:val="39003F4F"/>
    <w:rsid w:val="3C07002B"/>
    <w:rsid w:val="3D0D152A"/>
    <w:rsid w:val="3DF62756"/>
    <w:rsid w:val="3F1B7587"/>
    <w:rsid w:val="415B0895"/>
    <w:rsid w:val="41E57B4F"/>
    <w:rsid w:val="432F26F6"/>
    <w:rsid w:val="43880F63"/>
    <w:rsid w:val="441C5A6F"/>
    <w:rsid w:val="44C44FCC"/>
    <w:rsid w:val="44CC7369"/>
    <w:rsid w:val="44E72AD0"/>
    <w:rsid w:val="457F5108"/>
    <w:rsid w:val="46951B6B"/>
    <w:rsid w:val="49A34401"/>
    <w:rsid w:val="49F9077F"/>
    <w:rsid w:val="4A3E30AB"/>
    <w:rsid w:val="4AC14DAC"/>
    <w:rsid w:val="4C86043B"/>
    <w:rsid w:val="4D154C85"/>
    <w:rsid w:val="4E706D02"/>
    <w:rsid w:val="4EB35ECE"/>
    <w:rsid w:val="4F33733F"/>
    <w:rsid w:val="4F544163"/>
    <w:rsid w:val="508F4E24"/>
    <w:rsid w:val="51461E90"/>
    <w:rsid w:val="51463753"/>
    <w:rsid w:val="5172534B"/>
    <w:rsid w:val="52553A93"/>
    <w:rsid w:val="53521F8B"/>
    <w:rsid w:val="53E22F47"/>
    <w:rsid w:val="54522FF8"/>
    <w:rsid w:val="55450629"/>
    <w:rsid w:val="55F967F4"/>
    <w:rsid w:val="56692963"/>
    <w:rsid w:val="568B0F48"/>
    <w:rsid w:val="5786217B"/>
    <w:rsid w:val="59337A15"/>
    <w:rsid w:val="59810274"/>
    <w:rsid w:val="5C7363B7"/>
    <w:rsid w:val="5CA96A00"/>
    <w:rsid w:val="5CF730BC"/>
    <w:rsid w:val="5E420235"/>
    <w:rsid w:val="5E5F0DCE"/>
    <w:rsid w:val="5F797C86"/>
    <w:rsid w:val="5FA40A7B"/>
    <w:rsid w:val="5FD56D29"/>
    <w:rsid w:val="5FEC7F3F"/>
    <w:rsid w:val="60163727"/>
    <w:rsid w:val="60F74BC3"/>
    <w:rsid w:val="617D3BF8"/>
    <w:rsid w:val="61841F6A"/>
    <w:rsid w:val="623007A9"/>
    <w:rsid w:val="629923ED"/>
    <w:rsid w:val="62E61243"/>
    <w:rsid w:val="637D7558"/>
    <w:rsid w:val="63FC20F5"/>
    <w:rsid w:val="644F19AC"/>
    <w:rsid w:val="65AA4920"/>
    <w:rsid w:val="65E31D0B"/>
    <w:rsid w:val="67694F1E"/>
    <w:rsid w:val="69597934"/>
    <w:rsid w:val="6B2824B0"/>
    <w:rsid w:val="6B3A5245"/>
    <w:rsid w:val="6B964DDC"/>
    <w:rsid w:val="6C783074"/>
    <w:rsid w:val="6D9E65C6"/>
    <w:rsid w:val="6DA81947"/>
    <w:rsid w:val="6E964828"/>
    <w:rsid w:val="6EB66DE2"/>
    <w:rsid w:val="6ED3075F"/>
    <w:rsid w:val="6F2A2D4B"/>
    <w:rsid w:val="6F8A0C1E"/>
    <w:rsid w:val="6FDE7692"/>
    <w:rsid w:val="703F45D4"/>
    <w:rsid w:val="715D6546"/>
    <w:rsid w:val="71BE069E"/>
    <w:rsid w:val="729C3F60"/>
    <w:rsid w:val="73953409"/>
    <w:rsid w:val="73E069A3"/>
    <w:rsid w:val="768A6E35"/>
    <w:rsid w:val="77E99752"/>
    <w:rsid w:val="78104AA8"/>
    <w:rsid w:val="78106856"/>
    <w:rsid w:val="78E257C5"/>
    <w:rsid w:val="78E53FCE"/>
    <w:rsid w:val="794B35BE"/>
    <w:rsid w:val="7B0A3A31"/>
    <w:rsid w:val="7B3360ED"/>
    <w:rsid w:val="7BDF037E"/>
    <w:rsid w:val="7BF50948"/>
    <w:rsid w:val="7C036657"/>
    <w:rsid w:val="7CE66A78"/>
    <w:rsid w:val="7D23564C"/>
    <w:rsid w:val="7D5E062D"/>
    <w:rsid w:val="7DF76CD8"/>
    <w:rsid w:val="7F695C26"/>
    <w:rsid w:val="7FCF62D3"/>
    <w:rsid w:val="FBEEE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7.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3715.41</c:v>
                </c:pt>
                <c:pt idx="1">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40.51</c:v>
                </c:pt>
                <c:pt idx="4">
                  <c:v>136.59</c:v>
                </c:pt>
                <c:pt idx="5">
                  <c:v>0</c:v>
                </c:pt>
                <c:pt idx="6">
                  <c:v>0</c:v>
                </c:pt>
                <c:pt idx="7">
                  <c:v>227.87</c:v>
                </c:pt>
                <c:pt idx="8">
                  <c:v>0</c:v>
                </c:pt>
                <c:pt idx="9">
                  <c:v>0</c:v>
                </c:pt>
                <c:pt idx="10">
                  <c:v>0</c:v>
                </c:pt>
                <c:pt idx="11">
                  <c:v>38.58</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2.73</c:v>
                </c:pt>
                <c:pt idx="2">
                  <c:v>0.22</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3238.17</c:v>
                </c:pt>
                <c:pt idx="2">
                  <c:v>415.85</c:v>
                </c:pt>
                <c:pt idx="3">
                  <c:v>107.55</c:v>
                </c:pt>
                <c:pt idx="4">
                  <c:v>504.88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39.96</c:v>
                </c:pt>
                <c:pt idx="1">
                  <c:v>2773.43</c:v>
                </c:pt>
                <c:pt idx="2">
                  <c:v>280.4</c:v>
                </c:pt>
                <c:pt idx="3">
                  <c:v>209.05</c:v>
                </c:pt>
                <c:pt idx="4">
                  <c:v>413.77</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39.96</c:v>
                </c:pt>
                <c:pt idx="1">
                  <c:v>39.96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2050202</c:v>
                </c:pt>
                <c:pt idx="1">
                  <c:v>2050299</c:v>
                </c:pt>
                <c:pt idx="2">
                  <c:v>2050999</c:v>
                </c:pt>
                <c:pt idx="3">
                  <c:v>2059999</c:v>
                </c:pt>
                <c:pt idx="4">
                  <c:v>205x</c:v>
                </c:pt>
              </c:strCache>
            </c:strRef>
          </c:cat>
          <c:val>
            <c:numRef>
              <c:f>Sheet1!$B$2:$B$6</c:f>
              <c:numCache>
                <c:formatCode>General</c:formatCode>
                <c:ptCount val="5"/>
                <c:pt idx="0">
                  <c:v>2641.36</c:v>
                </c:pt>
                <c:pt idx="1">
                  <c:v>129.13</c:v>
                </c:pt>
                <c:pt idx="2">
                  <c:v>2.52</c:v>
                </c:pt>
                <c:pt idx="3">
                  <c:v>0.43</c:v>
                </c:pt>
                <c:pt idx="4">
                  <c:v>2773.43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280.4</c:v>
                </c:pt>
                <c:pt idx="1">
                  <c:v>280.4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209.05</c:v>
                </c:pt>
                <c:pt idx="1">
                  <c:v>209.05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412.57</c:v>
                </c:pt>
                <c:pt idx="1">
                  <c:v>412.57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1066.22</c:v>
                </c:pt>
                <c:pt idx="1">
                  <c:v>172.72</c:v>
                </c:pt>
                <c:pt idx="2">
                  <c:v>442.83</c:v>
                </c:pt>
                <c:pt idx="3">
                  <c:v>0</c:v>
                </c:pt>
                <c:pt idx="4">
                  <c:v>452.12</c:v>
                </c:pt>
                <c:pt idx="5">
                  <c:v>292.97</c:v>
                </c:pt>
                <c:pt idx="6">
                  <c:v>0</c:v>
                </c:pt>
                <c:pt idx="7">
                  <c:v>125.91</c:v>
                </c:pt>
                <c:pt idx="8">
                  <c:v>0</c:v>
                </c:pt>
                <c:pt idx="9">
                  <c:v>15.77</c:v>
                </c:pt>
                <c:pt idx="10">
                  <c:v>209.05</c:v>
                </c:pt>
                <c:pt idx="11">
                  <c:v>0</c:v>
                </c:pt>
                <c:pt idx="12">
                  <c:v>11.01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60.35</c:v>
                </c:pt>
                <c:pt idx="1">
                  <c:v>0</c:v>
                </c:pt>
                <c:pt idx="2">
                  <c:v>0</c:v>
                </c:pt>
                <c:pt idx="3">
                  <c:v>0</c:v>
                </c:pt>
                <c:pt idx="4">
                  <c:v>7.3</c:v>
                </c:pt>
                <c:pt idx="5">
                  <c:v>11.69</c:v>
                </c:pt>
                <c:pt idx="6">
                  <c:v>12.89</c:v>
                </c:pt>
                <c:pt idx="7">
                  <c:v>0</c:v>
                </c:pt>
                <c:pt idx="8">
                  <c:v>0</c:v>
                </c:pt>
                <c:pt idx="9">
                  <c:v>5.29</c:v>
                </c:pt>
                <c:pt idx="10">
                  <c:v>0</c:v>
                </c:pt>
                <c:pt idx="11">
                  <c:v>16.92</c:v>
                </c:pt>
                <c:pt idx="12">
                  <c:v>0</c:v>
                </c:pt>
                <c:pt idx="13">
                  <c:v>0</c:v>
                </c:pt>
                <c:pt idx="14">
                  <c:v>0</c:v>
                </c:pt>
                <c:pt idx="15">
                  <c:v>0</c:v>
                </c:pt>
                <c:pt idx="16">
                  <c:v>0</c:v>
                </c:pt>
                <c:pt idx="17">
                  <c:v>0</c:v>
                </c:pt>
                <c:pt idx="18">
                  <c:v>0</c:v>
                </c:pt>
                <c:pt idx="19">
                  <c:v>0.12</c:v>
                </c:pt>
                <c:pt idx="20">
                  <c:v>0</c:v>
                </c:pt>
                <c:pt idx="21">
                  <c:v>39.96</c:v>
                </c:pt>
                <c:pt idx="22">
                  <c:v>0</c:v>
                </c:pt>
                <c:pt idx="23">
                  <c:v>0</c:v>
                </c:pt>
                <c:pt idx="24">
                  <c:v>0</c:v>
                </c:pt>
                <c:pt idx="25">
                  <c:v>0</c:v>
                </c:pt>
                <c:pt idx="26">
                  <c:v>5.54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2023-08-17T18:06:00Z</dcterms:created>
  <dc:creator>C D D</dc:creator>
  <cp:lastModifiedBy>Administrator</cp:lastModifiedBy>
  <dcterms:modified xsi:type="dcterms:W3CDTF">2023-11-28T10:17:58Z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