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val="en-US" w:eastAsia="zh-CN"/>
        </w:rPr>
        <w:t>环江毛南族自治县水源镇中心幼儿园</w:t>
      </w:r>
      <w:r>
        <w:rPr>
          <w:rFonts w:hint="eastAsia" w:ascii="黑体" w:hAnsi="黑体" w:eastAsia="黑体" w:cs="黑体"/>
          <w:b/>
          <w:bCs/>
          <w:sz w:val="52"/>
          <w:szCs w:val="52"/>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both"/>
        <w:rPr>
          <w:rFonts w:hint="eastAsia" w:ascii="黑体" w:eastAsia="黑体" w:cs="黑体"/>
          <w:kern w:val="0"/>
          <w:sz w:val="44"/>
          <w:szCs w:val="44"/>
        </w:rPr>
      </w:pPr>
    </w:p>
    <w:p>
      <w:pPr>
        <w:jc w:val="center"/>
        <w:rPr>
          <w:rFonts w:hint="default" w:ascii="黑体" w:eastAsia="黑体" w:cs="黑体"/>
          <w:kern w:val="0"/>
          <w:sz w:val="44"/>
          <w:szCs w:val="44"/>
          <w:lang w:val="en-US" w:eastAsia="zh-CN"/>
        </w:rPr>
      </w:pPr>
      <w:r>
        <w:rPr>
          <w:rFonts w:hint="eastAsia" w:ascii="黑体" w:eastAsia="黑体" w:cs="黑体"/>
          <w:kern w:val="0"/>
          <w:sz w:val="44"/>
          <w:szCs w:val="44"/>
        </w:rPr>
        <w:t>单位负责人：</w:t>
      </w:r>
      <w:r>
        <w:rPr>
          <w:rFonts w:hint="eastAsia" w:ascii="黑体" w:eastAsia="黑体" w:cs="黑体"/>
          <w:kern w:val="0"/>
          <w:sz w:val="44"/>
          <w:szCs w:val="44"/>
          <w:lang w:val="en-US" w:eastAsia="zh-CN"/>
        </w:rPr>
        <w:t>谭林关</w:t>
      </w:r>
    </w:p>
    <w:p>
      <w:pPr>
        <w:jc w:val="center"/>
        <w:rPr>
          <w:rFonts w:hint="eastAsia" w:ascii="黑体" w:eastAsia="黑体" w:cs="黑体"/>
          <w:kern w:val="0"/>
          <w:sz w:val="44"/>
          <w:szCs w:val="44"/>
          <w:lang w:val="en-US" w:eastAsia="zh-CN"/>
        </w:rPr>
      </w:pPr>
      <w:r>
        <w:rPr>
          <w:rFonts w:hint="eastAsia" w:ascii="黑体" w:eastAsia="黑体" w:cs="黑体"/>
          <w:kern w:val="0"/>
          <w:sz w:val="44"/>
          <w:szCs w:val="44"/>
        </w:rPr>
        <w:t>编  制  人：</w:t>
      </w:r>
      <w:r>
        <w:rPr>
          <w:rFonts w:hint="eastAsia" w:ascii="黑体" w:eastAsia="黑体" w:cs="黑体"/>
          <w:kern w:val="0"/>
          <w:sz w:val="44"/>
          <w:szCs w:val="44"/>
          <w:lang w:val="en-US" w:eastAsia="zh-CN"/>
        </w:rPr>
        <w:t>韦玉</w:t>
      </w:r>
    </w:p>
    <w:p>
      <w:pPr>
        <w:jc w:val="center"/>
        <w:rPr>
          <w:rFonts w:ascii="黑体" w:hAnsi="黑体" w:eastAsia="黑体" w:cs="黑体"/>
          <w:b w:val="0"/>
          <w:bCs w:val="0"/>
          <w:sz w:val="44"/>
          <w:szCs w:val="44"/>
          <w:highlight w:val="none"/>
        </w:rPr>
      </w:pPr>
      <w:r>
        <w:rPr>
          <w:rFonts w:hint="eastAsia" w:ascii="黑体" w:hAnsi="黑体" w:eastAsia="黑体" w:cs="黑体"/>
          <w:b w:val="0"/>
          <w:bCs w:val="0"/>
          <w:sz w:val="44"/>
          <w:szCs w:val="44"/>
          <w:highlight w:val="none"/>
        </w:rPr>
        <w:t>2023年</w:t>
      </w:r>
      <w:r>
        <w:rPr>
          <w:rFonts w:hint="eastAsia" w:ascii="黑体" w:hAnsi="黑体" w:eastAsia="黑体" w:cs="黑体"/>
          <w:b w:val="0"/>
          <w:bCs w:val="0"/>
          <w:sz w:val="44"/>
          <w:szCs w:val="44"/>
          <w:highlight w:val="none"/>
          <w:lang w:val="en-US" w:eastAsia="zh-CN"/>
        </w:rPr>
        <w:t>10</w:t>
      </w:r>
      <w:r>
        <w:rPr>
          <w:rFonts w:hint="eastAsia" w:ascii="黑体" w:hAnsi="黑体" w:eastAsia="黑体" w:cs="黑体"/>
          <w:b w:val="0"/>
          <w:bCs w:val="0"/>
          <w:sz w:val="44"/>
          <w:szCs w:val="44"/>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第一部分：环江毛南族自治县水源镇中心幼儿园概况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环江毛南族自治县水源镇中心幼儿园</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环江毛南族自治县水源镇中心幼儿园</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center"/>
        <w:rPr>
          <w:rFonts w:hint="eastAsia" w:ascii="黑体" w:hAnsi="黑体" w:eastAsia="黑体" w:cs="黑体"/>
          <w:b w:val="0"/>
          <w:bCs/>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val="0"/>
          <w:sz w:val="32"/>
          <w:szCs w:val="32"/>
        </w:rPr>
        <w:t>环江毛南族自治县水源镇中心幼儿园概况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（一）宣传贯彻执行党和国家的教育方针、教育政策、教育法律和法规，贯彻执行上级教育行政部门的各项规章制度。</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（二）在政府和上级教育主管部门的领导下，争取资金改善办学条件，为师生的学习和工作提供优美和谐的环境。</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（三）根据县级人民政府制定的教育事业发展规划，结合实际制定并组织实施本校的教育事业发展规划。在上级的领导下，全面实施辖区3-6岁适龄幼儿保育教育工作，促进幼教教育发展。。</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（四）按照干部和教师的职数、编制和管理权限，负责对本幼儿园的干部和教师进行管理，制定切实可行的幼儿园工作规章制度，以提高教育教学质量为目的，对干部职工的工作开展客观、公正的评价和考核。</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（五）按照上级有关部门的规定，负责对本幼儿园财务和项目建设进行管理，负责核算和发放教职工工资。    </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spacing w:line="460" w:lineRule="exact"/>
        <w:ind w:firstLine="543" w:firstLineChars="193"/>
        <w:rPr>
          <w:rFonts w:hint="eastAsia" w:ascii="宋体" w:hAnsi="宋体" w:cs="宋体"/>
          <w:b/>
          <w:bCs/>
          <w:color w:val="333333"/>
          <w:sz w:val="28"/>
          <w:szCs w:val="28"/>
        </w:rPr>
      </w:pPr>
      <w:r>
        <w:rPr>
          <w:rFonts w:hint="eastAsia" w:ascii="宋体" w:hAnsi="宋体" w:cs="宋体"/>
          <w:b/>
          <w:bCs/>
          <w:color w:val="333333"/>
          <w:sz w:val="28"/>
          <w:szCs w:val="28"/>
        </w:rPr>
        <w:t>（一）内设机构情况</w:t>
      </w:r>
    </w:p>
    <w:p>
      <w:pPr>
        <w:spacing w:line="460" w:lineRule="exact"/>
        <w:ind w:firstLine="617" w:firstLineChars="193"/>
        <w:rPr>
          <w:rFonts w:hint="eastAsia" w:ascii="宋体" w:hAnsi="宋体" w:cs="宋体"/>
          <w:color w:val="333333"/>
          <w:sz w:val="28"/>
          <w:szCs w:val="28"/>
        </w:rPr>
      </w:pPr>
      <w:r>
        <w:rPr>
          <w:rFonts w:hint="eastAsia" w:ascii="仿宋_GB2312" w:eastAsia="仿宋_GB2312" w:cs="仿宋_GB2312"/>
          <w:kern w:val="0"/>
          <w:sz w:val="32"/>
          <w:szCs w:val="32"/>
        </w:rPr>
        <w:t>幼儿园实行园长负责制，园长是幼儿园的法人代表。园长在县教育局领导下，主持幼儿园工作，对幼儿园的保教工作全面负责。幼儿园党支部对幼儿园行政工作起保证监督作用，并领导群团工作。幼儿园下设党支部、办公室、园务处、保卫科、总务处、财务室、保健室等。</w:t>
      </w:r>
      <w:r>
        <w:rPr>
          <w:rFonts w:hint="eastAsia" w:ascii="宋体" w:hAnsi="宋体" w:cs="宋体"/>
          <w:color w:val="333333"/>
          <w:sz w:val="28"/>
          <w:szCs w:val="28"/>
        </w:rPr>
        <w:t>  </w:t>
      </w:r>
    </w:p>
    <w:p>
      <w:pPr>
        <w:spacing w:line="460" w:lineRule="exact"/>
        <w:ind w:firstLine="543" w:firstLineChars="193"/>
        <w:rPr>
          <w:rFonts w:hint="eastAsia" w:ascii="宋体" w:hAnsi="宋体" w:cs="宋体"/>
          <w:b/>
          <w:bCs/>
          <w:color w:val="333333"/>
          <w:sz w:val="28"/>
          <w:szCs w:val="28"/>
        </w:rPr>
      </w:pPr>
      <w:r>
        <w:rPr>
          <w:rFonts w:hint="eastAsia" w:ascii="宋体" w:hAnsi="宋体" w:cs="宋体"/>
          <w:b/>
          <w:bCs/>
          <w:color w:val="333333"/>
          <w:sz w:val="28"/>
          <w:szCs w:val="28"/>
        </w:rPr>
        <w:t>（</w:t>
      </w:r>
      <w:r>
        <w:rPr>
          <w:rFonts w:hint="eastAsia" w:ascii="宋体" w:hAnsi="宋体" w:cs="宋体"/>
          <w:b/>
          <w:bCs/>
          <w:color w:val="333333"/>
          <w:sz w:val="28"/>
          <w:szCs w:val="28"/>
          <w:lang w:val="en-US" w:eastAsia="zh-CN"/>
        </w:rPr>
        <w:t>二</w:t>
      </w:r>
      <w:r>
        <w:rPr>
          <w:rFonts w:hint="eastAsia" w:ascii="宋体" w:hAnsi="宋体" w:cs="宋体"/>
          <w:b/>
          <w:bCs/>
          <w:color w:val="333333"/>
          <w:sz w:val="28"/>
          <w:szCs w:val="28"/>
        </w:rPr>
        <w:t>）下属机构情况</w:t>
      </w:r>
    </w:p>
    <w:p>
      <w:pPr>
        <w:spacing w:line="460" w:lineRule="exact"/>
        <w:ind w:firstLine="640" w:firstLineChars="200"/>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仿宋_GB2312"/>
          <w:kern w:val="0"/>
          <w:sz w:val="32"/>
          <w:szCs w:val="32"/>
          <w:lang w:val="en-US" w:eastAsia="zh-CN"/>
        </w:rPr>
        <w:t>水源镇中心幼儿园</w:t>
      </w:r>
      <w:r>
        <w:rPr>
          <w:rFonts w:hint="eastAsia" w:ascii="仿宋_GB2312" w:eastAsia="仿宋_GB2312" w:cs="仿宋_GB2312"/>
          <w:kern w:val="0"/>
          <w:sz w:val="32"/>
          <w:szCs w:val="32"/>
        </w:rPr>
        <w:t>下属机构有</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个，</w:t>
      </w:r>
      <w:r>
        <w:rPr>
          <w:rFonts w:hint="eastAsia" w:ascii="仿宋_GB2312" w:eastAsia="仿宋_GB2312" w:cs="仿宋_GB2312"/>
          <w:kern w:val="0"/>
          <w:sz w:val="32"/>
          <w:szCs w:val="32"/>
          <w:lang w:val="en-US" w:eastAsia="zh-CN"/>
        </w:rPr>
        <w:t>其中有以下附属幼儿园，含香小学附属幼儿园、河钢幼儿园、宝江小学附属幼儿园、中涧小学附属幼儿园、上南小学附属幼儿园、三美小学附属幼儿园、三才小学附属幼儿园、广南附属幼儿园、温平小学附属幼儿园</w:t>
      </w:r>
      <w:r>
        <w:rPr>
          <w:rFonts w:hint="eastAsia" w:ascii="仿宋_GB2312" w:eastAsia="仿宋_GB2312" w:cs="仿宋_GB2312"/>
          <w:kern w:val="0"/>
          <w:sz w:val="32"/>
          <w:szCs w:val="32"/>
        </w:rPr>
        <w:t>。</w:t>
      </w:r>
    </w:p>
    <w:p>
      <w:pPr>
        <w:jc w:val="center"/>
        <w:rPr>
          <w:rFonts w:hint="eastAsia" w:ascii="黑体" w:hAnsi="黑体" w:eastAsia="黑体" w:cs="黑体"/>
          <w:b w:val="0"/>
          <w:bCs w:val="0"/>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b w:val="0"/>
          <w:bCs w:val="0"/>
          <w:color w:val="000000"/>
          <w:sz w:val="32"/>
          <w:szCs w:val="32"/>
        </w:rPr>
        <w:t>环江毛南族自治县水源镇中心幼儿园</w:t>
      </w:r>
      <w:r>
        <w:rPr>
          <w:rFonts w:hint="eastAsia" w:ascii="黑体" w:hAnsi="黑体" w:eastAsia="黑体" w:cs="黑体"/>
          <w:b w:val="0"/>
          <w:bCs w:val="0"/>
          <w:sz w:val="32"/>
          <w:szCs w:val="32"/>
          <w:highlight w:val="none"/>
        </w:rPr>
        <w:t>2022年度部门决算报表</w:t>
      </w:r>
    </w:p>
    <w:tbl>
      <w:tblPr>
        <w:tblStyle w:val="6"/>
        <w:tblW w:w="140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28"/>
        <w:gridCol w:w="845"/>
        <w:gridCol w:w="1123"/>
        <w:gridCol w:w="4470"/>
        <w:gridCol w:w="845"/>
        <w:gridCol w:w="1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部门：环江毛南族自治县水源镇中心幼儿园</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2.本套报表金额单位转换时可能存在尾数误差。</w:t>
            </w:r>
          </w:p>
        </w:tc>
      </w:tr>
    </w:tbl>
    <w:p>
      <w:pPr>
        <w:jc w:val="left"/>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pPr w:leftFromText="180" w:rightFromText="180" w:vertAnchor="text" w:horzAnchor="page" w:tblpX="1217" w:tblpY="291"/>
        <w:tblOverlap w:val="never"/>
        <w:tblW w:w="145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50"/>
        <w:gridCol w:w="247"/>
        <w:gridCol w:w="162"/>
        <w:gridCol w:w="81"/>
        <w:gridCol w:w="3896"/>
        <w:gridCol w:w="80"/>
        <w:gridCol w:w="810"/>
        <w:gridCol w:w="80"/>
        <w:gridCol w:w="810"/>
        <w:gridCol w:w="80"/>
        <w:gridCol w:w="588"/>
        <w:gridCol w:w="80"/>
        <w:gridCol w:w="588"/>
        <w:gridCol w:w="80"/>
        <w:gridCol w:w="588"/>
        <w:gridCol w:w="80"/>
        <w:gridCol w:w="588"/>
        <w:gridCol w:w="80"/>
        <w:gridCol w:w="1550"/>
        <w:gridCol w:w="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8" w:type="dxa"/>
          <w:trHeight w:val="615" w:hRule="atLeast"/>
        </w:trPr>
        <w:tc>
          <w:tcPr>
            <w:tcW w:w="14518" w:type="dxa"/>
            <w:gridSpan w:val="1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5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4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976"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9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9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2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5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部门：环江毛南族自治县水源镇中心幼儿园</w:t>
            </w:r>
          </w:p>
        </w:tc>
        <w:tc>
          <w:tcPr>
            <w:tcW w:w="2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4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976"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9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9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2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8" w:type="dxa"/>
          <w:trHeight w:val="322" w:hRule="atLeast"/>
        </w:trPr>
        <w:tc>
          <w:tcPr>
            <w:tcW w:w="84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9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89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668"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668"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668"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668"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3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8" w:type="dxa"/>
          <w:trHeight w:val="322" w:hRule="atLeast"/>
        </w:trPr>
        <w:tc>
          <w:tcPr>
            <w:tcW w:w="445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77" w:type="dxa"/>
            <w:gridSpan w:val="2"/>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9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9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8" w:type="dxa"/>
          <w:trHeight w:val="322" w:hRule="atLeast"/>
        </w:trPr>
        <w:tc>
          <w:tcPr>
            <w:tcW w:w="445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77" w:type="dxa"/>
            <w:gridSpan w:val="2"/>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9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9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8" w:type="dxa"/>
          <w:trHeight w:val="322" w:hRule="atLeast"/>
        </w:trPr>
        <w:tc>
          <w:tcPr>
            <w:tcW w:w="445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77" w:type="dxa"/>
            <w:gridSpan w:val="2"/>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9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9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8" w:type="dxa"/>
          <w:trHeight w:val="322" w:hRule="atLeast"/>
        </w:trPr>
        <w:tc>
          <w:tcPr>
            <w:tcW w:w="843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8" w:type="dxa"/>
          <w:trHeight w:val="322" w:hRule="atLeast"/>
        </w:trPr>
        <w:tc>
          <w:tcPr>
            <w:tcW w:w="843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305.14</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305.14</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8" w:type="dxa"/>
          <w:trHeight w:val="322" w:hRule="atLeast"/>
        </w:trPr>
        <w:tc>
          <w:tcPr>
            <w:tcW w:w="44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97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8" w:type="dxa"/>
          <w:trHeight w:val="322" w:hRule="atLeast"/>
        </w:trPr>
        <w:tc>
          <w:tcPr>
            <w:tcW w:w="44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397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8" w:type="dxa"/>
          <w:trHeight w:val="322" w:hRule="atLeast"/>
        </w:trPr>
        <w:tc>
          <w:tcPr>
            <w:tcW w:w="44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7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8" w:type="dxa"/>
          <w:trHeight w:val="322" w:hRule="atLeast"/>
        </w:trPr>
        <w:tc>
          <w:tcPr>
            <w:tcW w:w="44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97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292.31</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292.31</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8" w:type="dxa"/>
          <w:trHeight w:val="322" w:hRule="atLeast"/>
        </w:trPr>
        <w:tc>
          <w:tcPr>
            <w:tcW w:w="44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397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292.31</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292.31</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8" w:type="dxa"/>
          <w:trHeight w:val="322" w:hRule="atLeast"/>
        </w:trPr>
        <w:tc>
          <w:tcPr>
            <w:tcW w:w="44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397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292.31</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292.31</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8" w:type="dxa"/>
          <w:trHeight w:val="322" w:hRule="atLeast"/>
        </w:trPr>
        <w:tc>
          <w:tcPr>
            <w:tcW w:w="44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7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8" w:type="dxa"/>
          <w:trHeight w:val="322" w:hRule="atLeast"/>
        </w:trPr>
        <w:tc>
          <w:tcPr>
            <w:tcW w:w="44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7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8" w:type="dxa"/>
          <w:trHeight w:val="322" w:hRule="atLeast"/>
        </w:trPr>
        <w:tc>
          <w:tcPr>
            <w:tcW w:w="44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7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8" w:type="dxa"/>
          <w:trHeight w:val="322" w:hRule="atLeast"/>
        </w:trPr>
        <w:tc>
          <w:tcPr>
            <w:tcW w:w="44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7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8" w:type="dxa"/>
          <w:trHeight w:val="322" w:hRule="atLeast"/>
        </w:trPr>
        <w:tc>
          <w:tcPr>
            <w:tcW w:w="44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7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8" w:type="dxa"/>
          <w:trHeight w:val="322" w:hRule="atLeast"/>
        </w:trPr>
        <w:tc>
          <w:tcPr>
            <w:tcW w:w="44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7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dxa"/>
          <w:trHeight w:val="322" w:hRule="atLeast"/>
        </w:trPr>
        <w:tc>
          <w:tcPr>
            <w:tcW w:w="44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97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dxa"/>
          <w:trHeight w:val="322" w:hRule="atLeast"/>
        </w:trPr>
        <w:tc>
          <w:tcPr>
            <w:tcW w:w="44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397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dxa"/>
          <w:trHeight w:val="322" w:hRule="atLeast"/>
        </w:trPr>
        <w:tc>
          <w:tcPr>
            <w:tcW w:w="44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97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dxa"/>
          <w:trHeight w:val="322" w:hRule="atLeast"/>
        </w:trPr>
        <w:tc>
          <w:tcPr>
            <w:tcW w:w="44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977"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9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6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3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dxa"/>
          <w:trHeight w:val="322" w:hRule="atLeast"/>
        </w:trPr>
        <w:tc>
          <w:tcPr>
            <w:tcW w:w="14518" w:type="dxa"/>
            <w:gridSpan w:val="1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both"/>
        <w:rPr>
          <w:rFonts w:hint="eastAsia" w:ascii="仿宋" w:hAnsi="仿宋" w:eastAsia="仿宋" w:cs="仿宋"/>
          <w:sz w:val="24"/>
          <w:highlight w:val="none"/>
        </w:rPr>
      </w:pPr>
      <w:r>
        <w:rPr>
          <w:rFonts w:hint="eastAsia" w:ascii="仿宋" w:hAnsi="仿宋" w:eastAsia="仿宋" w:cs="仿宋"/>
          <w:sz w:val="24"/>
          <w:highlight w:val="none"/>
        </w:rPr>
        <w:t>表三：支出决算表</w:t>
      </w:r>
    </w:p>
    <w:tbl>
      <w:tblPr>
        <w:tblStyle w:val="6"/>
        <w:tblpPr w:leftFromText="180" w:rightFromText="180" w:vertAnchor="text" w:horzAnchor="page" w:tblpXSpec="center" w:tblpY="271"/>
        <w:tblOverlap w:val="never"/>
        <w:tblW w:w="15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42"/>
        <w:gridCol w:w="239"/>
        <w:gridCol w:w="239"/>
        <w:gridCol w:w="3819"/>
        <w:gridCol w:w="981"/>
        <w:gridCol w:w="871"/>
        <w:gridCol w:w="983"/>
        <w:gridCol w:w="758"/>
        <w:gridCol w:w="758"/>
        <w:gridCol w:w="1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5240"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84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3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3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81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5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5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75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84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部门：环江毛南族自治县水源镇中心幼儿园</w:t>
            </w:r>
          </w:p>
        </w:tc>
        <w:tc>
          <w:tcPr>
            <w:tcW w:w="23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3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81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5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5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75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1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8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87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8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5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75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7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53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819"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81"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1"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5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5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5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53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819"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1"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1"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5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5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5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53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819"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1"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1"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5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5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5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139"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139"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305.14</w:t>
            </w:r>
          </w:p>
        </w:tc>
        <w:tc>
          <w:tcPr>
            <w:tcW w:w="8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40.08</w:t>
            </w:r>
          </w:p>
        </w:tc>
        <w:tc>
          <w:tcPr>
            <w:tcW w:w="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265.06</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532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9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8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532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3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9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8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532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9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8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532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9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292.31</w:t>
            </w:r>
          </w:p>
        </w:tc>
        <w:tc>
          <w:tcPr>
            <w:tcW w:w="8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33.28</w:t>
            </w:r>
          </w:p>
        </w:tc>
        <w:tc>
          <w:tcPr>
            <w:tcW w:w="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259.03</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532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3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9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292.31</w:t>
            </w:r>
          </w:p>
        </w:tc>
        <w:tc>
          <w:tcPr>
            <w:tcW w:w="8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33.28</w:t>
            </w:r>
          </w:p>
        </w:tc>
        <w:tc>
          <w:tcPr>
            <w:tcW w:w="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259.03</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532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3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9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292.31</w:t>
            </w:r>
          </w:p>
        </w:tc>
        <w:tc>
          <w:tcPr>
            <w:tcW w:w="8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33.28</w:t>
            </w:r>
          </w:p>
        </w:tc>
        <w:tc>
          <w:tcPr>
            <w:tcW w:w="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259.03</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532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9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8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532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9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8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532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9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8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532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9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8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532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9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8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532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8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532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9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8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532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3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9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8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32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9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8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32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81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8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8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5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5240"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jc w:val="left"/>
        <w:rPr>
          <w:rFonts w:hint="eastAsia" w:ascii="仿宋" w:hAnsi="仿宋" w:eastAsia="仿宋" w:cs="仿宋"/>
          <w:sz w:val="24"/>
          <w:highlight w:val="none"/>
        </w:rPr>
      </w:pPr>
    </w:p>
    <w:p>
      <w:pP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ascii="仿宋" w:hAnsi="仿宋" w:eastAsia="仿宋" w:cs="仿宋"/>
          <w:sz w:val="24"/>
          <w:highlight w:val="none"/>
        </w:rPr>
      </w:pPr>
    </w:p>
    <w:tbl>
      <w:tblPr>
        <w:tblStyle w:val="6"/>
        <w:tblW w:w="14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16"/>
        <w:gridCol w:w="512"/>
        <w:gridCol w:w="1439"/>
        <w:gridCol w:w="3516"/>
        <w:gridCol w:w="512"/>
        <w:gridCol w:w="876"/>
        <w:gridCol w:w="1439"/>
        <w:gridCol w:w="1106"/>
        <w:gridCol w:w="1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1492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部门：环江毛南族自治县水源镇中心幼儿园</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97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29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62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3971"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9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2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5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45"/>
        <w:gridCol w:w="279"/>
        <w:gridCol w:w="279"/>
        <w:gridCol w:w="4970"/>
        <w:gridCol w:w="1295"/>
        <w:gridCol w:w="1133"/>
        <w:gridCol w:w="2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15380"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部门：环江毛南族自治县水源镇中心幼儿园</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38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637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7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3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16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637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7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16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637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7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16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305.14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cente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tbl>
      <w:tblPr>
        <w:tblStyle w:val="6"/>
        <w:tblpPr w:leftFromText="180" w:rightFromText="180" w:vertAnchor="text" w:horzAnchor="page" w:tblpXSpec="center" w:tblpY="288"/>
        <w:tblOverlap w:val="never"/>
        <w:tblW w:w="158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45"/>
        <w:gridCol w:w="2501"/>
        <w:gridCol w:w="766"/>
        <w:gridCol w:w="766"/>
        <w:gridCol w:w="1852"/>
        <w:gridCol w:w="656"/>
        <w:gridCol w:w="766"/>
        <w:gridCol w:w="3373"/>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15871"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404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50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8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4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404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部门：环江毛南族自治县水源镇中心幼儿园</w:t>
            </w:r>
          </w:p>
        </w:tc>
        <w:tc>
          <w:tcPr>
            <w:tcW w:w="250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8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4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7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8559"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50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85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5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3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4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50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4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39.64</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4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0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3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4" w:hRule="atLeast"/>
          <w:jc w:val="center"/>
        </w:trPr>
        <w:tc>
          <w:tcPr>
            <w:tcW w:w="654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39.64</w:t>
            </w:r>
          </w:p>
        </w:tc>
        <w:tc>
          <w:tcPr>
            <w:tcW w:w="741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5871"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hint="eastAsia" w:ascii="仿宋" w:hAnsi="仿宋" w:eastAsia="仿宋" w:cs="仿宋"/>
          <w:sz w:val="24"/>
          <w:highlight w:val="none"/>
          <w:lang w:eastAsia="zh-CN"/>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环江毛南族自治县水源镇中心幼儿园</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注：本部门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环江毛南族自治县水源镇中心幼儿园</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注：本部门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环江毛南族自治县水源镇中心幼儿园</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1.01</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1.01</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1.01</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1.01</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注：本部门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年度没有一般公共预算财政拨款“三公”经费收入，也没有一般公共预算财政拨款“三公”经费安排的支出，故本表无数据。</w:t>
            </w:r>
          </w:p>
        </w:tc>
      </w:tr>
    </w:tbl>
    <w:p>
      <w:pPr>
        <w:ind w:firstLine="420" w:firstLineChars="0"/>
        <w:jc w:val="left"/>
        <w:rPr>
          <w:rFonts w:ascii="仿宋" w:hAnsi="仿宋" w:eastAsia="仿宋" w:cs="仿宋"/>
          <w:sz w:val="24"/>
          <w:highlight w:val="none"/>
        </w:rPr>
        <w:sectPr>
          <w:pgSz w:w="16838" w:h="11906" w:orient="landscape"/>
          <w:pgMar w:top="720" w:right="720" w:bottom="720" w:left="72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环江毛南族自治县水源镇中心幼儿园</w:t>
      </w:r>
      <w:r>
        <w:rPr>
          <w:rFonts w:hint="eastAsia" w:ascii="黑体" w:hAnsi="黑体" w:eastAsia="黑体" w:cs="黑体"/>
          <w:sz w:val="32"/>
          <w:szCs w:val="32"/>
          <w:highlight w:val="none"/>
        </w:rPr>
        <w:t>2022年度部门决算情况说明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hint="eastAsia" w:ascii="仿宋" w:hAnsi="仿宋" w:eastAsia="仿宋" w:cs="仿宋"/>
          <w:sz w:val="32"/>
          <w:u w:color="auto"/>
        </w:rPr>
        <w:t>305.14</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val="en-US" w:eastAsia="zh-CN"/>
        </w:rPr>
        <w:t>减少13.69</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下降4.29</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305.14</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305.14</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13.69</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4.29%</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主要原因：2022年度环江毛南族自治县水源镇中心</w:t>
      </w:r>
      <w:r>
        <w:rPr>
          <w:rFonts w:hint="eastAsia" w:ascii="仿宋" w:hAnsi="仿宋" w:eastAsia="仿宋" w:cs="仿宋"/>
          <w:color w:val="auto"/>
          <w:kern w:val="2"/>
          <w:sz w:val="32"/>
          <w:szCs w:val="32"/>
          <w:highlight w:val="none"/>
          <w:lang w:val="en-US" w:eastAsia="zh-CN" w:bidi="ar"/>
        </w:rPr>
        <w:t>幼儿园幼儿人数减少，导致保育教育费收入也减少。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河池市</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2022年度本单位没有政府性基金预算财政拨款收入，也没有政府性基金预算财政拨款安排的支出。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河池市</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2022年度本单位没有国有资本经营预算财政拨款收入，也没有国有资本经营预算财政拨款安排的支出。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u w:color="auto"/>
        </w:rPr>
        <w:t>增加</w:t>
      </w:r>
      <w:r>
        <w:rPr>
          <w:rFonts w:hint="eastAsia"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rPr>
        <w:t>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万元，为事业单位开展业务活动取得的收入。较2021年</w:t>
      </w:r>
      <w:r>
        <w:rPr>
          <w:rFonts w:hint="eastAsia" w:ascii="仿宋" w:hAnsi="仿宋" w:eastAsia="仿宋" w:cs="仿宋"/>
          <w:color w:val="auto"/>
          <w:kern w:val="2"/>
          <w:sz w:val="32"/>
          <w:szCs w:val="32"/>
          <w:highlight w:val="none"/>
          <w:lang w:val="en-US" w:eastAsia="zh-CN" w:bidi="ar"/>
        </w:rPr>
        <w:t>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auto"/>
          <w:kern w:val="2"/>
          <w:sz w:val="32"/>
          <w:szCs w:val="32"/>
          <w:highlight w:val="none"/>
          <w:lang w:val="en-US" w:eastAsia="zh-CN" w:bidi="ar"/>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6.经营收入0.00万,为事业单位在业务活动之外开展非独立核算经营活动取得的收入。较2021年度决算数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sz w:val="32"/>
          <w:u w:color="auto"/>
        </w:rPr>
        <w:t>减少</w:t>
      </w:r>
      <w:r>
        <w:rPr>
          <w:rFonts w:hint="eastAsia"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rPr>
        <w:t>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万元，为以前年度支出预算因客观条件变化未执行完毕、结转到本年度按有关规定继续使用的资金。较2021年度决算数</w:t>
      </w:r>
      <w:r>
        <w:rPr>
          <w:rFonts w:ascii="仿宋" w:hAnsi="仿宋" w:eastAsia="仿宋" w:cs="仿宋"/>
          <w:sz w:val="32"/>
          <w:u w:color="auto"/>
        </w:rPr>
        <w:t>减少</w:t>
      </w:r>
      <w:r>
        <w:rPr>
          <w:rFonts w:hint="eastAsia"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rPr>
        <w:t>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上年度本单位无结转和结余。</w:t>
      </w:r>
    </w:p>
    <w:p>
      <w:pPr>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drawing>
          <wp:inline distT="0" distB="0" distL="114300" distR="114300">
            <wp:extent cx="5080000" cy="3000375"/>
            <wp:effectExtent l="4445" t="4445" r="20955" b="5080"/>
            <wp:docPr id="1" name="图表 1"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hint="eastAsia" w:ascii="仿宋" w:hAnsi="仿宋" w:eastAsia="仿宋" w:cs="仿宋"/>
          <w:sz w:val="32"/>
          <w:u w:color="auto"/>
          <w:lang w:val="en-US" w:eastAsia="zh-CN"/>
        </w:rPr>
        <w:t>305.14</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305.14</w:t>
      </w:r>
      <w:r>
        <w:rPr>
          <w:rFonts w:hint="eastAsia" w:ascii="仿宋" w:hAnsi="仿宋" w:eastAsia="仿宋" w:cs="仿宋"/>
          <w:sz w:val="32"/>
          <w:szCs w:val="32"/>
          <w:highlight w:val="none"/>
        </w:rPr>
        <w:t>万元，较2021年度决算数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13.69</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4.29</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292.31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用于幼儿园人员经费、和办公费支出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减少17.81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下降5.74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2022年幼儿人数减少，导致人员经费也减少，学校的办公设备未能够足量投入。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3.27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缴纳教职工“五险”</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增加0.42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14.73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2022年9月份增加6名公招教师，足额缴纳教师五险。</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w:t>
      </w:r>
      <w:r>
        <w:rPr>
          <w:rFonts w:hint="eastAsia" w:ascii="仿宋" w:hAnsi="仿宋" w:eastAsia="仿宋" w:cs="仿宋"/>
          <w:sz w:val="32"/>
          <w:szCs w:val="32"/>
          <w:highlight w:val="none"/>
          <w:lang w:val="en-US" w:eastAsia="zh-CN" w:bidi="ar"/>
        </w:rPr>
        <w:t>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0.44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幼儿园工会经费，支付工会人员经费和办公费等</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增加0.44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增长100%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2022年幼儿园在职教师人数增加，工会经费也增加。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6.04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幼儿园办公费等</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1.49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32.74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主要原因是：办公费支出等。</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3.09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支付</w:t>
      </w:r>
      <w:r>
        <w:rPr>
          <w:rFonts w:hint="eastAsia" w:ascii="仿宋" w:hAnsi="仿宋" w:eastAsia="仿宋" w:cs="仿宋"/>
          <w:color w:val="auto"/>
          <w:sz w:val="32"/>
          <w:szCs w:val="32"/>
          <w:highlight w:val="none"/>
          <w:lang w:val="en-US" w:eastAsia="zh-CN"/>
        </w:rPr>
        <w:t>教职工住房公积金</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增加1.78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增长135.8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2022年9月份增加6名公招教师，在职教师人数增加，住房公积金也增加。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color w:val="auto"/>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auto"/>
          <w:kern w:val="2"/>
          <w:sz w:val="32"/>
          <w:szCs w:val="32"/>
          <w:highlight w:val="none"/>
          <w:lang w:val="en-US" w:eastAsia="zh-CN" w:bidi="ar"/>
        </w:rPr>
        <w:t>本单位无结转和结余。</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。较2021年度决算数</w:t>
      </w:r>
      <w:r>
        <w:rPr>
          <w:rFonts w:ascii="仿宋" w:hAnsi="仿宋" w:eastAsia="仿宋" w:cs="仿宋"/>
          <w:sz w:val="32"/>
          <w:u w:color="auto"/>
        </w:rPr>
        <w:t>增加</w:t>
      </w:r>
      <w:r>
        <w:rPr>
          <w:rFonts w:hint="eastAsia" w:ascii="仿宋" w:hAnsi="仿宋" w:eastAsia="仿宋" w:cs="仿宋"/>
          <w:sz w:val="32"/>
          <w:u w:color="auto"/>
        </w:rPr>
        <w:t>0.00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rPr>
        <w:t>0.00</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本单位无结转和结余。</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565650" cy="2746375"/>
            <wp:effectExtent l="4445" t="4445" r="20955" b="11430"/>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0" w:name="OLE_LINK1"/>
      <w:r>
        <w:rPr>
          <w:rFonts w:hint="eastAsia" w:ascii="黑体" w:hAnsi="黑体" w:eastAsia="黑体" w:cs="黑体"/>
          <w:sz w:val="32"/>
          <w:szCs w:val="32"/>
          <w:highlight w:val="none"/>
        </w:rPr>
        <w:t>一般公共预算财政拨款支出决算情况</w:t>
      </w:r>
      <w:bookmarkEnd w:id="0"/>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环江毛南族自治县水源镇中心幼儿园</w:t>
      </w:r>
      <w:r>
        <w:rPr>
          <w:rFonts w:hint="eastAsia" w:ascii="仿宋" w:hAnsi="仿宋" w:eastAsia="仿宋" w:cs="仿宋"/>
          <w:sz w:val="32"/>
          <w:szCs w:val="32"/>
          <w:highlight w:val="none"/>
        </w:rPr>
        <w:t>2022年度一般公共预算财政拨款支出</w:t>
      </w:r>
      <w:r>
        <w:rPr>
          <w:rFonts w:hint="eastAsia" w:ascii="仿宋" w:hAnsi="仿宋" w:eastAsia="仿宋" w:cs="仿宋"/>
          <w:sz w:val="32"/>
          <w:u w:color="auto"/>
          <w:lang w:val="en-US" w:eastAsia="zh-CN"/>
        </w:rPr>
        <w:t>305.14</w:t>
      </w:r>
      <w:r>
        <w:rPr>
          <w:rFonts w:hint="eastAsia" w:ascii="仿宋" w:hAnsi="仿宋" w:eastAsia="仿宋" w:cs="仿宋"/>
          <w:sz w:val="32"/>
          <w:szCs w:val="32"/>
          <w:highlight w:val="none"/>
        </w:rPr>
        <w:t>万元，较2021年度决算数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13.69</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4.29</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40.08</w:t>
      </w:r>
      <w:r>
        <w:rPr>
          <w:rFonts w:hint="eastAsia" w:ascii="仿宋" w:hAnsi="仿宋" w:eastAsia="仿宋" w:cs="仿宋"/>
          <w:sz w:val="32"/>
          <w:szCs w:val="32"/>
          <w:highlight w:val="none"/>
        </w:rPr>
        <w:t>元，项目支出</w:t>
      </w:r>
      <w:r>
        <w:rPr>
          <w:rFonts w:hint="eastAsia" w:ascii="仿宋" w:hAnsi="仿宋" w:eastAsia="仿宋" w:cs="仿宋"/>
          <w:sz w:val="32"/>
          <w:u w:color="auto"/>
          <w:lang w:val="en-US" w:eastAsia="zh-CN"/>
        </w:rPr>
        <w:t>265.06</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环江毛南族自治县水源镇中心幼儿园</w:t>
      </w:r>
      <w:r>
        <w:rPr>
          <w:rFonts w:hint="eastAsia" w:ascii="仿宋" w:hAnsi="仿宋" w:eastAsia="仿宋" w:cs="仿宋"/>
          <w:sz w:val="32"/>
          <w:szCs w:val="32"/>
          <w:highlight w:val="none"/>
        </w:rPr>
        <w:t>2022 年度一般公共预算财政拨款支出年初预算为</w:t>
      </w:r>
      <w:r>
        <w:rPr>
          <w:rFonts w:hint="eastAsia" w:ascii="仿宋" w:hAnsi="仿宋" w:eastAsia="仿宋" w:cs="仿宋"/>
          <w:sz w:val="32"/>
          <w:u w:color="auto"/>
          <w:lang w:val="en-US" w:eastAsia="zh-CN"/>
        </w:rPr>
        <w:t>216.26</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305.14</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141.09</w:t>
      </w:r>
      <w:r>
        <w:rPr>
          <w:rFonts w:ascii="仿宋" w:hAnsi="仿宋" w:eastAsia="仿宋" w:cs="仿宋"/>
          <w:sz w:val="32"/>
          <w:u w:color="auto"/>
        </w:rPr>
        <w:t>%</w:t>
      </w:r>
      <w:r>
        <w:rPr>
          <w:rFonts w:hint="eastAsia" w:ascii="仿宋" w:hAnsi="仿宋" w:eastAsia="仿宋" w:cs="仿宋"/>
          <w:sz w:val="32"/>
          <w:szCs w:val="32"/>
          <w:highlight w:val="none"/>
        </w:rPr>
        <w:t>。</w:t>
      </w:r>
      <w:bookmarkStart w:id="1" w:name="OLE_LINK2"/>
      <w:bookmarkEnd w:id="1"/>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209.65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292.31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139.42</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原因是：教育支出</w:t>
      </w:r>
      <w:r>
        <w:rPr>
          <w:rFonts w:hint="eastAsia" w:ascii="仿宋" w:hAnsi="仿宋" w:eastAsia="仿宋"/>
          <w:color w:val="auto"/>
          <w:sz w:val="32"/>
          <w:szCs w:val="32"/>
          <w:highlight w:val="none"/>
          <w:lang w:val="en-US" w:eastAsia="zh-CN"/>
        </w:rPr>
        <w:t>已完成年初预算目标</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bookmarkStart w:id="2" w:name="OLE_LINK3"/>
            <w:r>
              <w:rPr>
                <w:rFonts w:hint="eastAsia" w:ascii="宋体" w:hAnsi="宋体" w:eastAsia="宋体" w:cs="宋体"/>
                <w:i w:val="0"/>
                <w:iCs w:val="0"/>
                <w:color w:val="000000"/>
                <w:sz w:val="20"/>
                <w:szCs w:val="20"/>
                <w:highlight w:val="none"/>
                <w:u w:val="none"/>
                <w:lang w:val="en-US" w:eastAsia="zh-CN"/>
              </w:rPr>
              <w:t>2050201</w:t>
            </w:r>
            <w:bookmarkEnd w:id="2"/>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学前教育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209.65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292.31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139.42%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用于幼儿园人员经费、和办公费支出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教育支出已完成年初预算目标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209.65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292.31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3.52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3.27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92.89</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原因是：教职工</w:t>
      </w:r>
      <w:r>
        <w:rPr>
          <w:rFonts w:hint="eastAsia" w:ascii="仿宋" w:hAnsi="仿宋" w:eastAsia="仿宋"/>
          <w:color w:val="auto"/>
          <w:sz w:val="32"/>
          <w:szCs w:val="32"/>
          <w:highlight w:val="none"/>
          <w:lang w:val="en-US" w:eastAsia="zh-CN"/>
        </w:rPr>
        <w:t>养老保险基数较低</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3.52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3.27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92.89%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缴纳教职工养老保险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教职工养老保险基数较低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3.52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616200"/>
            <wp:effectExtent l="4445" t="4445" r="16510" b="825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w:t>
      </w:r>
      <w:r>
        <w:rPr>
          <w:rFonts w:hint="eastAsia" w:ascii="仿宋" w:hAnsi="仿宋" w:eastAsia="仿宋"/>
          <w:sz w:val="32"/>
          <w:u w:color="auto"/>
          <w:lang w:val="en-US" w:eastAsia="zh-CN"/>
        </w:rPr>
        <w:t>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0.44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0.44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olor w:val="auto"/>
          <w:sz w:val="32"/>
          <w:szCs w:val="32"/>
          <w:highlight w:val="none"/>
          <w:lang w:val="en-US" w:eastAsia="zh-CN"/>
        </w:rPr>
        <w:t>2022年新增6名公招教师，工会经费增加。</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0.44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0.44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color w:val="auto"/>
                <w:sz w:val="18"/>
                <w:szCs w:val="18"/>
                <w:highlight w:val="none"/>
                <w:lang w:val="en-US" w:eastAsia="zh-CN"/>
              </w:rPr>
              <w:t>工会人员经费和办公费等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2022年新增6名公招教师，工会经费增加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0.44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0.44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854325"/>
            <wp:effectExtent l="4445" t="4445" r="16510" b="17780"/>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其他支出</w:t>
      </w:r>
      <w:r>
        <w:rPr>
          <w:rFonts w:ascii="仿宋" w:hAnsi="仿宋" w:eastAsia="仿宋"/>
          <w:sz w:val="32"/>
          <w:u w:color="auto"/>
        </w:rPr>
        <w:t>（</w:t>
      </w:r>
      <w:r>
        <w:rPr>
          <w:rFonts w:hint="eastAsia" w:ascii="仿宋" w:hAnsi="仿宋" w:eastAsia="仿宋"/>
          <w:sz w:val="32"/>
          <w:u w:color="auto"/>
          <w:lang w:val="en-US" w:eastAsia="zh-CN"/>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6.04</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sz w:val="32"/>
          <w:szCs w:val="32"/>
          <w:highlight w:val="none"/>
        </w:rPr>
        <w:t>办公设施设备购置经费增加</w:t>
      </w:r>
      <w:r>
        <w:rPr>
          <w:rFonts w:hint="eastAsia" w:ascii="仿宋" w:hAnsi="仿宋" w:eastAsia="仿宋"/>
          <w:color w:val="auto"/>
          <w:sz w:val="32"/>
          <w:szCs w:val="32"/>
          <w:highlight w:val="none"/>
          <w:lang w:val="en-US" w:eastAsia="zh-CN"/>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6.04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办公费支出等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办公设施设备购置经费增加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6.04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2.64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3.09</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117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olor w:val="auto"/>
          <w:sz w:val="32"/>
          <w:szCs w:val="32"/>
          <w:highlight w:val="none"/>
          <w:lang w:val="en-US" w:eastAsia="zh-CN"/>
        </w:rPr>
        <w:t>2022年9月份增加6名公招教师，在职教师人数增加，住房公积金也增加</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2.64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3.09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保障教职工的住房公积金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color w:val="auto"/>
                <w:sz w:val="18"/>
                <w:szCs w:val="18"/>
                <w:highlight w:val="none"/>
                <w:lang w:val="en-US" w:eastAsia="zh-CN"/>
              </w:rPr>
              <w:t>2022年9月份增加6名公招教师，在职教师人数增加，住房公积金也增加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101.38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98.52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环江毛南族自治县水源镇中心幼儿园</w:t>
      </w:r>
      <w:r>
        <w:rPr>
          <w:rFonts w:hint="eastAsia" w:ascii="仿宋" w:hAnsi="仿宋" w:eastAsia="仿宋" w:cs="仿宋"/>
          <w:sz w:val="32"/>
          <w:szCs w:val="32"/>
          <w:highlight w:val="none"/>
        </w:rPr>
        <w:t>2022年度一般公共预算财政拨款基本支出</w:t>
      </w:r>
      <w:r>
        <w:rPr>
          <w:rFonts w:hint="eastAsia" w:ascii="仿宋" w:hAnsi="仿宋" w:eastAsia="仿宋" w:cs="仿宋"/>
          <w:sz w:val="32"/>
          <w:u w:color="auto"/>
          <w:lang w:val="en-US" w:eastAsia="zh-CN"/>
        </w:rPr>
        <w:t>40.08</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rPr>
        <w:t>39.64</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rPr>
        <w:t>0.44</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rPr>
        <w:t>39.64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18.36</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华文仿宋" w:hAnsi="华文仿宋" w:eastAsia="华文仿宋" w:cs="华文仿宋"/>
          <w:kern w:val="0"/>
          <w:sz w:val="32"/>
          <w:szCs w:val="32"/>
          <w:lang w:eastAsia="zh-CN"/>
        </w:rPr>
        <w:t>教育局机关及学校</w:t>
      </w:r>
      <w:r>
        <w:rPr>
          <w:rFonts w:hint="eastAsia" w:ascii="华文仿宋" w:hAnsi="华文仿宋" w:eastAsia="华文仿宋" w:cs="华文仿宋"/>
          <w:kern w:val="0"/>
          <w:sz w:val="32"/>
          <w:szCs w:val="32"/>
        </w:rPr>
        <w:t>严格控制</w:t>
      </w:r>
      <w:r>
        <w:rPr>
          <w:rFonts w:hint="eastAsia" w:ascii="华文仿宋" w:hAnsi="华文仿宋" w:eastAsia="华文仿宋" w:cs="华文仿宋"/>
          <w:bCs/>
          <w:color w:val="auto"/>
          <w:spacing w:val="-6"/>
          <w:kern w:val="0"/>
          <w:sz w:val="32"/>
          <w:szCs w:val="32"/>
          <w:highlight w:val="none"/>
        </w:rPr>
        <w:t>商品和服务支出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17.87万元，30102津贴补贴3.15万元，30103奖金4.91万元，30106伙食补助费0.00万元，30107绩效工资4.59万元，30108机关事业单位基本养老保险缴费3.81万元，30110职工基本医疗保险缴费2.01万元，30111公务员医疗补助缴费0.00万元，30112其他社会保障缴费0.2万元，30113住房公积金3.09万元，30199其他工资福利支出0.00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263775"/>
            <wp:effectExtent l="4445" t="4445" r="16510" b="17780"/>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rPr>
        <w:t>0.44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olor w:val="auto"/>
          <w:sz w:val="32"/>
          <w:szCs w:val="32"/>
          <w:highlight w:val="none"/>
          <w:lang w:val="en-US" w:eastAsia="zh-CN"/>
        </w:rPr>
        <w:t>2022年新增6名公招教师，工会经费增加</w:t>
      </w:r>
      <w:r>
        <w:rPr>
          <w:rFonts w:hint="eastAsia" w:ascii="仿宋" w:hAnsi="仿宋" w:eastAsia="仿宋" w:cs="仿宋"/>
          <w:color w:val="auto"/>
          <w:kern w:val="2"/>
          <w:sz w:val="32"/>
          <w:szCs w:val="32"/>
          <w:highlight w:val="none"/>
          <w:lang w:val="en-US" w:eastAsia="zh-CN" w:bidi="ar"/>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30201办公费0.00万元，30207邮电费0.00万元，30211差旅费0.00万元，30215会议费0.00万元，30216培训费0.00万元，30226劳务费0.00万元，30228工会经费0.44万元，30299其他商品和服务支出0.00万元。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3393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0.00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本单位无对个人和家庭的补助。</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30301离休费0.00万元，30302退休费0.00万元，30305生活补助0.00万元。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482215"/>
            <wp:effectExtent l="4445" t="4445" r="16510" b="8890"/>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本单位无债务利息及费用支出。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386965"/>
            <wp:effectExtent l="4445" t="4445" r="16510" b="8890"/>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本单位无资本性支出。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58699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本单位无其他支出。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环江毛南族自治县水源镇中心幼儿园</w:t>
      </w:r>
      <w:r>
        <w:rPr>
          <w:rFonts w:hint="eastAsia" w:ascii="仿宋" w:hAnsi="仿宋" w:eastAsia="仿宋" w:cs="仿宋"/>
          <w:sz w:val="32"/>
          <w:szCs w:val="32"/>
          <w:highlight w:val="none"/>
        </w:rPr>
        <w:t>2022年度政府性基金支出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环江毛南族自治县水源镇中心幼儿园</w:t>
      </w:r>
      <w:r>
        <w:rPr>
          <w:rFonts w:hint="eastAsia" w:ascii="仿宋" w:hAnsi="仿宋" w:eastAsia="仿宋" w:cs="仿宋"/>
          <w:sz w:val="32"/>
          <w:szCs w:val="32"/>
          <w:highlight w:val="none"/>
        </w:rPr>
        <w:t>2022年度政府性基金支出年初预算为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rPr>
      </w:pPr>
      <w:r>
        <w:rPr>
          <w:rFonts w:hint="eastAsia" w:ascii="仿宋_GB2312" w:hAnsi="Times New Roman" w:eastAsia="仿宋_GB2312" w:cs="Times New Roman"/>
          <w:color w:val="auto"/>
          <w:sz w:val="32"/>
          <w:szCs w:val="32"/>
          <w:lang w:eastAsia="zh-CN"/>
        </w:rPr>
        <w:t>环江毛南族自治县水源镇中心幼儿园</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环江毛南族自治县水源镇中心幼儿园</w:t>
      </w:r>
      <w:r>
        <w:rPr>
          <w:rFonts w:hint="eastAsia" w:ascii="仿宋" w:hAnsi="仿宋" w:eastAsia="仿宋" w:cs="仿宋"/>
          <w:sz w:val="32"/>
          <w:szCs w:val="32"/>
          <w:highlight w:val="none"/>
        </w:rPr>
        <w:t>2022年度国有资本经营预算支出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环江毛南族自治县水源镇中心幼儿园</w:t>
      </w:r>
      <w:r>
        <w:rPr>
          <w:rFonts w:hint="eastAsia" w:ascii="仿宋" w:hAnsi="仿宋" w:eastAsia="仿宋" w:cs="仿宋"/>
          <w:sz w:val="32"/>
          <w:szCs w:val="32"/>
          <w:highlight w:val="none"/>
        </w:rPr>
        <w:t>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_GB2312" w:cs="仿宋"/>
          <w:color w:val="auto"/>
          <w:sz w:val="32"/>
          <w:szCs w:val="32"/>
          <w:highlight w:val="none"/>
          <w:lang w:eastAsia="zh-CN"/>
        </w:rPr>
      </w:pPr>
      <w:bookmarkStart w:id="3" w:name="PO_part3A5B1C1DiffReason1"/>
      <w:r>
        <w:rPr>
          <w:rFonts w:hint="eastAsia" w:ascii="仿宋_GB2312" w:hAnsi="Times New Roman" w:eastAsia="仿宋_GB2312" w:cs="Times New Roman"/>
          <w:color w:val="auto"/>
          <w:sz w:val="32"/>
          <w:szCs w:val="32"/>
          <w:lang w:eastAsia="zh-CN"/>
        </w:rPr>
        <w:t>环江毛南族自治县水源镇中心幼儿园</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w:t>
      </w:r>
      <w:bookmarkEnd w:id="3"/>
      <w:r>
        <w:rPr>
          <w:rFonts w:hint="eastAsia" w:ascii="仿宋_GB2312" w:hAnsi="Times New Roman" w:eastAsia="仿宋_GB2312" w:cs="Times New Roman"/>
          <w:color w:val="auto"/>
          <w:sz w:val="32"/>
          <w:szCs w:val="32"/>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2022年度一般公共预算财政拨款安排的“三公”经费支出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本单位无“三公”经费支出。</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3"/>
        </w:numPr>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sz w:val="32"/>
          <w:szCs w:val="32"/>
          <w:highlight w:val="none"/>
          <w:lang w:val="en-US" w:eastAsia="zh-CN"/>
        </w:rPr>
        <w:t>本部门</w:t>
      </w:r>
      <w:r>
        <w:rPr>
          <w:rFonts w:hint="eastAsia" w:ascii="仿宋" w:hAnsi="仿宋" w:eastAsia="仿宋" w:cs="仿宋"/>
          <w:color w:val="000000" w:themeColor="text1"/>
          <w:sz w:val="32"/>
          <w:szCs w:val="32"/>
          <w:highlight w:val="none"/>
          <w:lang w:val="en-US" w:eastAsia="zh-CN"/>
          <w14:textFill>
            <w14:solidFill>
              <w14:schemeClr w14:val="tx1"/>
            </w14:solidFill>
          </w14:textFill>
        </w:rPr>
        <w:t>无因公出国（境）费支出。</w:t>
      </w:r>
    </w:p>
    <w:p>
      <w:pPr>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sz w:val="32"/>
          <w:szCs w:val="32"/>
          <w:highlight w:val="none"/>
          <w:lang w:val="en-US" w:eastAsia="zh-CN"/>
        </w:rPr>
        <w:t>主要</w:t>
      </w:r>
      <w:r>
        <w:rPr>
          <w:rFonts w:hint="eastAsia" w:ascii="仿宋" w:hAnsi="仿宋" w:eastAsia="仿宋" w:cs="仿宋"/>
          <w:color w:val="auto"/>
          <w:sz w:val="32"/>
          <w:szCs w:val="32"/>
        </w:rPr>
        <w:t>原因是</w:t>
      </w:r>
      <w:bookmarkStart w:id="4" w:name="PO_part3A6B2IncReason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本部门无公务用车购置</w:t>
      </w:r>
      <w:bookmarkEnd w:id="4"/>
      <w:r>
        <w:rPr>
          <w:rFonts w:hint="eastAsia" w:ascii="仿宋" w:hAnsi="仿宋" w:eastAsia="仿宋" w:cs="仿宋"/>
          <w:color w:val="auto"/>
          <w:sz w:val="32"/>
          <w:szCs w:val="32"/>
        </w:rPr>
        <w:t>。</w:t>
      </w:r>
    </w:p>
    <w:p>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auto"/>
          <w:sz w:val="32"/>
          <w:szCs w:val="32"/>
          <w:highlight w:val="none"/>
          <w:lang w:val="en-US" w:eastAsia="zh-CN"/>
        </w:rPr>
        <w:t>本部门无公务用车运行维护支出。</w:t>
      </w:r>
      <w:r>
        <w:rPr>
          <w:rFonts w:hint="eastAsia" w:ascii="仿宋" w:hAnsi="仿宋" w:eastAsia="仿宋" w:cs="仿宋"/>
          <w:sz w:val="32"/>
          <w:szCs w:val="32"/>
          <w:highlight w:val="none"/>
        </w:rPr>
        <w:t>2022年，</w:t>
      </w:r>
      <w:r>
        <w:rPr>
          <w:rFonts w:hint="eastAsia" w:ascii="仿宋" w:hAnsi="仿宋" w:eastAsia="仿宋" w:cs="仿宋"/>
          <w:sz w:val="32"/>
          <w:u w:color="auto"/>
          <w:lang w:eastAsia="zh-CN"/>
        </w:rPr>
        <w:t>环江毛</w:t>
      </w:r>
      <w:r>
        <w:rPr>
          <w:rFonts w:hint="eastAsia" w:ascii="仿宋" w:hAnsi="仿宋" w:eastAsia="仿宋" w:cs="仿宋"/>
          <w:color w:val="auto"/>
          <w:sz w:val="32"/>
          <w:u w:color="auto"/>
          <w:lang w:eastAsia="zh-CN"/>
        </w:rPr>
        <w:t>南族自治县水源镇中心幼儿园</w:t>
      </w:r>
      <w:r>
        <w:rPr>
          <w:rFonts w:hint="eastAsia" w:ascii="仿宋" w:hAnsi="仿宋" w:eastAsia="仿宋" w:cs="仿宋"/>
          <w:color w:val="auto"/>
          <w:sz w:val="32"/>
          <w:szCs w:val="32"/>
          <w:highlight w:val="none"/>
        </w:rPr>
        <w:t>及</w:t>
      </w:r>
      <w:r>
        <w:rPr>
          <w:rFonts w:hint="eastAsia" w:ascii="仿宋" w:hAnsi="仿宋" w:eastAsia="仿宋" w:cs="仿宋"/>
          <w:color w:val="auto"/>
          <w:sz w:val="32"/>
          <w:szCs w:val="32"/>
          <w:highlight w:val="none"/>
          <w:u w:val="single"/>
          <w:lang w:val="en-US" w:eastAsia="zh-CN"/>
        </w:rPr>
        <w:t xml:space="preserve">  0 个</w:t>
      </w:r>
      <w:r>
        <w:rPr>
          <w:rFonts w:hint="eastAsia" w:ascii="仿宋" w:hAnsi="仿宋" w:eastAsia="仿宋" w:cs="仿宋"/>
          <w:color w:val="auto"/>
          <w:sz w:val="32"/>
          <w:szCs w:val="32"/>
          <w:highlight w:val="none"/>
        </w:rPr>
        <w:t>所属单位开支财政拨款的公务用车保有量为</w:t>
      </w:r>
      <w:r>
        <w:rPr>
          <w:rFonts w:ascii="仿宋" w:hAnsi="仿宋" w:eastAsia="仿宋" w:cs="仿宋"/>
          <w:color w:val="auto"/>
          <w:sz w:val="32"/>
          <w:u w:color="auto"/>
        </w:rPr>
        <w:t>0</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主要原因是：本部门无公务接待费支出。</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default" w:ascii="仿宋" w:hAnsi="仿宋" w:eastAsia="仿宋" w:cs="仿宋"/>
          <w:color w:val="FF0000"/>
          <w:sz w:val="32"/>
          <w:szCs w:val="32"/>
          <w:highlight w:val="none"/>
          <w:lang w:val="en-US" w:eastAsia="zh-CN"/>
        </w:rPr>
      </w:pPr>
      <w:r>
        <w:rPr>
          <w:rFonts w:hint="eastAsia" w:ascii="仿宋" w:hAnsi="仿宋" w:eastAsia="仿宋" w:cs="仿宋"/>
          <w:sz w:val="32"/>
          <w:szCs w:val="32"/>
          <w:highlight w:val="none"/>
        </w:rPr>
        <w:t>本部门2022年度机关运行经费支出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原因是：</w:t>
      </w:r>
      <w:r>
        <w:rPr>
          <w:rFonts w:hint="eastAsia" w:ascii="仿宋" w:hAnsi="仿宋" w:eastAsia="仿宋" w:cs="仿宋"/>
          <w:color w:val="auto"/>
          <w:sz w:val="32"/>
          <w:szCs w:val="32"/>
          <w:highlight w:val="none"/>
          <w:lang w:val="en-US" w:eastAsia="zh-CN"/>
        </w:rPr>
        <w:t>本部门无机关运行经费支出。</w:t>
      </w:r>
    </w:p>
    <w:p>
      <w:pPr>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51.44</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72.84</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组织对“学前生均公用经费”等</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51.44</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auto"/>
          <w:sz w:val="32"/>
          <w:szCs w:val="32"/>
          <w:lang w:val="en-US" w:eastAsia="zh-CN"/>
        </w:rPr>
        <w:t>各个项目</w:t>
      </w:r>
      <w:r>
        <w:rPr>
          <w:rFonts w:hint="eastAsia" w:ascii="仿宋" w:hAnsi="仿宋" w:eastAsia="仿宋" w:cs="仿宋"/>
          <w:color w:val="auto"/>
          <w:sz w:val="32"/>
          <w:szCs w:val="32"/>
        </w:rPr>
        <w:t>资金主要用于学校日常各项办公开支，确保日常工作正常运转，提高学前教育的水平，提高幼儿教育质量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提高家长和学生对学校的满意度。</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环江毛南族自治县水源镇中心幼儿园</w:t>
      </w:r>
      <w:r>
        <w:rPr>
          <w:rFonts w:hint="eastAsia" w:ascii="仿宋" w:hAnsi="仿宋" w:eastAsia="仿宋" w:cs="仿宋"/>
          <w:color w:val="000000" w:themeColor="text1"/>
          <w:sz w:val="32"/>
          <w:szCs w:val="32"/>
          <w14:textFill>
            <w14:solidFill>
              <w14:schemeClr w14:val="tx1"/>
            </w14:solidFill>
          </w14:textFill>
        </w:rPr>
        <w:t>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51.44</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auto"/>
          <w:sz w:val="32"/>
          <w:szCs w:val="32"/>
        </w:rPr>
        <w:t>通过本次绩效自评，我们认为该项目目标明确，项目资金到位及时，项目的管理制度有待完善，使用按计划进行，项目的组织管理基本有效；项目的产出达到目标，项目效果良好，项目的绩效基本实现</w:t>
      </w:r>
      <w:r>
        <w:rPr>
          <w:rFonts w:hint="eastAsia" w:ascii="仿宋" w:hAnsi="仿宋" w:eastAsia="仿宋" w:cs="仿宋"/>
          <w:color w:val="auto"/>
          <w:sz w:val="32"/>
          <w:szCs w:val="32"/>
          <w:lang w:val="en-US" w:eastAsia="zh-CN"/>
        </w:rPr>
        <w:t>.</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14:textFill>
            <w14:solidFill>
              <w14:schemeClr w14:val="tx1"/>
            </w14:solidFill>
          </w14:textFill>
        </w:rPr>
        <w:t>我部门根据年初设定的绩效目标，学前生均公用经费项目自评得分为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92.73</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伙食补助项目自评得分为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学前教育免除保教费本级补助资金项目自评得分为99.4分</w:t>
      </w:r>
      <w:r>
        <w:rPr>
          <w:rFonts w:hint="eastAsia" w:ascii="仿宋" w:hAnsi="仿宋" w:eastAsia="仿宋" w:cs="仿宋"/>
          <w:color w:val="000000" w:themeColor="text1"/>
          <w:sz w:val="32"/>
          <w:szCs w:val="32"/>
          <w:lang w:eastAsia="zh-CN"/>
          <w14:textFill>
            <w14:solidFill>
              <w14:schemeClr w14:val="tx1"/>
            </w14:solidFill>
          </w14:textFill>
        </w:rPr>
        <w:t>；普惠幼儿园奖补县本级奖补资金项目自评得分为86.96分；教师节经费项目自评得分为100分；奖励性绩效项目自评得分为100分；发现的主要问题及原因：我单位未能制定相关管理制度，在项目实施方面还有待完善。学校报账材料整理比较慢，不能及时支付。下一步改进措施：一是按时整理发票，与财政沟通后及时报账。</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hint="eastAsia" w:ascii="仿宋" w:hAnsi="仿宋" w:eastAsia="仿宋" w:cs="仿宋"/>
          <w:sz w:val="32"/>
          <w:u w:color="auto"/>
          <w:lang w:val="en-US" w:eastAsia="zh-CN"/>
        </w:rPr>
        <w:t>环江县</w:t>
      </w:r>
      <w:r>
        <w:rPr>
          <w:rFonts w:ascii="仿宋" w:hAnsi="仿宋" w:eastAsia="仿宋" w:cs="仿宋"/>
          <w:sz w:val="32"/>
          <w:u w:color="auto"/>
        </w:rPr>
        <w:t>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val="en-US" w:eastAsia="zh-CN"/>
        </w:rPr>
        <w:t>环江县</w:t>
      </w:r>
      <w:r>
        <w:rPr>
          <w:rFonts w:ascii="仿宋" w:hAnsi="仿宋" w:eastAsia="仿宋" w:cs="仿宋"/>
          <w:sz w:val="32"/>
          <w:u w:color="auto"/>
        </w:rPr>
        <w:t>财政预决算管理的“三公”经费，是指</w:t>
      </w:r>
      <w:r>
        <w:rPr>
          <w:rFonts w:hint="eastAsia" w:ascii="仿宋" w:hAnsi="仿宋" w:eastAsia="仿宋" w:cs="仿宋"/>
          <w:sz w:val="32"/>
          <w:u w:color="auto"/>
          <w:lang w:val="en-US" w:eastAsia="zh-CN"/>
        </w:rPr>
        <w:t>环江县</w:t>
      </w:r>
      <w:r>
        <w:rPr>
          <w:rFonts w:ascii="仿宋" w:hAnsi="仿宋" w:eastAsia="仿宋" w:cs="仿宋"/>
          <w:sz w:val="32"/>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 w:name="_GoBack"/>
      <w:bookmarkEnd w:id="5"/>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BBDD9F0B"/>
    <w:multiLevelType w:val="singleLevel"/>
    <w:tmpl w:val="BBDD9F0B"/>
    <w:lvl w:ilvl="0" w:tentative="0">
      <w:start w:val="1"/>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hMGJkMjNjMTJmOGM2ZWNjMGMzN2M4NDI1YWU3ODY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B7C87"/>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4243CF"/>
    <w:rsid w:val="04E54546"/>
    <w:rsid w:val="05992762"/>
    <w:rsid w:val="071D4060"/>
    <w:rsid w:val="072A481B"/>
    <w:rsid w:val="07B0770E"/>
    <w:rsid w:val="0942143F"/>
    <w:rsid w:val="0D100297"/>
    <w:rsid w:val="0D202B45"/>
    <w:rsid w:val="0E9C09EC"/>
    <w:rsid w:val="0F8D4C87"/>
    <w:rsid w:val="10505FAA"/>
    <w:rsid w:val="105F7E7E"/>
    <w:rsid w:val="11034E16"/>
    <w:rsid w:val="11E56B5B"/>
    <w:rsid w:val="125C77AB"/>
    <w:rsid w:val="14CB726E"/>
    <w:rsid w:val="14FB46BE"/>
    <w:rsid w:val="17E92249"/>
    <w:rsid w:val="18D304F1"/>
    <w:rsid w:val="19F32577"/>
    <w:rsid w:val="19F45B80"/>
    <w:rsid w:val="1B0C078D"/>
    <w:rsid w:val="1B2B31E2"/>
    <w:rsid w:val="1B4C295A"/>
    <w:rsid w:val="1B973C63"/>
    <w:rsid w:val="1BA1001E"/>
    <w:rsid w:val="1D317259"/>
    <w:rsid w:val="1E664F5B"/>
    <w:rsid w:val="1EB34BE1"/>
    <w:rsid w:val="215E639F"/>
    <w:rsid w:val="21EC3183"/>
    <w:rsid w:val="2259264E"/>
    <w:rsid w:val="225E72CD"/>
    <w:rsid w:val="246E2F77"/>
    <w:rsid w:val="254B4E2B"/>
    <w:rsid w:val="283D7C94"/>
    <w:rsid w:val="2893194B"/>
    <w:rsid w:val="29480E03"/>
    <w:rsid w:val="2983634D"/>
    <w:rsid w:val="2BB02055"/>
    <w:rsid w:val="2C575A56"/>
    <w:rsid w:val="2F257714"/>
    <w:rsid w:val="2F3275E5"/>
    <w:rsid w:val="30AA08EF"/>
    <w:rsid w:val="30D23D1C"/>
    <w:rsid w:val="31221CF5"/>
    <w:rsid w:val="31400178"/>
    <w:rsid w:val="321E3342"/>
    <w:rsid w:val="327759C8"/>
    <w:rsid w:val="33185FE3"/>
    <w:rsid w:val="34EE2E36"/>
    <w:rsid w:val="36777241"/>
    <w:rsid w:val="38A951DB"/>
    <w:rsid w:val="38B31605"/>
    <w:rsid w:val="39003F4F"/>
    <w:rsid w:val="3C07002B"/>
    <w:rsid w:val="3D0D152A"/>
    <w:rsid w:val="3DF62756"/>
    <w:rsid w:val="3F1B7587"/>
    <w:rsid w:val="41E57B4F"/>
    <w:rsid w:val="4256743C"/>
    <w:rsid w:val="432F26F6"/>
    <w:rsid w:val="43880F63"/>
    <w:rsid w:val="441C5A6F"/>
    <w:rsid w:val="44C44FCC"/>
    <w:rsid w:val="44CC7369"/>
    <w:rsid w:val="457F5108"/>
    <w:rsid w:val="46951B6B"/>
    <w:rsid w:val="46CC662B"/>
    <w:rsid w:val="4885410E"/>
    <w:rsid w:val="49A34401"/>
    <w:rsid w:val="4A3E30AB"/>
    <w:rsid w:val="4A7445AE"/>
    <w:rsid w:val="4AC14DAC"/>
    <w:rsid w:val="4CE94312"/>
    <w:rsid w:val="4D154C85"/>
    <w:rsid w:val="4EBA44F8"/>
    <w:rsid w:val="4EC8553A"/>
    <w:rsid w:val="508F4E24"/>
    <w:rsid w:val="51461E90"/>
    <w:rsid w:val="51463753"/>
    <w:rsid w:val="52553A93"/>
    <w:rsid w:val="53521F8B"/>
    <w:rsid w:val="53E22F47"/>
    <w:rsid w:val="54522FF8"/>
    <w:rsid w:val="55450629"/>
    <w:rsid w:val="560C716D"/>
    <w:rsid w:val="56692963"/>
    <w:rsid w:val="568B0F48"/>
    <w:rsid w:val="5786217B"/>
    <w:rsid w:val="59337A15"/>
    <w:rsid w:val="59810274"/>
    <w:rsid w:val="5A9130C2"/>
    <w:rsid w:val="5CA96A00"/>
    <w:rsid w:val="5CCB18FE"/>
    <w:rsid w:val="5CF730BC"/>
    <w:rsid w:val="5E5F0DCE"/>
    <w:rsid w:val="5FA40A7B"/>
    <w:rsid w:val="5FD56D29"/>
    <w:rsid w:val="5FEC7F3F"/>
    <w:rsid w:val="60F74BC3"/>
    <w:rsid w:val="617D3BF8"/>
    <w:rsid w:val="61841F6A"/>
    <w:rsid w:val="623007A9"/>
    <w:rsid w:val="626F2AA1"/>
    <w:rsid w:val="637D7558"/>
    <w:rsid w:val="644F19AC"/>
    <w:rsid w:val="652E409A"/>
    <w:rsid w:val="65AA4920"/>
    <w:rsid w:val="67694F1E"/>
    <w:rsid w:val="69597934"/>
    <w:rsid w:val="6B964DDC"/>
    <w:rsid w:val="6C2C21A8"/>
    <w:rsid w:val="6C3A64B6"/>
    <w:rsid w:val="6C783074"/>
    <w:rsid w:val="6D402BE1"/>
    <w:rsid w:val="6D9E65C6"/>
    <w:rsid w:val="6DA81947"/>
    <w:rsid w:val="6EB66DE2"/>
    <w:rsid w:val="6ED3075F"/>
    <w:rsid w:val="6F2A2D4B"/>
    <w:rsid w:val="6F8A0C1E"/>
    <w:rsid w:val="703F45D4"/>
    <w:rsid w:val="715D6546"/>
    <w:rsid w:val="71BE069E"/>
    <w:rsid w:val="73953409"/>
    <w:rsid w:val="73E069A3"/>
    <w:rsid w:val="75345030"/>
    <w:rsid w:val="78104AA8"/>
    <w:rsid w:val="78E257C5"/>
    <w:rsid w:val="794B35BE"/>
    <w:rsid w:val="7B0A3A31"/>
    <w:rsid w:val="7B3360ED"/>
    <w:rsid w:val="7B5319F3"/>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7.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305.14</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Sheet1!$A$2:$A$6</c:f>
              <c:strCache>
                <c:ptCount val="5"/>
                <c:pt idx="0">
                  <c:v>教育支出</c:v>
                </c:pt>
                <c:pt idx="1">
                  <c:v>社会保障和就业支出</c:v>
                </c:pt>
                <c:pt idx="2">
                  <c:v>一般公共服务支出</c:v>
                </c:pt>
                <c:pt idx="3">
                  <c:v>其他支出</c:v>
                </c:pt>
                <c:pt idx="4">
                  <c:v>住房保障支出</c:v>
                </c:pt>
              </c:strCache>
            </c:strRef>
          </c:cat>
          <c:val>
            <c:numRef>
              <c:f>Sheet1!$B$2:$B$6</c:f>
              <c:numCache>
                <c:formatCode>General</c:formatCode>
                <c:ptCount val="5"/>
                <c:pt idx="0">
                  <c:v>310.12</c:v>
                </c:pt>
                <c:pt idx="1">
                  <c:v>2.85</c:v>
                </c:pt>
                <c:pt idx="2">
                  <c:v>0</c:v>
                </c:pt>
                <c:pt idx="3">
                  <c:v>4.55</c:v>
                </c:pt>
                <c:pt idx="4">
                  <c:v>1.31</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教育支出</c:v>
                </c:pt>
                <c:pt idx="1">
                  <c:v>社会保障和就业支出</c:v>
                </c:pt>
                <c:pt idx="2">
                  <c:v>一般公共服务支出</c:v>
                </c:pt>
                <c:pt idx="3">
                  <c:v>其他支出</c:v>
                </c:pt>
                <c:pt idx="4">
                  <c:v>住房保障支出</c:v>
                </c:pt>
              </c:strCache>
            </c:strRef>
          </c:cat>
          <c:val>
            <c:numRef>
              <c:f>Sheet1!$C$2:$C$6</c:f>
              <c:numCache>
                <c:formatCode>General</c:formatCode>
                <c:ptCount val="5"/>
                <c:pt idx="0">
                  <c:v>292.31</c:v>
                </c:pt>
                <c:pt idx="1">
                  <c:v>3.27</c:v>
                </c:pt>
                <c:pt idx="2">
                  <c:v>0.44</c:v>
                </c:pt>
                <c:pt idx="3">
                  <c:v>6.04</c:v>
                </c:pt>
                <c:pt idx="4">
                  <c:v>3.09</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2050201</c:v>
                </c:pt>
                <c:pt idx="1">
                  <c:v>205x</c:v>
                </c:pt>
              </c:strCache>
            </c:strRef>
          </c:cat>
          <c:val>
            <c:numRef>
              <c:f>Sheet1!$B$2:$B$3</c:f>
              <c:numCache>
                <c:formatCode>General</c:formatCode>
                <c:ptCount val="2"/>
                <c:pt idx="0">
                  <c:v>292.31</c:v>
                </c:pt>
                <c:pt idx="1">
                  <c:v>292.31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3.27</c:v>
                </c:pt>
                <c:pt idx="1">
                  <c:v>3.27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一般公共服务</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210x</c:v>
                </c:pt>
              </c:strCache>
            </c:strRef>
          </c:cat>
          <c:val>
            <c:numRef>
              <c:f>Sheet1!$B$2:$B$3</c:f>
              <c:numCache>
                <c:formatCode>General</c:formatCode>
                <c:ptCount val="2"/>
                <c:pt idx="0">
                  <c:v>0.44</c:v>
                </c:pt>
                <c:pt idx="1">
                  <c:v>0.44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其他</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213x</c:v>
                </c:pt>
              </c:strCache>
            </c:strRef>
          </c:cat>
          <c:val>
            <c:numRef>
              <c:f>Sheet1!$B$2:$B$3</c:f>
              <c:numCache>
                <c:formatCode>General</c:formatCode>
                <c:ptCount val="2"/>
                <c:pt idx="0">
                  <c:v>6.04</c:v>
                </c:pt>
                <c:pt idx="1">
                  <c:v>6.04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3.09</c:v>
                </c:pt>
                <c:pt idx="1">
                  <c:v>3.09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17.87</c:v>
                </c:pt>
                <c:pt idx="1">
                  <c:v>3.15</c:v>
                </c:pt>
                <c:pt idx="2">
                  <c:v>4.91</c:v>
                </c:pt>
                <c:pt idx="3">
                  <c:v>0</c:v>
                </c:pt>
                <c:pt idx="4">
                  <c:v>4.59</c:v>
                </c:pt>
                <c:pt idx="5">
                  <c:v>3.81</c:v>
                </c:pt>
                <c:pt idx="6">
                  <c:v>0</c:v>
                </c:pt>
                <c:pt idx="7">
                  <c:v>2.01</c:v>
                </c:pt>
                <c:pt idx="8">
                  <c:v>0</c:v>
                </c:pt>
                <c:pt idx="9">
                  <c:v>0.2</c:v>
                </c:pt>
                <c:pt idx="10">
                  <c:v>3.09</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8</c:v>
                </c:pt>
                <c:pt idx="10">
                  <c:v>0</c:v>
                </c:pt>
                <c:pt idx="11">
                  <c:v>0</c:v>
                </c:pt>
                <c:pt idx="12">
                  <c:v>0</c:v>
                </c:pt>
                <c:pt idx="13">
                  <c:v>0</c:v>
                </c:pt>
                <c:pt idx="14">
                  <c:v>0</c:v>
                </c:pt>
                <c:pt idx="15">
                  <c:v>0</c:v>
                </c:pt>
                <c:pt idx="16">
                  <c:v>0</c:v>
                </c:pt>
                <c:pt idx="17">
                  <c:v>0</c:v>
                </c:pt>
                <c:pt idx="18">
                  <c:v>0</c:v>
                </c:pt>
                <c:pt idx="19">
                  <c:v>0</c:v>
                </c:pt>
                <c:pt idx="20">
                  <c:v>0</c:v>
                </c:pt>
                <c:pt idx="21">
                  <c:v>0.44</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0</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cp:lastPrinted>2023-11-22T02:25:00Z</cp:lastPrinted>
  <dcterms:modified xsi:type="dcterms:W3CDTF">2023-11-28T10:01:52Z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EFFCBAADF1724FC9A54B2FAB23393E22_13</vt:lpwstr>
  </property>
</Properties>
</file>