
<file path=[Content_Types].xml><?xml version="1.0" encoding="utf-8"?>
<Types xmlns="http://schemas.openxmlformats.org/package/2006/content-types">
  <Default Extension="xlsx" ContentType="application/vnd.openxmlformats-officedocument.spreadsheetml.shee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ascii="黑体" w:hAnsi="黑体" w:eastAsia="黑体" w:cs="黑体"/>
          <w:b/>
          <w:bCs/>
          <w:sz w:val="52"/>
          <w:szCs w:val="52"/>
          <w:highlight w:val="none"/>
        </w:rPr>
      </w:pPr>
      <w:r>
        <w:rPr>
          <w:rFonts w:hint="eastAsia" w:ascii="黑体" w:hAnsi="黑体" w:eastAsia="黑体" w:cs="黑体"/>
          <w:b/>
          <w:bCs/>
          <w:sz w:val="52"/>
          <w:szCs w:val="52"/>
          <w:highlight w:val="none"/>
        </w:rPr>
        <w:t>环江毛南族自治县水源</w:t>
      </w:r>
      <w:r>
        <w:rPr>
          <w:rFonts w:hint="eastAsia" w:ascii="黑体" w:hAnsi="黑体" w:eastAsia="黑体" w:cs="黑体"/>
          <w:b/>
          <w:bCs/>
          <w:sz w:val="52"/>
          <w:szCs w:val="52"/>
          <w:highlight w:val="none"/>
          <w:lang w:eastAsia="zh-CN"/>
        </w:rPr>
        <w:t>镇初级</w:t>
      </w:r>
      <w:r>
        <w:rPr>
          <w:rFonts w:hint="eastAsia" w:ascii="黑体" w:hAnsi="黑体" w:eastAsia="黑体" w:cs="黑体"/>
          <w:b/>
          <w:bCs/>
          <w:sz w:val="52"/>
          <w:szCs w:val="52"/>
          <w:highlight w:val="none"/>
        </w:rPr>
        <w:t>中学2022年度部门决算</w:t>
      </w:r>
    </w:p>
    <w:p>
      <w:pPr>
        <w:jc w:val="center"/>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hint="eastAsia" w:ascii="黑体" w:hAnsi="黑体" w:eastAsia="黑体" w:cs="黑体"/>
          <w:b/>
          <w:bCs/>
          <w:sz w:val="36"/>
          <w:szCs w:val="36"/>
          <w:highlight w:val="none"/>
          <w:lang w:val="en-US" w:eastAsia="zh-CN"/>
        </w:rPr>
      </w:pPr>
      <w:r>
        <w:rPr>
          <w:rFonts w:hint="eastAsia" w:ascii="黑体" w:hAnsi="黑体" w:eastAsia="黑体" w:cs="黑体"/>
          <w:b/>
          <w:bCs/>
          <w:sz w:val="36"/>
          <w:szCs w:val="36"/>
          <w:highlight w:val="none"/>
        </w:rPr>
        <w:t>2023年</w:t>
      </w:r>
      <w:r>
        <w:rPr>
          <w:rFonts w:hint="eastAsia" w:ascii="黑体" w:hAnsi="黑体" w:eastAsia="黑体" w:cs="黑体"/>
          <w:b/>
          <w:bCs/>
          <w:sz w:val="36"/>
          <w:szCs w:val="36"/>
          <w:highlight w:val="none"/>
          <w:lang w:val="en-US" w:eastAsia="zh-CN"/>
        </w:rPr>
        <w:t>10</w:t>
      </w:r>
      <w:r>
        <w:rPr>
          <w:rFonts w:hint="eastAsia" w:ascii="黑体" w:hAnsi="黑体" w:eastAsia="黑体" w:cs="黑体"/>
          <w:b/>
          <w:bCs/>
          <w:sz w:val="36"/>
          <w:szCs w:val="36"/>
          <w:highlight w:val="none"/>
        </w:rPr>
        <w:t>月</w:t>
      </w:r>
    </w:p>
    <w:p>
      <w:pPr>
        <w:rPr>
          <w:rFonts w:ascii="仿宋" w:hAnsi="仿宋" w:eastAsia="仿宋" w:cs="仿宋"/>
          <w:sz w:val="32"/>
          <w:szCs w:val="32"/>
          <w:highlight w:val="none"/>
        </w:rPr>
      </w:pPr>
      <w:r>
        <w:rPr>
          <w:rFonts w:ascii="仿宋" w:hAnsi="仿宋" w:eastAsia="仿宋" w:cs="仿宋"/>
          <w:sz w:val="32"/>
          <w:szCs w:val="32"/>
          <w:highlight w:val="none"/>
        </w:rPr>
        <w:br w:type="page"/>
      </w: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目</w:t>
      </w:r>
      <w:r>
        <w:rPr>
          <w:rFonts w:hint="eastAsia" w:ascii="黑体" w:hAnsi="黑体" w:eastAsia="黑体" w:cs="黑体"/>
          <w:b/>
          <w:bCs/>
          <w:sz w:val="36"/>
          <w:szCs w:val="36"/>
          <w:highlight w:val="none"/>
          <w:lang w:val="en-US" w:eastAsia="zh-CN"/>
        </w:rPr>
        <w:t xml:space="preserve">  </w:t>
      </w:r>
      <w:r>
        <w:rPr>
          <w:rFonts w:hint="eastAsia" w:ascii="黑体" w:hAnsi="黑体" w:eastAsia="黑体" w:cs="黑体"/>
          <w:b/>
          <w:bCs/>
          <w:sz w:val="36"/>
          <w:szCs w:val="36"/>
          <w:highlight w:val="none"/>
        </w:rPr>
        <w:t xml:space="preserve"> 录</w:t>
      </w:r>
    </w:p>
    <w:p>
      <w:pPr>
        <w:jc w:val="left"/>
        <w:rPr>
          <w:rFonts w:ascii="黑体" w:hAnsi="黑体" w:eastAsia="黑体" w:cs="黑体"/>
          <w:b/>
          <w:bCs/>
          <w:sz w:val="36"/>
          <w:szCs w:val="36"/>
          <w:highlight w:val="none"/>
        </w:rPr>
      </w:pP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第一部分：</w:t>
      </w:r>
      <w:r>
        <w:rPr>
          <w:rFonts w:hint="eastAsia" w:ascii="黑体" w:hAnsi="黑体" w:eastAsia="黑体" w:cs="黑体"/>
          <w:sz w:val="32"/>
          <w:u w:color="auto"/>
          <w:lang w:eastAsia="zh-CN"/>
        </w:rPr>
        <w:t>环江毛南族自治县水源镇初级中学</w:t>
      </w:r>
      <w:r>
        <w:rPr>
          <w:rFonts w:hint="eastAsia" w:ascii="黑体" w:hAnsi="黑体" w:eastAsia="黑体" w:cs="黑体"/>
          <w:sz w:val="32"/>
          <w:szCs w:val="32"/>
          <w:highlight w:val="none"/>
        </w:rPr>
        <w:t>概况</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一、主要职能</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二、部门决算单位构成</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ascii="黑体" w:hAnsi="黑体" w:eastAsia="黑体" w:cs="黑体"/>
          <w:sz w:val="32"/>
          <w:u w:color="auto"/>
          <w:lang w:val="en"/>
        </w:rPr>
        <w:t>环江毛南族自治县水源镇初级中学</w:t>
      </w:r>
      <w:r>
        <w:rPr>
          <w:rFonts w:hint="eastAsia" w:ascii="黑体" w:hAnsi="黑体" w:eastAsia="黑体" w:cs="黑体"/>
          <w:sz w:val="32"/>
          <w:szCs w:val="32"/>
          <w:highlight w:val="none"/>
        </w:rPr>
        <w:t>2022年度部门决算报表</w:t>
      </w:r>
    </w:p>
    <w:p>
      <w:pPr>
        <w:rPr>
          <w:rFonts w:hint="eastAsia" w:ascii="仿宋_GB2312" w:eastAsia="仿宋_GB2312"/>
          <w:sz w:val="32"/>
          <w:szCs w:val="32"/>
          <w:highlight w:val="none"/>
        </w:rPr>
      </w:pPr>
      <w:r>
        <w:rPr>
          <w:rFonts w:hint="eastAsia" w:ascii="仿宋_GB2312" w:eastAsia="仿宋_GB2312"/>
          <w:sz w:val="32"/>
          <w:szCs w:val="32"/>
          <w:highlight w:val="none"/>
        </w:rPr>
        <w:t>表一：收入支出决算总表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表二：收入决算表</w:t>
      </w:r>
    </w:p>
    <w:p>
      <w:pPr>
        <w:rPr>
          <w:rFonts w:hint="eastAsia" w:ascii="仿宋_GB2312" w:eastAsia="仿宋_GB2312"/>
          <w:sz w:val="32"/>
          <w:szCs w:val="32"/>
          <w:highlight w:val="none"/>
        </w:rPr>
      </w:pPr>
      <w:r>
        <w:rPr>
          <w:rFonts w:hint="eastAsia" w:ascii="仿宋_GB2312" w:eastAsia="仿宋_GB2312"/>
          <w:sz w:val="32"/>
          <w:szCs w:val="32"/>
          <w:highlight w:val="none"/>
        </w:rPr>
        <w:t>表三：支出决算表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表四：财政拨款收入支出决算总表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表五：一般公共预算财政拨款支出决算表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表六：一般公共预算财政拨款基本支出决算明细表</w:t>
      </w:r>
    </w:p>
    <w:p>
      <w:pPr>
        <w:rPr>
          <w:rFonts w:hint="eastAsia" w:ascii="仿宋_GB2312" w:eastAsia="仿宋_GB2312"/>
          <w:sz w:val="32"/>
          <w:szCs w:val="32"/>
          <w:highlight w:val="none"/>
        </w:rPr>
      </w:pPr>
      <w:r>
        <w:rPr>
          <w:rFonts w:hint="eastAsia" w:ascii="仿宋_GB2312" w:eastAsia="仿宋_GB2312"/>
          <w:sz w:val="32"/>
          <w:szCs w:val="32"/>
          <w:highlight w:val="none"/>
        </w:rPr>
        <w:t>表七：政府性基金</w:t>
      </w:r>
      <w:r>
        <w:rPr>
          <w:rFonts w:hint="eastAsia" w:ascii="仿宋_GB2312" w:hAnsi="黑体" w:eastAsia="仿宋_GB2312"/>
          <w:sz w:val="32"/>
          <w:szCs w:val="32"/>
          <w:highlight w:val="none"/>
        </w:rPr>
        <w:t>预算财政拨款</w:t>
      </w:r>
      <w:r>
        <w:rPr>
          <w:rFonts w:hint="eastAsia" w:ascii="仿宋_GB2312" w:eastAsia="仿宋_GB2312"/>
          <w:sz w:val="32"/>
          <w:szCs w:val="32"/>
          <w:highlight w:val="none"/>
        </w:rPr>
        <w:t>收入支出决算表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表八：国有资本经营预算</w:t>
      </w:r>
      <w:r>
        <w:rPr>
          <w:rFonts w:hint="eastAsia" w:ascii="仿宋_GB2312" w:hAnsi="黑体" w:eastAsia="仿宋_GB2312"/>
          <w:sz w:val="32"/>
          <w:szCs w:val="32"/>
          <w:highlight w:val="none"/>
        </w:rPr>
        <w:t>财政拨款</w:t>
      </w:r>
      <w:r>
        <w:rPr>
          <w:rFonts w:hint="eastAsia" w:ascii="仿宋_GB2312" w:eastAsia="仿宋_GB2312"/>
          <w:sz w:val="32"/>
          <w:szCs w:val="32"/>
          <w:highlight w:val="none"/>
        </w:rPr>
        <w:t>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表九：财政拨款“三公”经费支出决算表</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ascii="黑体" w:hAnsi="黑体" w:eastAsia="黑体" w:cs="黑体"/>
          <w:sz w:val="32"/>
          <w:u w:color="auto"/>
          <w:lang w:val="en"/>
        </w:rPr>
        <w:t>环江毛南族自治县水源镇初级中学</w:t>
      </w:r>
      <w:r>
        <w:rPr>
          <w:rFonts w:hint="eastAsia" w:ascii="黑体" w:hAnsi="黑体" w:eastAsia="黑体" w:cs="黑体"/>
          <w:sz w:val="32"/>
          <w:szCs w:val="32"/>
          <w:highlight w:val="none"/>
        </w:rPr>
        <w:t>2022年度部门决算情况说明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一、</w:t>
      </w:r>
      <w:r>
        <w:rPr>
          <w:rFonts w:hint="eastAsia" w:ascii="仿宋_GB2312" w:eastAsia="仿宋_GB2312"/>
          <w:kern w:val="0"/>
          <w:sz w:val="32"/>
          <w:szCs w:val="32"/>
          <w:highlight w:val="none"/>
        </w:rPr>
        <w:t>202</w:t>
      </w:r>
      <w:r>
        <w:rPr>
          <w:rFonts w:hint="eastAsia" w:ascii="仿宋_GB2312" w:eastAsia="仿宋_GB2312"/>
          <w:kern w:val="0"/>
          <w:sz w:val="32"/>
          <w:szCs w:val="32"/>
          <w:highlight w:val="none"/>
          <w:lang w:val="en-US" w:eastAsia="zh-CN"/>
        </w:rPr>
        <w:t>2</w:t>
      </w:r>
      <w:r>
        <w:rPr>
          <w:rFonts w:hint="eastAsia" w:ascii="仿宋_GB2312" w:eastAsia="仿宋_GB2312" w:cs="仿宋_GB2312"/>
          <w:kern w:val="0"/>
          <w:sz w:val="32"/>
          <w:szCs w:val="32"/>
          <w:highlight w:val="none"/>
        </w:rPr>
        <w:t>年度收入支出决算总体情况。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二、</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w:t>
      </w:r>
      <w:r>
        <w:rPr>
          <w:rFonts w:hint="eastAsia" w:ascii="仿宋_GB2312" w:eastAsia="仿宋_GB2312"/>
          <w:sz w:val="32"/>
          <w:szCs w:val="32"/>
          <w:highlight w:val="none"/>
        </w:rPr>
        <w:t>一般</w:t>
      </w:r>
      <w:r>
        <w:rPr>
          <w:rFonts w:hint="eastAsia" w:ascii="仿宋_GB2312" w:eastAsia="仿宋_GB2312" w:cs="仿宋_GB2312"/>
          <w:kern w:val="0"/>
          <w:sz w:val="32"/>
          <w:szCs w:val="32"/>
          <w:highlight w:val="none"/>
        </w:rPr>
        <w:t>公共预算财政拨款支出决算情况。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三、20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年度一般公共预算财政拨款基本支出决算情况说明。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四、</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年度政府性基金支出决算情况。</w:t>
      </w:r>
    </w:p>
    <w:p>
      <w:pPr>
        <w:autoSpaceDE w:val="0"/>
        <w:autoSpaceDN w:val="0"/>
        <w:adjustRightInd w:val="0"/>
        <w:jc w:val="left"/>
        <w:rPr>
          <w:rFonts w:hint="eastAsia" w:ascii="仿宋_GB2312" w:eastAsia="仿宋_GB2312" w:cs="仿宋_GB2312"/>
          <w:kern w:val="0"/>
          <w:sz w:val="32"/>
          <w:szCs w:val="32"/>
          <w:highlight w:val="none"/>
          <w:lang w:eastAsia="zh-CN"/>
        </w:rPr>
      </w:pPr>
      <w:r>
        <w:rPr>
          <w:rFonts w:hint="eastAsia" w:ascii="仿宋_GB2312" w:eastAsia="仿宋_GB2312" w:cs="仿宋_GB2312"/>
          <w:kern w:val="0"/>
          <w:sz w:val="32"/>
          <w:szCs w:val="32"/>
          <w:highlight w:val="none"/>
        </w:rPr>
        <w:t>五、20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年度国有资本经营预算支出决算情况</w:t>
      </w:r>
      <w:r>
        <w:rPr>
          <w:rFonts w:hint="eastAsia" w:ascii="仿宋_GB2312" w:eastAsia="仿宋_GB2312" w:cs="仿宋_GB2312"/>
          <w:kern w:val="0"/>
          <w:sz w:val="32"/>
          <w:szCs w:val="32"/>
          <w:highlight w:val="none"/>
          <w:lang w:eastAsia="zh-CN"/>
        </w:rPr>
        <w:t>。</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六、财政拨款“三公”经费支出决算情况说明。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第四部分：名词解释</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br w:type="page"/>
      </w:r>
    </w:p>
    <w:p>
      <w:pPr>
        <w:jc w:val="center"/>
        <w:rPr>
          <w:rFonts w:ascii="仿宋" w:hAnsi="仿宋" w:eastAsia="仿宋" w:cs="仿宋"/>
          <w:sz w:val="32"/>
          <w:szCs w:val="32"/>
          <w:highlight w:val="none"/>
        </w:rPr>
      </w:pPr>
      <w:r>
        <w:rPr>
          <w:rFonts w:hint="eastAsia" w:ascii="黑体" w:hAnsi="黑体" w:eastAsia="黑体" w:cs="黑体"/>
          <w:b/>
          <w:bCs/>
          <w:sz w:val="32"/>
          <w:szCs w:val="32"/>
          <w:highlight w:val="none"/>
        </w:rPr>
        <w:t>第一部分：</w:t>
      </w:r>
      <w:r>
        <w:rPr>
          <w:rFonts w:ascii="黑体" w:hAnsi="黑体" w:eastAsia="黑体" w:cs="黑体"/>
          <w:b/>
          <w:sz w:val="32"/>
          <w:u w:color="auto"/>
          <w:lang w:val="en"/>
        </w:rPr>
        <w:t>环江毛南族自治县水源镇初级中学</w:t>
      </w:r>
      <w:r>
        <w:rPr>
          <w:rFonts w:hint="eastAsia" w:ascii="黑体" w:hAnsi="黑体" w:eastAsia="黑体" w:cs="黑体"/>
          <w:b/>
          <w:bCs/>
          <w:sz w:val="32"/>
          <w:szCs w:val="32"/>
          <w:highlight w:val="none"/>
        </w:rPr>
        <w:t>概况</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一、主要职能</w:t>
      </w:r>
    </w:p>
    <w:p>
      <w:pPr>
        <w:ind w:firstLine="640"/>
        <w:jc w:val="left"/>
        <w:rPr>
          <w:rFonts w:hint="eastAsia" w:ascii="仿宋_GB2312" w:hAnsi="宋体" w:eastAsia="仿宋_GB2312" w:cs="宋体"/>
          <w:sz w:val="32"/>
          <w:szCs w:val="32"/>
          <w:lang w:eastAsia="zh-CN"/>
        </w:rPr>
      </w:pPr>
      <w:r>
        <w:rPr>
          <w:rFonts w:hint="eastAsia" w:ascii="仿宋_GB2312" w:hAnsi="宋体" w:eastAsia="仿宋_GB2312" w:cs="宋体"/>
          <w:sz w:val="32"/>
          <w:szCs w:val="32"/>
          <w:lang w:eastAsia="zh-CN"/>
        </w:rPr>
        <w:t>（一）贯彻执行党和国家的教育方针、政策和法律法规；拟订本校改革与发展规划并组织实施</w:t>
      </w:r>
      <w:r>
        <w:rPr>
          <w:rFonts w:hint="eastAsia" w:ascii="仿宋_GB2312" w:hAnsi="宋体" w:eastAsia="仿宋_GB2312" w:cs="宋体"/>
          <w:sz w:val="32"/>
          <w:szCs w:val="32"/>
          <w:lang w:val="en-US" w:eastAsia="zh-CN"/>
        </w:rPr>
        <w:t>,把国家的每一分钱用在教育的关健点上</w:t>
      </w:r>
      <w:r>
        <w:rPr>
          <w:rFonts w:hint="eastAsia" w:ascii="仿宋_GB2312" w:hAnsi="宋体" w:eastAsia="仿宋_GB2312" w:cs="宋体"/>
          <w:sz w:val="32"/>
          <w:szCs w:val="32"/>
          <w:lang w:eastAsia="zh-CN"/>
        </w:rPr>
        <w:t>。</w:t>
      </w:r>
    </w:p>
    <w:p>
      <w:pPr>
        <w:ind w:firstLine="640" w:firstLineChars="200"/>
        <w:jc w:val="left"/>
        <w:rPr>
          <w:rFonts w:hint="eastAsia" w:ascii="仿宋" w:hAnsi="仿宋" w:eastAsia="仿宋" w:cs="仿宋"/>
          <w:color w:val="FF0000"/>
          <w:sz w:val="32"/>
          <w:szCs w:val="32"/>
          <w:lang w:val="en-US" w:eastAsia="zh-CN"/>
        </w:rPr>
      </w:pPr>
      <w:r>
        <w:rPr>
          <w:rFonts w:hint="eastAsia" w:ascii="仿宋_GB2312" w:hAnsi="宋体" w:eastAsia="仿宋_GB2312" w:cs="宋体"/>
          <w:sz w:val="32"/>
          <w:szCs w:val="32"/>
          <w:lang w:val="en-US" w:eastAsia="zh-CN"/>
        </w:rPr>
        <w:t>(二)围绕“教育教学”为中心展开各项工作，完善学校规章制度，增强老师的社会服务意识，提高教书育人的质量。让社会满意，家长满意。</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二、部门决算单位构成</w:t>
      </w:r>
    </w:p>
    <w:p>
      <w:pPr>
        <w:jc w:val="left"/>
        <w:rPr>
          <w:rFonts w:hint="eastAsia" w:ascii="黑体" w:hAnsi="黑体" w:eastAsia="黑体" w:cs="黑体"/>
          <w:sz w:val="32"/>
          <w:szCs w:val="32"/>
          <w:highlight w:val="none"/>
          <w:lang w:val="en-US" w:eastAsia="zh-CN"/>
        </w:rPr>
      </w:pPr>
      <w:r>
        <w:rPr>
          <w:rFonts w:hint="eastAsia" w:ascii="仿宋_GB2312" w:hAnsi="宋体" w:eastAsia="仿宋_GB2312" w:cs="宋体"/>
          <w:sz w:val="32"/>
          <w:szCs w:val="32"/>
          <w:lang w:eastAsia="zh-CN"/>
        </w:rPr>
        <w:t>本单位有十个内设机构，分别为：学校党政办公室、政教处、总务处、教务处、语文组、数学组、英语组、政治组、理化组、综合组。</w:t>
      </w:r>
    </w:p>
    <w:p>
      <w:pPr>
        <w:jc w:val="both"/>
        <w:rPr>
          <w:rFonts w:hint="eastAsia" w:ascii="仿宋" w:hAnsi="仿宋" w:eastAsia="仿宋" w:cs="仿宋"/>
          <w:sz w:val="32"/>
          <w:szCs w:val="32"/>
          <w:highlight w:val="none"/>
          <w:lang w:val="en-US" w:eastAsia="zh-CN"/>
        </w:rPr>
      </w:pPr>
    </w:p>
    <w:p>
      <w:pPr>
        <w:jc w:val="center"/>
        <w:rPr>
          <w:rFonts w:hint="eastAsia" w:ascii="黑体" w:hAnsi="黑体" w:eastAsia="黑体" w:cs="黑体"/>
          <w:sz w:val="32"/>
          <w:szCs w:val="32"/>
          <w:highlight w:val="none"/>
          <w:lang w:val="en-US" w:eastAsia="zh-CN"/>
        </w:rPr>
      </w:pPr>
    </w:p>
    <w:p>
      <w:pPr>
        <w:jc w:val="center"/>
        <w:rPr>
          <w:rFonts w:hint="eastAsia" w:ascii="黑体" w:hAnsi="黑体" w:eastAsia="黑体" w:cs="黑体"/>
          <w:sz w:val="32"/>
          <w:szCs w:val="32"/>
          <w:highlight w:val="none"/>
          <w:lang w:val="en-US" w:eastAsia="zh-CN"/>
        </w:rPr>
      </w:pPr>
    </w:p>
    <w:p>
      <w:pPr>
        <w:jc w:val="center"/>
        <w:rPr>
          <w:rFonts w:hint="eastAsia" w:ascii="黑体" w:hAnsi="黑体" w:eastAsia="黑体" w:cs="黑体"/>
          <w:sz w:val="32"/>
          <w:szCs w:val="32"/>
          <w:highlight w:val="none"/>
          <w:lang w:val="en-US" w:eastAsia="zh-CN"/>
        </w:rPr>
        <w:sectPr>
          <w:pgSz w:w="11906" w:h="16838"/>
          <w:pgMar w:top="1440" w:right="1800" w:bottom="1440" w:left="1800" w:header="851" w:footer="992" w:gutter="0"/>
          <w:cols w:space="425" w:num="1"/>
          <w:docGrid w:type="lines" w:linePitch="312" w:charSpace="0"/>
        </w:sectPr>
      </w:pPr>
    </w:p>
    <w:p>
      <w:pPr>
        <w:ind w:firstLine="1920" w:firstLineChars="600"/>
        <w:jc w:val="both"/>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ascii="黑体" w:hAnsi="黑体" w:eastAsia="黑体" w:cs="黑体"/>
          <w:sz w:val="32"/>
          <w:u w:color="auto"/>
          <w:lang w:val="en"/>
        </w:rPr>
        <w:t>环江毛南族自治县水源镇初级中学</w:t>
      </w:r>
      <w:r>
        <w:rPr>
          <w:rFonts w:hint="eastAsia" w:ascii="黑体" w:hAnsi="黑体" w:eastAsia="黑体" w:cs="黑体"/>
          <w:sz w:val="32"/>
          <w:szCs w:val="32"/>
          <w:highlight w:val="none"/>
        </w:rPr>
        <w:t>2022年度部门决算报表</w:t>
      </w:r>
    </w:p>
    <w:tbl>
      <w:tblPr>
        <w:tblStyle w:val="6"/>
        <w:tblW w:w="13940" w:type="dxa"/>
        <w:tblInd w:w="96" w:type="dxa"/>
        <w:tblLayout w:type="fixed"/>
        <w:tblCellMar>
          <w:top w:w="0" w:type="dxa"/>
          <w:left w:w="108" w:type="dxa"/>
          <w:bottom w:w="0" w:type="dxa"/>
          <w:right w:w="108" w:type="dxa"/>
        </w:tblCellMar>
      </w:tblPr>
      <w:tblGrid>
        <w:gridCol w:w="2543"/>
        <w:gridCol w:w="2393"/>
        <w:gridCol w:w="2231"/>
        <w:gridCol w:w="2669"/>
        <w:gridCol w:w="2202"/>
        <w:gridCol w:w="1902"/>
      </w:tblGrid>
      <w:tr>
        <w:tblPrEx>
          <w:tblCellMar>
            <w:top w:w="0" w:type="dxa"/>
            <w:left w:w="108" w:type="dxa"/>
            <w:bottom w:w="0" w:type="dxa"/>
            <w:right w:w="108" w:type="dxa"/>
          </w:tblCellMar>
        </w:tblPrEx>
        <w:trPr>
          <w:trHeight w:val="902" w:hRule="atLeast"/>
        </w:trPr>
        <w:tc>
          <w:tcPr>
            <w:tcW w:w="139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t>表一：收入支出决算总表</w:t>
            </w:r>
          </w:p>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收入支出决算总表</w:t>
            </w:r>
          </w:p>
        </w:tc>
      </w:tr>
      <w:tr>
        <w:tblPrEx>
          <w:tblCellMar>
            <w:top w:w="0" w:type="dxa"/>
            <w:left w:w="108" w:type="dxa"/>
            <w:bottom w:w="0" w:type="dxa"/>
            <w:right w:w="108" w:type="dxa"/>
          </w:tblCellMar>
        </w:tblPrEx>
        <w:trPr>
          <w:trHeight w:val="301" w:hRule="atLeast"/>
        </w:trPr>
        <w:tc>
          <w:tcPr>
            <w:tcW w:w="254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3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66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02"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公开01表</w:t>
            </w:r>
          </w:p>
        </w:tc>
      </w:tr>
      <w:tr>
        <w:tblPrEx>
          <w:tblCellMar>
            <w:top w:w="0" w:type="dxa"/>
            <w:left w:w="108" w:type="dxa"/>
            <w:bottom w:w="0" w:type="dxa"/>
            <w:right w:w="108" w:type="dxa"/>
          </w:tblCellMar>
        </w:tblPrEx>
        <w:trPr>
          <w:trHeight w:val="301" w:hRule="atLeast"/>
        </w:trPr>
        <w:tc>
          <w:tcPr>
            <w:tcW w:w="7167" w:type="dxa"/>
            <w:gridSpan w:val="3"/>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lang w:val="en"/>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lang w:val="en"/>
              </w:rPr>
              <w:t>环江毛南族自治县水源镇初级中学</w:t>
            </w:r>
          </w:p>
        </w:tc>
        <w:tc>
          <w:tcPr>
            <w:tcW w:w="2669"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2"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02"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15" w:hRule="atLeast"/>
        </w:trPr>
        <w:tc>
          <w:tcPr>
            <w:tcW w:w="7167"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收入</w:t>
            </w:r>
          </w:p>
        </w:tc>
        <w:tc>
          <w:tcPr>
            <w:tcW w:w="677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支出</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一、一般公共预算财政拨款收入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1286.18</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一、一般公共服务支出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12.76</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二、政府性基金预算财政拨款收入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二、外交支出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三、国有资本经营预算财政拨款收入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三、国防支出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四、上级补助收入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四、公共安全支出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五、事业收入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五、教育支出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1008.53</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六、经营收入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六、科学技术支出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七、附属单位上缴收入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七、文化旅游体育与传媒支出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八、其他收入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八、社会保障和就业支出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81.18</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九、卫生健康支出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十、节能环保支出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十一、城乡社区支出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十二、农林水支出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十三、交通运输支出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十四、资源勘探工业信息等支出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十五、商业服务业等支出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十六、金融支出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十七、援助其他地区支出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十八、自然资源海洋气象等支出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十九、住房保障支出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70.74</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二十、粮油物资储备支出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二十一、国有资本经营预算支出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二十二、灾害防治及应急管理支出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二十三、其他支出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112.96</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二十四、债务还本支出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二十五、债务付息支出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二十六、抗疫特别国债安排的支出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本年收入合计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1286.18</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本年支出合计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1286.18</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使用非财政拨款结余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结余分配</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年初结转和结余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年末结转和结余</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总计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1286.18</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总计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1286.18</w:t>
            </w:r>
          </w:p>
        </w:tc>
      </w:tr>
    </w:tbl>
    <w:p>
      <w:pPr>
        <w:rPr>
          <w:rFonts w:ascii="宋体" w:hAnsi="宋体" w:eastAsia="宋体" w:cs="宋体"/>
          <w:color w:val="000000"/>
          <w:kern w:val="0"/>
          <w:sz w:val="30"/>
          <w:szCs w:val="30"/>
          <w:highlight w:val="none"/>
          <w:lang w:bidi="ar"/>
        </w:rPr>
      </w:pPr>
      <w:r>
        <w:rPr>
          <w:rFonts w:hint="eastAsia" w:ascii="宋体" w:hAnsi="宋体" w:eastAsia="宋体" w:cs="宋体"/>
          <w:color w:val="000000"/>
          <w:kern w:val="0"/>
          <w:sz w:val="30"/>
          <w:szCs w:val="30"/>
          <w:highlight w:val="none"/>
          <w:lang w:bidi="ar"/>
        </w:rPr>
        <w:br w:type="page"/>
      </w:r>
    </w:p>
    <w:tbl>
      <w:tblPr>
        <w:tblStyle w:val="6"/>
        <w:tblW w:w="13960" w:type="dxa"/>
        <w:tblInd w:w="96" w:type="dxa"/>
        <w:tblLayout w:type="fixed"/>
        <w:tblCellMar>
          <w:top w:w="0" w:type="dxa"/>
          <w:left w:w="108" w:type="dxa"/>
          <w:bottom w:w="0" w:type="dxa"/>
          <w:right w:w="108" w:type="dxa"/>
        </w:tblCellMar>
      </w:tblPr>
      <w:tblGrid>
        <w:gridCol w:w="1584"/>
        <w:gridCol w:w="1378"/>
        <w:gridCol w:w="236"/>
        <w:gridCol w:w="236"/>
        <w:gridCol w:w="524"/>
        <w:gridCol w:w="1520"/>
        <w:gridCol w:w="1453"/>
        <w:gridCol w:w="1373"/>
        <w:gridCol w:w="1467"/>
        <w:gridCol w:w="1480"/>
        <w:gridCol w:w="1440"/>
        <w:gridCol w:w="1269"/>
      </w:tblGrid>
      <w:tr>
        <w:tblPrEx>
          <w:tblCellMar>
            <w:top w:w="0" w:type="dxa"/>
            <w:left w:w="108" w:type="dxa"/>
            <w:bottom w:w="0" w:type="dxa"/>
            <w:right w:w="108" w:type="dxa"/>
          </w:tblCellMar>
        </w:tblPrEx>
        <w:trPr>
          <w:trHeight w:val="951" w:hRule="atLeast"/>
        </w:trPr>
        <w:tc>
          <w:tcPr>
            <w:tcW w:w="13960" w:type="dxa"/>
            <w:gridSpan w:val="1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t>表二：收入决算表</w:t>
            </w:r>
          </w:p>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收入决算表</w:t>
            </w:r>
          </w:p>
        </w:tc>
      </w:tr>
      <w:tr>
        <w:tblPrEx>
          <w:tblCellMar>
            <w:top w:w="0" w:type="dxa"/>
            <w:left w:w="108" w:type="dxa"/>
            <w:bottom w:w="0" w:type="dxa"/>
            <w:right w:w="108" w:type="dxa"/>
          </w:tblCellMar>
        </w:tblPrEx>
        <w:trPr>
          <w:trHeight w:val="317" w:hRule="atLeast"/>
        </w:trPr>
        <w:tc>
          <w:tcPr>
            <w:tcW w:w="2962"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52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52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6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09"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公开02表</w:t>
            </w:r>
          </w:p>
        </w:tc>
      </w:tr>
      <w:tr>
        <w:tblPrEx>
          <w:tblCellMar>
            <w:top w:w="0" w:type="dxa"/>
            <w:left w:w="108" w:type="dxa"/>
            <w:bottom w:w="0" w:type="dxa"/>
            <w:right w:w="108" w:type="dxa"/>
          </w:tblCellMar>
        </w:tblPrEx>
        <w:trPr>
          <w:trHeight w:val="317" w:hRule="atLeast"/>
        </w:trPr>
        <w:tc>
          <w:tcPr>
            <w:tcW w:w="6931"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lang w:val="en"/>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lang w:val="en"/>
              </w:rPr>
              <w:t>环江毛南族自治县水源镇初级中学</w:t>
            </w:r>
          </w:p>
        </w:tc>
        <w:tc>
          <w:tcPr>
            <w:tcW w:w="13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6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09"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5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本年收入合计</w:t>
            </w:r>
          </w:p>
        </w:tc>
        <w:tc>
          <w:tcPr>
            <w:tcW w:w="14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财政拨款收入</w:t>
            </w:r>
          </w:p>
        </w:tc>
        <w:tc>
          <w:tcPr>
            <w:tcW w:w="13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上级补助收入</w:t>
            </w:r>
          </w:p>
        </w:tc>
        <w:tc>
          <w:tcPr>
            <w:tcW w:w="14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事业收入</w:t>
            </w:r>
          </w:p>
        </w:tc>
        <w:tc>
          <w:tcPr>
            <w:tcW w:w="14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经营收入</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附属单位上缴收入</w:t>
            </w:r>
          </w:p>
        </w:tc>
        <w:tc>
          <w:tcPr>
            <w:tcW w:w="12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其他收入</w:t>
            </w:r>
          </w:p>
        </w:tc>
      </w:tr>
      <w:tr>
        <w:tblPrEx>
          <w:tblCellMar>
            <w:top w:w="0" w:type="dxa"/>
            <w:left w:w="108" w:type="dxa"/>
            <w:bottom w:w="0" w:type="dxa"/>
            <w:right w:w="108" w:type="dxa"/>
          </w:tblCellMar>
        </w:tblPrEx>
        <w:trPr>
          <w:trHeight w:val="327" w:hRule="atLeast"/>
        </w:trPr>
        <w:tc>
          <w:tcPr>
            <w:tcW w:w="158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374"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5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4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3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r>
      <w:tr>
        <w:tblPrEx>
          <w:tblCellMar>
            <w:top w:w="0" w:type="dxa"/>
            <w:left w:w="108" w:type="dxa"/>
            <w:bottom w:w="0" w:type="dxa"/>
            <w:right w:w="108" w:type="dxa"/>
          </w:tblCellMar>
        </w:tblPrEx>
        <w:trPr>
          <w:trHeight w:val="961"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1286.18</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1286.18</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一般公共服务支出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12.76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12.76</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群众团体事务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12.76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12.76</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其他群众团体事务支出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12.76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12.76</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教育支出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1008.53</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1008.53</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普通教育</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1007.58</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1007.58</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2050203</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初中教育</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965.29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965.29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其他普通教育支出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42.30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42.30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教育费附加安排的支出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0.95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0.95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其他教育费附加安排的支出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0.95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0.95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社会保障和就业支出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81.18</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81.18</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行政事业单位养老支出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81.18</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81.18</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机关事业单位基本养老保险缴费支出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81.18</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81.18</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住房保障支出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70.74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70.74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住房改革支出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70.74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70.74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住房公积金</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70.74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70.74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112.96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112.96</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112.96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112.96</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112.96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112.96</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3960" w:type="dxa"/>
            <w:gridSpan w:val="12"/>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注：本表反映部门本年度取得的各项收入情况。</w:t>
            </w:r>
          </w:p>
        </w:tc>
      </w:tr>
    </w:tbl>
    <w:p>
      <w:pPr>
        <w:jc w:val="center"/>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center"/>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表三：支出决算表</w:t>
      </w:r>
    </w:p>
    <w:p>
      <w:pPr>
        <w:jc w:val="left"/>
        <w:rPr>
          <w:rFonts w:hint="eastAsia" w:ascii="仿宋" w:hAnsi="仿宋" w:eastAsia="仿宋" w:cs="仿宋"/>
          <w:sz w:val="24"/>
          <w:highlight w:val="none"/>
        </w:rPr>
      </w:pPr>
    </w:p>
    <w:tbl>
      <w:tblPr>
        <w:tblStyle w:val="6"/>
        <w:tblW w:w="13980" w:type="dxa"/>
        <w:tblInd w:w="96" w:type="dxa"/>
        <w:tblLayout w:type="fixed"/>
        <w:tblCellMar>
          <w:top w:w="0" w:type="dxa"/>
          <w:left w:w="108" w:type="dxa"/>
          <w:bottom w:w="0" w:type="dxa"/>
          <w:right w:w="108" w:type="dxa"/>
        </w:tblCellMar>
      </w:tblPr>
      <w:tblGrid>
        <w:gridCol w:w="1142"/>
        <w:gridCol w:w="237"/>
        <w:gridCol w:w="239"/>
        <w:gridCol w:w="64"/>
        <w:gridCol w:w="2222"/>
        <w:gridCol w:w="1627"/>
        <w:gridCol w:w="1680"/>
        <w:gridCol w:w="1760"/>
        <w:gridCol w:w="1653"/>
        <w:gridCol w:w="1654"/>
        <w:gridCol w:w="1702"/>
      </w:tblGrid>
      <w:tr>
        <w:tblPrEx>
          <w:tblCellMar>
            <w:top w:w="0" w:type="dxa"/>
            <w:left w:w="108" w:type="dxa"/>
            <w:bottom w:w="0" w:type="dxa"/>
            <w:right w:w="108" w:type="dxa"/>
          </w:tblCellMar>
        </w:tblPrEx>
        <w:trPr>
          <w:trHeight w:val="623"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支出决算表</w:t>
            </w:r>
          </w:p>
        </w:tc>
      </w:tr>
      <w:tr>
        <w:tblPrEx>
          <w:tblCellMar>
            <w:top w:w="0" w:type="dxa"/>
            <w:left w:w="108" w:type="dxa"/>
            <w:bottom w:w="0" w:type="dxa"/>
            <w:right w:w="108" w:type="dxa"/>
          </w:tblCellMar>
        </w:tblPrEx>
        <w:trPr>
          <w:trHeight w:val="312" w:hRule="atLeast"/>
        </w:trPr>
        <w:tc>
          <w:tcPr>
            <w:tcW w:w="114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3" w:type="dxa"/>
            <w:gridSpan w:val="2"/>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2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2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8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6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3"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4"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02"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公开03表</w:t>
            </w:r>
          </w:p>
        </w:tc>
      </w:tr>
      <w:tr>
        <w:tblPrEx>
          <w:tblCellMar>
            <w:top w:w="0" w:type="dxa"/>
            <w:left w:w="108" w:type="dxa"/>
            <w:bottom w:w="0" w:type="dxa"/>
            <w:right w:w="108" w:type="dxa"/>
          </w:tblCellMar>
        </w:tblPrEx>
        <w:trPr>
          <w:trHeight w:val="312" w:hRule="atLeast"/>
        </w:trPr>
        <w:tc>
          <w:tcPr>
            <w:tcW w:w="8971" w:type="dxa"/>
            <w:gridSpan w:val="8"/>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lang w:val="en"/>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lang w:val="en"/>
              </w:rPr>
              <w:t>环江毛南族自治县水源镇初级中学</w:t>
            </w:r>
          </w:p>
        </w:tc>
        <w:tc>
          <w:tcPr>
            <w:tcW w:w="1653"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4"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02" w:type="dxa"/>
            <w:tcBorders>
              <w:top w:val="nil"/>
              <w:left w:val="nil"/>
              <w:bottom w:val="single" w:color="auto"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62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本年支出合计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7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上缴上级支出</w:t>
            </w:r>
          </w:p>
        </w:tc>
        <w:tc>
          <w:tcPr>
            <w:tcW w:w="16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经营支出</w:t>
            </w:r>
          </w:p>
        </w:tc>
        <w:tc>
          <w:tcPr>
            <w:tcW w:w="17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对附属单位补助支出</w:t>
            </w:r>
          </w:p>
        </w:tc>
      </w:tr>
      <w:tr>
        <w:tblPrEx>
          <w:tblCellMar>
            <w:top w:w="0" w:type="dxa"/>
            <w:left w:w="108" w:type="dxa"/>
            <w:bottom w:w="0" w:type="dxa"/>
            <w:right w:w="108" w:type="dxa"/>
          </w:tblCellMar>
        </w:tblPrEx>
        <w:trPr>
          <w:trHeight w:val="322" w:hRule="atLeast"/>
        </w:trPr>
        <w:tc>
          <w:tcPr>
            <w:tcW w:w="1618"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286"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465"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837"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CellMar>
            <w:top w:w="0" w:type="dxa"/>
            <w:left w:w="108" w:type="dxa"/>
            <w:bottom w:w="0" w:type="dxa"/>
            <w:right w:w="108" w:type="dxa"/>
          </w:tblCellMar>
        </w:tblPrEx>
        <w:trPr>
          <w:trHeight w:val="633"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1286.18</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1106.08</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180.10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一般公共服务支出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12.76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12.76</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群众团体事务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12.76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12.76</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其他群众团体事务支出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12.76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12.76</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教育支出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1008.53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929.39</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79.14</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普通教育</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1007.58</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929.39</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78.19</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2050203</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初中教育</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965.29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914.72</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50.56</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其他普通教育支出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42.30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14.67</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27.63</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教育费附加安排的支出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0.95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0.95</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其他教育费附加安排的支出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0.95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0.95</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社会保障和就业支出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81.18</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81.18</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行政事业单位养老支出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81.18</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81.18</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机关事业单位基本养老保险缴费支出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81.18</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81.18</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住房保障支出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70.74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70.74</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住房改革支出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70.74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70.74</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住房公积金</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70.74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70.74</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112.96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12.00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100.96</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112.96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12.00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100.96</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112.96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12.00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100.96</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3980" w:type="dxa"/>
            <w:gridSpan w:val="11"/>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注：本表反映部门本年度各项支出情况。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center"/>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表四：财政拨款收入支出决算总表</w:t>
      </w:r>
    </w:p>
    <w:p>
      <w:pPr>
        <w:jc w:val="left"/>
        <w:rPr>
          <w:rFonts w:hint="eastAsia" w:ascii="仿宋" w:hAnsi="仿宋" w:eastAsia="仿宋" w:cs="仿宋"/>
          <w:sz w:val="24"/>
          <w:highlight w:val="none"/>
        </w:rPr>
      </w:pPr>
    </w:p>
    <w:tbl>
      <w:tblPr>
        <w:tblStyle w:val="6"/>
        <w:tblW w:w="4966" w:type="pct"/>
        <w:tblInd w:w="0" w:type="dxa"/>
        <w:tblLayout w:type="fixed"/>
        <w:tblCellMar>
          <w:top w:w="0" w:type="dxa"/>
          <w:left w:w="108" w:type="dxa"/>
          <w:bottom w:w="0" w:type="dxa"/>
          <w:right w:w="108" w:type="dxa"/>
        </w:tblCellMar>
      </w:tblPr>
      <w:tblGrid>
        <w:gridCol w:w="2214"/>
        <w:gridCol w:w="785"/>
        <w:gridCol w:w="1307"/>
        <w:gridCol w:w="2360"/>
        <w:gridCol w:w="853"/>
        <w:gridCol w:w="1088"/>
        <w:gridCol w:w="1773"/>
        <w:gridCol w:w="1803"/>
        <w:gridCol w:w="1894"/>
      </w:tblGrid>
      <w:tr>
        <w:tblPrEx>
          <w:tblCellMar>
            <w:top w:w="0" w:type="dxa"/>
            <w:left w:w="108" w:type="dxa"/>
            <w:bottom w:w="0" w:type="dxa"/>
            <w:right w:w="108" w:type="dxa"/>
          </w:tblCellMar>
        </w:tblPrEx>
        <w:trPr>
          <w:trHeight w:val="520" w:hRule="atLeast"/>
        </w:trPr>
        <w:tc>
          <w:tcPr>
            <w:tcW w:w="5000" w:type="pct"/>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财政拨款收入支出决算总表</w:t>
            </w:r>
          </w:p>
        </w:tc>
      </w:tr>
      <w:tr>
        <w:trPr>
          <w:trHeight w:val="260" w:hRule="atLeast"/>
        </w:trPr>
        <w:tc>
          <w:tcPr>
            <w:tcW w:w="7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464"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83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2"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2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40"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72"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公开04表</w:t>
            </w:r>
          </w:p>
        </w:tc>
      </w:tr>
      <w:tr>
        <w:trPr>
          <w:trHeight w:val="260" w:hRule="atLeast"/>
        </w:trPr>
        <w:tc>
          <w:tcPr>
            <w:tcW w:w="3056" w:type="pct"/>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lang w:val="en"/>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lang w:val="en"/>
              </w:rPr>
              <w:t>环江毛南族自治县水源镇初级中学</w:t>
            </w:r>
          </w:p>
        </w:tc>
        <w:tc>
          <w:tcPr>
            <w:tcW w:w="629"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40"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72" w:type="pct"/>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268" w:hRule="atLeast"/>
        </w:trPr>
        <w:tc>
          <w:tcPr>
            <w:tcW w:w="152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收     入</w:t>
            </w:r>
          </w:p>
        </w:tc>
        <w:tc>
          <w:tcPr>
            <w:tcW w:w="3470" w:type="pct"/>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支     出</w:t>
            </w:r>
          </w:p>
        </w:tc>
      </w:tr>
      <w:tr>
        <w:tblPrEx>
          <w:tblCellMar>
            <w:top w:w="0" w:type="dxa"/>
            <w:left w:w="108" w:type="dxa"/>
            <w:bottom w:w="0" w:type="dxa"/>
            <w:right w:w="108" w:type="dxa"/>
          </w:tblCellMar>
        </w:tblPrEx>
        <w:trPr>
          <w:trHeight w:val="312" w:hRule="atLeast"/>
        </w:trPr>
        <w:tc>
          <w:tcPr>
            <w:tcW w:w="78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7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46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c>
          <w:tcPr>
            <w:tcW w:w="83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30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386"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62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一般公共预算财政拨款</w:t>
            </w:r>
          </w:p>
        </w:tc>
        <w:tc>
          <w:tcPr>
            <w:tcW w:w="64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政府性基金预算财政拨款</w:t>
            </w:r>
          </w:p>
        </w:tc>
        <w:tc>
          <w:tcPr>
            <w:tcW w:w="67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国有资本经营预算财政拨款</w:t>
            </w:r>
          </w:p>
        </w:tc>
      </w:tr>
      <w:tr>
        <w:tblPrEx>
          <w:tblCellMar>
            <w:top w:w="0" w:type="dxa"/>
            <w:left w:w="108" w:type="dxa"/>
            <w:bottom w:w="0" w:type="dxa"/>
            <w:right w:w="108" w:type="dxa"/>
          </w:tblCellMar>
        </w:tblPrEx>
        <w:trPr>
          <w:trHeight w:val="536" w:hRule="atLeast"/>
        </w:trPr>
        <w:tc>
          <w:tcPr>
            <w:tcW w:w="78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7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6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8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86"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2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4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7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一、一般公共预算财政拨款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1286.18</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一、一般公共服务支出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12.76</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12.76</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二、政府性基金预算财政拨款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二、外交支出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三、国有资本经营预算财政拨款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三、国防支出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四、公共安全支出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五、教育支出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1008.53</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1008.53</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六、科学技术支出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七、文化旅游体育与传媒支出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八、社会保障和就业支出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81.18</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81.18</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九、卫生健康支出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十、节能环保支出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十一、城乡社区支出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十二、农林水支出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十三、交通运输支出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十四、资源勘探工业信息等支出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十五、商业服务业等支出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十六、金融支出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十七、援助其他地区支出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十八、自然资源海洋气象等支出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十九、住房保障支出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70.74</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70.74</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二十、粮油物资储备支出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二十一、国有资本经营预算支出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二十二、灾害防治及应急管理支出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二十三、其他支出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112.96</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112.96</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二十四、债务还本支出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二十五、债务付息支出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二十六、抗疫特别国债安排的支出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本年收入合计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1286.18</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本年支出合计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1286.18</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1286.18</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年初财政拨款结转和结余</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年末财政拨款结转和结余</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一般公共预算财政拨款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政府性基金预算财政拨款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国有资本经营预算财政拨款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总计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1286.18</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总计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1286.18</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1286.18</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rPr>
          <w:trHeight w:val="268" w:hRule="atLeast"/>
        </w:trPr>
        <w:tc>
          <w:tcPr>
            <w:tcW w:w="4327" w:type="pct"/>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注：本表反映部门本年度一般公共预算财政拨款、政府性基金预算财政拨款和国有资本经营预算财政拨款的总收支和年末结转结余情况。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tc>
        <w:tc>
          <w:tcPr>
            <w:tcW w:w="672" w:type="pct"/>
            <w:tcBorders>
              <w:top w:val="single" w:color="auto" w:sz="4" w:space="0"/>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0"/>
                <w:szCs w:val="20"/>
                <w:highlight w:val="none"/>
              </w:rPr>
            </w:pP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表五：一般公共预算财政拨款支出决算表</w:t>
      </w:r>
    </w:p>
    <w:p>
      <w:pPr>
        <w:jc w:val="left"/>
        <w:rPr>
          <w:rFonts w:hint="eastAsia" w:ascii="仿宋" w:hAnsi="仿宋" w:eastAsia="仿宋" w:cs="仿宋"/>
          <w:sz w:val="24"/>
          <w:highlight w:val="none"/>
        </w:rPr>
      </w:pPr>
    </w:p>
    <w:tbl>
      <w:tblPr>
        <w:tblStyle w:val="6"/>
        <w:tblW w:w="13980" w:type="dxa"/>
        <w:tblInd w:w="96" w:type="dxa"/>
        <w:tblLayout w:type="fixed"/>
        <w:tblCellMar>
          <w:top w:w="0" w:type="dxa"/>
          <w:left w:w="108" w:type="dxa"/>
          <w:bottom w:w="0" w:type="dxa"/>
          <w:right w:w="108" w:type="dxa"/>
        </w:tblCellMar>
      </w:tblPr>
      <w:tblGrid>
        <w:gridCol w:w="2011"/>
        <w:gridCol w:w="272"/>
        <w:gridCol w:w="238"/>
        <w:gridCol w:w="238"/>
        <w:gridCol w:w="2052"/>
        <w:gridCol w:w="3173"/>
        <w:gridCol w:w="3107"/>
        <w:gridCol w:w="2889"/>
      </w:tblGrid>
      <w:tr>
        <w:tblPrEx>
          <w:tblCellMar>
            <w:top w:w="0" w:type="dxa"/>
            <w:left w:w="108" w:type="dxa"/>
            <w:bottom w:w="0" w:type="dxa"/>
            <w:right w:w="108" w:type="dxa"/>
          </w:tblCellMar>
        </w:tblPrEx>
        <w:trPr>
          <w:trHeight w:val="693" w:hRule="atLeast"/>
        </w:trPr>
        <w:tc>
          <w:tcPr>
            <w:tcW w:w="1398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一般公共预算财政拨款支出决算表</w:t>
            </w:r>
          </w:p>
        </w:tc>
      </w:tr>
      <w:tr>
        <w:tblPrEx>
          <w:tblCellMar>
            <w:top w:w="0" w:type="dxa"/>
            <w:left w:w="108" w:type="dxa"/>
            <w:bottom w:w="0" w:type="dxa"/>
            <w:right w:w="108" w:type="dxa"/>
          </w:tblCellMar>
        </w:tblPrEx>
        <w:trPr>
          <w:trHeight w:val="346" w:hRule="atLeast"/>
        </w:trPr>
        <w:tc>
          <w:tcPr>
            <w:tcW w:w="2283"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05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8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公开05表</w:t>
            </w:r>
          </w:p>
        </w:tc>
      </w:tr>
      <w:tr>
        <w:tblPrEx>
          <w:tblCellMar>
            <w:top w:w="0" w:type="dxa"/>
            <w:left w:w="108" w:type="dxa"/>
            <w:bottom w:w="0" w:type="dxa"/>
            <w:right w:w="108" w:type="dxa"/>
          </w:tblCellMar>
        </w:tblPrEx>
        <w:trPr>
          <w:trHeight w:val="346" w:hRule="atLeast"/>
        </w:trPr>
        <w:tc>
          <w:tcPr>
            <w:tcW w:w="7984" w:type="dxa"/>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lang w:val="en"/>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lang w:val="en"/>
              </w:rPr>
              <w:t>环江毛南族自治县水源镇初级中学</w:t>
            </w:r>
          </w:p>
        </w:tc>
        <w:tc>
          <w:tcPr>
            <w:tcW w:w="310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89"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trHeight w:val="353" w:hRule="atLeast"/>
        </w:trPr>
        <w:tc>
          <w:tcPr>
            <w:tcW w:w="20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800"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3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31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28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19"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53"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1286.18</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1106.08</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180.10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一般公共服务支出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12.76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12.76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群众团体事务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12.76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12.76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其他群众团体事务支出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12.76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12.76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教育支出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1008.53</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929.39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79.14</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普通教育</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1007.58</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929.39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78.19</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2050203</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初中教育</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965.29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914.72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50.56</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2050299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其他普通教育支出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42.30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14.67</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27.63</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20509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教育费附加安排的支出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0.95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0.95</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2050999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其他教育费附加安排的支出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0.95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0.95</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社会保障和就业支出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81.18</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81.18</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行政事业单位养老支出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81.18</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81.18</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2080505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机关事业单位基本养老保险缴费支出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81.18</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81.18</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住房保障支出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70.74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70.74</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住房改革支出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70.74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70.74</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2210201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住房公积金</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70.74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70.74</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112.96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12.00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100.96</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112.96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12.00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100.96</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2299999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112.96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12.00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100.96</w:t>
            </w:r>
          </w:p>
        </w:tc>
      </w:tr>
      <w:tr>
        <w:tblPrEx>
          <w:tblCellMar>
            <w:top w:w="0" w:type="dxa"/>
            <w:left w:w="108" w:type="dxa"/>
            <w:bottom w:w="0" w:type="dxa"/>
            <w:right w:w="108" w:type="dxa"/>
          </w:tblCellMar>
        </w:tblPrEx>
        <w:trPr>
          <w:trHeight w:val="358" w:hRule="atLeast"/>
        </w:trPr>
        <w:tc>
          <w:tcPr>
            <w:tcW w:w="13980" w:type="dxa"/>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注：本表反映部门本年度一般公共预算财政拨款支出情况。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表六：一般公共预算财政拨款基本支出决算表</w:t>
      </w:r>
    </w:p>
    <w:p>
      <w:pPr>
        <w:jc w:val="left"/>
        <w:rPr>
          <w:rFonts w:hint="eastAsia" w:ascii="仿宋" w:hAnsi="仿宋" w:eastAsia="仿宋" w:cs="仿宋"/>
          <w:sz w:val="24"/>
          <w:highlight w:val="none"/>
        </w:rPr>
      </w:pPr>
    </w:p>
    <w:tbl>
      <w:tblPr>
        <w:tblStyle w:val="6"/>
        <w:tblW w:w="14000" w:type="dxa"/>
        <w:tblInd w:w="96" w:type="dxa"/>
        <w:tblLayout w:type="fixed"/>
        <w:tblCellMar>
          <w:top w:w="0" w:type="dxa"/>
          <w:left w:w="108" w:type="dxa"/>
          <w:bottom w:w="0" w:type="dxa"/>
          <w:right w:w="108" w:type="dxa"/>
        </w:tblCellMar>
      </w:tblPr>
      <w:tblGrid>
        <w:gridCol w:w="1107"/>
        <w:gridCol w:w="2371"/>
        <w:gridCol w:w="1106"/>
        <w:gridCol w:w="1280"/>
        <w:gridCol w:w="2347"/>
        <w:gridCol w:w="1160"/>
        <w:gridCol w:w="1173"/>
        <w:gridCol w:w="2147"/>
        <w:gridCol w:w="1309"/>
      </w:tblGrid>
      <w:tr>
        <w:tblPrEx>
          <w:tblCellMar>
            <w:top w:w="0" w:type="dxa"/>
            <w:left w:w="108" w:type="dxa"/>
            <w:bottom w:w="0" w:type="dxa"/>
            <w:right w:w="108" w:type="dxa"/>
          </w:tblCellMar>
        </w:tblPrEx>
        <w:trPr>
          <w:trHeight w:val="614" w:hRule="atLeast"/>
        </w:trPr>
        <w:tc>
          <w:tcPr>
            <w:tcW w:w="14000" w:type="dxa"/>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一般公共预算财政拨款基本支出决算明细表</w:t>
            </w:r>
          </w:p>
        </w:tc>
      </w:tr>
      <w:tr>
        <w:tblPrEx>
          <w:tblCellMar>
            <w:top w:w="0" w:type="dxa"/>
            <w:left w:w="108" w:type="dxa"/>
            <w:bottom w:w="0" w:type="dxa"/>
            <w:right w:w="108" w:type="dxa"/>
          </w:tblCellMar>
        </w:tblPrEx>
        <w:trPr>
          <w:trHeight w:val="307" w:hRule="atLeast"/>
        </w:trPr>
        <w:tc>
          <w:tcPr>
            <w:tcW w:w="1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7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0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2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1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0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公开06表</w:t>
            </w:r>
          </w:p>
        </w:tc>
      </w:tr>
      <w:tr>
        <w:tblPrEx>
          <w:tblCellMar>
            <w:top w:w="0" w:type="dxa"/>
            <w:left w:w="108" w:type="dxa"/>
            <w:bottom w:w="0" w:type="dxa"/>
            <w:right w:w="108" w:type="dxa"/>
          </w:tblCellMar>
        </w:tblPrEx>
        <w:trPr>
          <w:trHeight w:val="569" w:hRule="atLeast"/>
        </w:trPr>
        <w:tc>
          <w:tcPr>
            <w:tcW w:w="8211" w:type="dxa"/>
            <w:gridSpan w:val="5"/>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lang w:val="en"/>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lang w:val="en"/>
              </w:rPr>
              <w:t>环江毛南族自治县水源镇初级中学</w:t>
            </w:r>
          </w:p>
        </w:tc>
        <w:tc>
          <w:tcPr>
            <w:tcW w:w="116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456"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19" w:hRule="atLeast"/>
        </w:trPr>
        <w:tc>
          <w:tcPr>
            <w:tcW w:w="458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人员经费</w:t>
            </w:r>
          </w:p>
        </w:tc>
        <w:tc>
          <w:tcPr>
            <w:tcW w:w="9416"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公用经费</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科目编码</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23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1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c>
          <w:tcPr>
            <w:tcW w:w="12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23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1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c>
          <w:tcPr>
            <w:tcW w:w="1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21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3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trHeight w:val="1237"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0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1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工资福利支出</w:t>
            </w:r>
            <w:bookmarkStart w:id="0" w:name="OLE_LINK4"/>
            <w:bookmarkStart w:id="1" w:name="OLE_LINK3"/>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849.67</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93.61</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债务利息及费用支出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基本工资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419.65</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办公费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37.07</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国内债务付息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津贴补贴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49.08</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印刷费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国外债务付息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奖金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37.66</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咨询费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15.58</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伙食补助费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手续费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房屋建筑物购建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绩效工资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134.79</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水费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1.51</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办公设备购置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4.38</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机关事业单位基本养老保险缴费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86.91</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6.43</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11.20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职业年金缴费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邮电费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3.17</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31005</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基础设施建设</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职工基本医疗保险缴费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44.59</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取暖费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31006</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大型修缮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公务员医疗补助缴费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物业管理费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信息网络及软件购置更新</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其他社会保障缴费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5.02</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差旅费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5.43</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物资储备</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住房公积金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70.74</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因公出国（境）费用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土地补偿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医疗费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维修（护）费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3.32</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安置补助</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其他工资福利支出</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1.23</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租赁费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地上附着物和青苗补偿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147.22</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会议费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拆迁补偿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离休费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培训费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公务用车购置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退休费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公务接待费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其他交通工具购置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退职（役）费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专用材料费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31021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文物和陈列品购置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抚恤金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8.85</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被装购置费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31022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无形资产购置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30305</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生活补助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34.07</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专用燃料费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救济费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劳务费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2.21</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医疗费补助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委托业务费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国家赔偿费用支出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助学金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104.30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工会经费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12.76</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对民间非营利组织和群众性自治组织补贴</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奖励金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福利费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经常性赠与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个人农业生产补贴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30231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公务用车运行维护费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资本性赠与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代缴社会保险费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30239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其他交通费用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30240</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税金及附加费用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30299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21.71</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人员经费合计</w:t>
            </w:r>
          </w:p>
          <w:bookmarkEnd w:id="0"/>
          <w:bookmarkEnd w:id="1"/>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996.89</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公用经费合计</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109.19</w:t>
            </w:r>
          </w:p>
        </w:tc>
      </w:tr>
      <w:tr>
        <w:tblPrEx>
          <w:tblCellMar>
            <w:top w:w="0" w:type="dxa"/>
            <w:left w:w="108" w:type="dxa"/>
            <w:bottom w:w="0" w:type="dxa"/>
            <w:right w:w="108" w:type="dxa"/>
          </w:tblCellMar>
        </w:tblPrEx>
        <w:trPr>
          <w:trHeight w:val="319" w:hRule="atLeast"/>
        </w:trPr>
        <w:tc>
          <w:tcPr>
            <w:tcW w:w="14000" w:type="dxa"/>
            <w:gridSpan w:val="9"/>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注：本表反映部门本年度一般公共预算财政拨款基本支出明细情况。</w:t>
            </w: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七</w:t>
      </w:r>
      <w:r>
        <w:rPr>
          <w:rFonts w:hint="eastAsia" w:ascii="仿宋" w:hAnsi="仿宋" w:eastAsia="仿宋" w:cs="仿宋"/>
          <w:sz w:val="24"/>
          <w:highlight w:val="none"/>
        </w:rPr>
        <w:t>：政府性基金预算财政拨款收入支出决算表</w:t>
      </w:r>
    </w:p>
    <w:p>
      <w:pPr>
        <w:jc w:val="left"/>
        <w:rPr>
          <w:rFonts w:hint="eastAsia" w:ascii="仿宋" w:hAnsi="仿宋" w:eastAsia="仿宋" w:cs="仿宋"/>
          <w:sz w:val="24"/>
          <w:highlight w:val="none"/>
        </w:rPr>
      </w:pPr>
    </w:p>
    <w:tbl>
      <w:tblPr>
        <w:tblStyle w:val="6"/>
        <w:tblW w:w="13982" w:type="dxa"/>
        <w:tblInd w:w="96" w:type="dxa"/>
        <w:tblLayout w:type="fixed"/>
        <w:tblCellMar>
          <w:top w:w="0" w:type="dxa"/>
          <w:left w:w="108" w:type="dxa"/>
          <w:bottom w:w="0" w:type="dxa"/>
          <w:right w:w="108" w:type="dxa"/>
        </w:tblCellMar>
      </w:tblPr>
      <w:tblGrid>
        <w:gridCol w:w="1297"/>
        <w:gridCol w:w="240"/>
        <w:gridCol w:w="236"/>
        <w:gridCol w:w="1625"/>
        <w:gridCol w:w="1973"/>
        <w:gridCol w:w="1653"/>
        <w:gridCol w:w="1600"/>
        <w:gridCol w:w="1680"/>
        <w:gridCol w:w="1728"/>
        <w:gridCol w:w="2"/>
        <w:gridCol w:w="1946"/>
        <w:gridCol w:w="2"/>
      </w:tblGrid>
      <w:tr>
        <w:tblPrEx>
          <w:tblCellMar>
            <w:top w:w="0" w:type="dxa"/>
            <w:left w:w="108" w:type="dxa"/>
            <w:bottom w:w="0" w:type="dxa"/>
            <w:right w:w="108" w:type="dxa"/>
          </w:tblCellMar>
        </w:tblPrEx>
        <w:trPr>
          <w:gridAfter w:val="1"/>
          <w:wAfter w:w="2" w:type="dxa"/>
          <w:trHeight w:val="536" w:hRule="atLeast"/>
        </w:trPr>
        <w:tc>
          <w:tcPr>
            <w:tcW w:w="13980" w:type="dxa"/>
            <w:gridSpan w:val="11"/>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政府性基金预算财政拨款收入支出决算表</w:t>
            </w:r>
          </w:p>
        </w:tc>
      </w:tr>
      <w:tr>
        <w:tblPrEx>
          <w:tblCellMar>
            <w:top w:w="0" w:type="dxa"/>
            <w:left w:w="108" w:type="dxa"/>
            <w:bottom w:w="0" w:type="dxa"/>
            <w:right w:w="108" w:type="dxa"/>
          </w:tblCellMar>
        </w:tblPrEx>
        <w:trPr>
          <w:trHeight w:val="268" w:hRule="atLeast"/>
        </w:trPr>
        <w:tc>
          <w:tcPr>
            <w:tcW w:w="129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0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30"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48"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7</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2" w:type="dxa"/>
          <w:trHeight w:val="268" w:hRule="atLeast"/>
        </w:trPr>
        <w:tc>
          <w:tcPr>
            <w:tcW w:w="8624"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lang w:val="en"/>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lang w:val="en"/>
              </w:rPr>
              <w:t>环江毛南族自治县水源镇初级中学</w:t>
            </w:r>
          </w:p>
        </w:tc>
        <w:tc>
          <w:tcPr>
            <w:tcW w:w="16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28"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48" w:type="dxa"/>
            <w:gridSpan w:val="2"/>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9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年初结转和结余</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本年收入</w:t>
            </w:r>
          </w:p>
        </w:tc>
        <w:tc>
          <w:tcPr>
            <w:tcW w:w="500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c>
          <w:tcPr>
            <w:tcW w:w="194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年末结转和结余</w:t>
            </w: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1861"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7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eastAsia="zh-CN" w:bidi="ar"/>
              </w:rPr>
            </w:pPr>
            <w:r>
              <w:rPr>
                <w:rFonts w:hint="eastAsia" w:ascii="宋体" w:hAnsi="宋体" w:eastAsia="宋体" w:cs="宋体"/>
                <w:color w:val="000000"/>
                <w:kern w:val="0"/>
                <w:sz w:val="22"/>
                <w:szCs w:val="22"/>
                <w:highlight w:val="none"/>
                <w:lang w:bidi="ar"/>
              </w:rPr>
              <w:t>注：本表反映部门本年度政府性基金预算财政拨款收入、支出及结转和结余情况。</w:t>
            </w:r>
          </w:p>
          <w:p>
            <w:pPr>
              <w:keepNext w:val="0"/>
              <w:keepLines w:val="0"/>
              <w:widowControl/>
              <w:suppressLineNumbers w:val="0"/>
              <w:spacing w:before="0" w:beforeAutospacing="0" w:after="0" w:afterAutospacing="0"/>
              <w:ind w:left="0" w:right="0"/>
              <w:jc w:val="left"/>
              <w:textAlignment w:val="center"/>
              <w:rPr>
                <w:rFonts w:hint="default"/>
                <w:color w:val="auto"/>
              </w:rPr>
            </w:pPr>
            <w:r>
              <w:rPr>
                <w:rFonts w:hint="eastAsia" w:ascii="宋体" w:hAnsi="宋体" w:eastAsia="宋体" w:cs="宋体"/>
                <w:color w:val="000000"/>
                <w:kern w:val="0"/>
                <w:sz w:val="22"/>
                <w:szCs w:val="22"/>
                <w:highlight w:val="none"/>
                <w:lang w:eastAsia="zh-CN" w:bidi="ar"/>
              </w:rPr>
              <w:t>说明</w:t>
            </w:r>
            <w:r>
              <w:rPr>
                <w:rFonts w:hint="eastAsia" w:ascii="宋体" w:hAnsi="宋体" w:eastAsia="宋体" w:cs="宋体"/>
                <w:color w:val="000000"/>
                <w:kern w:val="0"/>
                <w:sz w:val="22"/>
                <w:szCs w:val="22"/>
                <w:highlight w:val="none"/>
                <w:lang w:val="en-US" w:eastAsia="zh-CN" w:bidi="ar"/>
              </w:rPr>
              <w:t>:</w:t>
            </w:r>
            <w:r>
              <w:rPr>
                <w:rFonts w:hint="eastAsia" w:ascii="宋体" w:hAnsi="宋体" w:eastAsia="宋体" w:cs="宋体"/>
                <w:color w:val="auto"/>
                <w:kern w:val="2"/>
                <w:sz w:val="21"/>
                <w:szCs w:val="21"/>
                <w:lang w:val="en-US" w:eastAsia="zh-CN" w:bidi="ar"/>
              </w:rPr>
              <w:t>本部门</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年度没有政府性基金预算财政拨款收入，也没有政府性基金预算财政拨款安排的支出，故本表无数据</w:t>
            </w:r>
            <w:r>
              <w:rPr>
                <w:rFonts w:hint="eastAsia" w:ascii="Times New Roman" w:hAnsi="Times New Roman" w:eastAsia="宋体" w:cs="Times New Roman"/>
                <w:color w:val="auto"/>
                <w:kern w:val="2"/>
                <w:sz w:val="21"/>
                <w:szCs w:val="21"/>
                <w:lang w:val="en-US" w:eastAsia="zh-CN" w:bidi="ar"/>
              </w:rPr>
              <w:t xml:space="preserve"> </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八</w:t>
      </w:r>
      <w:r>
        <w:rPr>
          <w:rFonts w:hint="eastAsia" w:ascii="仿宋" w:hAnsi="仿宋" w:eastAsia="仿宋" w:cs="仿宋"/>
          <w:sz w:val="24"/>
          <w:highlight w:val="none"/>
        </w:rPr>
        <w:t>：国有资本经营预算财政拨款支出决算表</w:t>
      </w:r>
    </w:p>
    <w:p>
      <w:pPr>
        <w:jc w:val="left"/>
        <w:rPr>
          <w:rFonts w:hint="eastAsia" w:ascii="仿宋" w:hAnsi="仿宋" w:eastAsia="仿宋" w:cs="仿宋"/>
          <w:sz w:val="24"/>
          <w:highlight w:val="none"/>
        </w:rPr>
      </w:pPr>
    </w:p>
    <w:tbl>
      <w:tblPr>
        <w:tblStyle w:val="6"/>
        <w:tblW w:w="13940" w:type="dxa"/>
        <w:tblInd w:w="96" w:type="dxa"/>
        <w:tblLayout w:type="fixed"/>
        <w:tblCellMar>
          <w:top w:w="0" w:type="dxa"/>
          <w:left w:w="108" w:type="dxa"/>
          <w:bottom w:w="0" w:type="dxa"/>
          <w:right w:w="108" w:type="dxa"/>
        </w:tblCellMar>
      </w:tblPr>
      <w:tblGrid>
        <w:gridCol w:w="1638"/>
        <w:gridCol w:w="501"/>
        <w:gridCol w:w="285"/>
        <w:gridCol w:w="363"/>
        <w:gridCol w:w="1960"/>
        <w:gridCol w:w="2993"/>
        <w:gridCol w:w="3135"/>
        <w:gridCol w:w="3065"/>
      </w:tblGrid>
      <w:tr>
        <w:tblPrEx>
          <w:tblCellMar>
            <w:top w:w="0" w:type="dxa"/>
            <w:left w:w="108" w:type="dxa"/>
            <w:bottom w:w="0" w:type="dxa"/>
            <w:right w:w="108" w:type="dxa"/>
          </w:tblCellMar>
        </w:tblPrEx>
        <w:trPr>
          <w:trHeight w:val="384" w:hRule="atLeast"/>
        </w:trPr>
        <w:tc>
          <w:tcPr>
            <w:tcW w:w="1394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国有资本经营预算财政拨款支出决算表</w:t>
            </w:r>
          </w:p>
        </w:tc>
      </w:tr>
      <w:tr>
        <w:tblPrEx>
          <w:tblCellMar>
            <w:top w:w="0" w:type="dxa"/>
            <w:left w:w="108" w:type="dxa"/>
            <w:bottom w:w="0" w:type="dxa"/>
            <w:right w:w="108" w:type="dxa"/>
          </w:tblCellMar>
        </w:tblPrEx>
        <w:trPr>
          <w:trHeight w:val="264" w:hRule="atLeast"/>
        </w:trPr>
        <w:tc>
          <w:tcPr>
            <w:tcW w:w="2139"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6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9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8</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trHeight w:val="264" w:hRule="atLeast"/>
        </w:trPr>
        <w:tc>
          <w:tcPr>
            <w:tcW w:w="77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lang w:val="en"/>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lang w:val="en"/>
              </w:rPr>
              <w:t>环江毛南族自治县水源镇初级中学</w:t>
            </w: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08" w:hRule="atLeast"/>
        </w:trPr>
        <w:tc>
          <w:tcPr>
            <w:tcW w:w="474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93"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rPr>
          <w:trHeight w:val="312" w:hRule="atLeast"/>
        </w:trPr>
        <w:tc>
          <w:tcPr>
            <w:tcW w:w="163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3109" w:type="dxa"/>
            <w:gridSpan w:val="4"/>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299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313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306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bl>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注：本表反映部门本年度国有资本经营预算财政拨款支出情况。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auto"/>
          <w:kern w:val="2"/>
          <w:sz w:val="21"/>
          <w:szCs w:val="21"/>
          <w:lang w:val="en-US" w:eastAsia="zh-CN" w:bidi="ar"/>
        </w:rPr>
        <w:t>说明“本部门</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年度没有国有资本经营预算财政拨款收入，也没有国有资本经营预算财政拨款安排的支出，故本表无数据”。</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br w:type="page"/>
      </w:r>
    </w:p>
    <w:tbl>
      <w:tblPr>
        <w:tblStyle w:val="6"/>
        <w:tblW w:w="14036" w:type="dxa"/>
        <w:tblInd w:w="0" w:type="dxa"/>
        <w:tblLayout w:type="fixed"/>
        <w:tblCellMar>
          <w:top w:w="0" w:type="dxa"/>
          <w:left w:w="108" w:type="dxa"/>
          <w:bottom w:w="0" w:type="dxa"/>
          <w:right w:w="108" w:type="dxa"/>
        </w:tblCellMar>
      </w:tblPr>
      <w:tblGrid>
        <w:gridCol w:w="96"/>
        <w:gridCol w:w="1438"/>
        <w:gridCol w:w="1425"/>
        <w:gridCol w:w="1094"/>
        <w:gridCol w:w="1159"/>
        <w:gridCol w:w="1133"/>
        <w:gridCol w:w="1040"/>
        <w:gridCol w:w="1066"/>
        <w:gridCol w:w="1161"/>
        <w:gridCol w:w="1053"/>
        <w:gridCol w:w="1148"/>
        <w:gridCol w:w="1133"/>
        <w:gridCol w:w="1073"/>
        <w:gridCol w:w="17"/>
      </w:tblGrid>
      <w:tr>
        <w:tblPrEx>
          <w:tblCellMar>
            <w:top w:w="0" w:type="dxa"/>
            <w:left w:w="108" w:type="dxa"/>
            <w:bottom w:w="0" w:type="dxa"/>
            <w:right w:w="108" w:type="dxa"/>
          </w:tblCellMar>
        </w:tblPrEx>
        <w:trPr>
          <w:gridBefore w:val="1"/>
          <w:wBefore w:w="96" w:type="dxa"/>
          <w:trHeight w:val="308" w:hRule="atLeast"/>
        </w:trPr>
        <w:tc>
          <w:tcPr>
            <w:tcW w:w="13940" w:type="dxa"/>
            <w:gridSpan w:val="13"/>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r>
        <w:tblPrEx>
          <w:tblCellMar>
            <w:top w:w="0" w:type="dxa"/>
            <w:left w:w="108" w:type="dxa"/>
            <w:bottom w:w="0" w:type="dxa"/>
            <w:right w:w="108" w:type="dxa"/>
          </w:tblCellMar>
        </w:tblPrEx>
        <w:trPr>
          <w:gridAfter w:val="1"/>
          <w:wAfter w:w="17" w:type="dxa"/>
          <w:trHeight w:val="632" w:hRule="atLeast"/>
        </w:trPr>
        <w:tc>
          <w:tcPr>
            <w:tcW w:w="14019" w:type="dxa"/>
            <w:gridSpan w:val="13"/>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r>
              <w:rPr>
                <w:rFonts w:hint="eastAsia" w:ascii="仿宋" w:hAnsi="仿宋" w:eastAsia="仿宋" w:cs="仿宋"/>
                <w:sz w:val="24"/>
                <w:highlight w:val="none"/>
                <w:lang w:val="en-US" w:eastAsia="zh-CN"/>
              </w:rPr>
              <w:t>表九：</w:t>
            </w:r>
            <w:r>
              <w:rPr>
                <w:rFonts w:hint="eastAsia" w:ascii="仿宋" w:hAnsi="仿宋" w:eastAsia="仿宋" w:cs="仿宋"/>
                <w:sz w:val="24"/>
                <w:highlight w:val="none"/>
              </w:rPr>
              <w:t>财政拨款“三公”经费支出决算表</w:t>
            </w:r>
          </w:p>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color w:val="000000"/>
                <w:kern w:val="0"/>
                <w:sz w:val="30"/>
                <w:szCs w:val="30"/>
                <w:highlight w:val="none"/>
                <w:lang w:bidi="ar"/>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财政拨款“三公”经费支出决算表</w:t>
            </w:r>
          </w:p>
        </w:tc>
      </w:tr>
      <w:tr>
        <w:tblPrEx>
          <w:tblCellMar>
            <w:top w:w="0" w:type="dxa"/>
            <w:left w:w="108" w:type="dxa"/>
            <w:bottom w:w="0" w:type="dxa"/>
            <w:right w:w="108" w:type="dxa"/>
          </w:tblCellMar>
        </w:tblPrEx>
        <w:trPr>
          <w:gridAfter w:val="1"/>
          <w:wAfter w:w="17" w:type="dxa"/>
          <w:trHeight w:val="316" w:hRule="atLeast"/>
        </w:trPr>
        <w:tc>
          <w:tcPr>
            <w:tcW w:w="1534"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9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5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73"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9</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17" w:type="dxa"/>
          <w:trHeight w:val="316" w:hRule="atLeast"/>
        </w:trPr>
        <w:tc>
          <w:tcPr>
            <w:tcW w:w="7385" w:type="dxa"/>
            <w:gridSpan w:val="7"/>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lang w:val="en"/>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lang w:val="en"/>
              </w:rPr>
              <w:t>环江毛南族自治县水源镇初级中学</w:t>
            </w: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6"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17" w:type="dxa"/>
          <w:trHeight w:val="326" w:hRule="atLeast"/>
        </w:trPr>
        <w:tc>
          <w:tcPr>
            <w:tcW w:w="738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预算数</w:t>
            </w:r>
          </w:p>
        </w:tc>
        <w:tc>
          <w:tcPr>
            <w:tcW w:w="6634"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gridAfter w:val="1"/>
          <w:wAfter w:w="17" w:type="dxa"/>
          <w:trHeight w:val="326" w:hRule="atLeast"/>
        </w:trPr>
        <w:tc>
          <w:tcPr>
            <w:tcW w:w="1534"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42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8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4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c>
          <w:tcPr>
            <w:tcW w:w="106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16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3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7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r>
      <w:tr>
        <w:tblPrEx>
          <w:tblCellMar>
            <w:top w:w="0" w:type="dxa"/>
            <w:left w:w="108" w:type="dxa"/>
            <w:bottom w:w="0" w:type="dxa"/>
            <w:right w:w="108" w:type="dxa"/>
          </w:tblCellMar>
        </w:tblPrEx>
        <w:trPr>
          <w:gridAfter w:val="1"/>
          <w:wAfter w:w="17" w:type="dxa"/>
          <w:trHeight w:val="642" w:hRule="atLeast"/>
        </w:trPr>
        <w:tc>
          <w:tcPr>
            <w:tcW w:w="153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2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4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66"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61"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7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17" w:type="dxa"/>
          <w:trHeight w:val="959" w:hRule="atLeast"/>
        </w:trPr>
        <w:tc>
          <w:tcPr>
            <w:tcW w:w="1534"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14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04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0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c>
          <w:tcPr>
            <w:tcW w:w="11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8</w:t>
            </w: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9</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10</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11</w:t>
            </w:r>
          </w:p>
        </w:tc>
        <w:tc>
          <w:tcPr>
            <w:tcW w:w="10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12</w:t>
            </w:r>
          </w:p>
        </w:tc>
      </w:tr>
      <w:tr>
        <w:tblPrEx>
          <w:tblCellMar>
            <w:top w:w="0" w:type="dxa"/>
            <w:left w:w="108" w:type="dxa"/>
            <w:bottom w:w="0" w:type="dxa"/>
            <w:right w:w="108" w:type="dxa"/>
          </w:tblCellMar>
        </w:tblPrEx>
        <w:trPr>
          <w:gridAfter w:val="1"/>
          <w:wAfter w:w="17" w:type="dxa"/>
          <w:trHeight w:val="642" w:hRule="atLeast"/>
        </w:trPr>
        <w:tc>
          <w:tcPr>
            <w:tcW w:w="1534"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094"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59"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0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05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4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tcPr>
          <w:p>
            <w:pPr>
              <w:keepNext w:val="0"/>
              <w:keepLines w:val="0"/>
              <w:suppressLineNumbers w:val="0"/>
              <w:spacing w:before="0" w:beforeAutospacing="0" w:after="0" w:afterAutospacing="0"/>
              <w:ind w:left="0" w:right="0"/>
              <w:jc w:val="right"/>
              <w:rPr>
                <w:rFonts w:hint="default"/>
                <w:highlight w:val="none"/>
              </w:rPr>
            </w:pPr>
            <w:r>
              <w:rPr>
                <w:rFonts w:hint="default"/>
                <w:highlight w:val="none"/>
              </w:rPr>
              <w:t>0.00</w:t>
            </w:r>
          </w:p>
        </w:tc>
        <w:tc>
          <w:tcPr>
            <w:tcW w:w="1073" w:type="dxa"/>
            <w:tcBorders>
              <w:top w:val="nil"/>
              <w:left w:val="nil"/>
              <w:bottom w:val="single" w:color="000000" w:sz="4" w:space="0"/>
              <w:right w:val="single" w:color="000000" w:sz="4" w:space="0"/>
            </w:tcBorders>
            <w:shd w:val="clear" w:color="auto" w:fill="auto"/>
            <w:noWrap/>
          </w:tcPr>
          <w:p>
            <w:pPr>
              <w:keepNext w:val="0"/>
              <w:keepLines w:val="0"/>
              <w:suppressLineNumbers w:val="0"/>
              <w:spacing w:before="0" w:beforeAutospacing="0" w:after="0" w:afterAutospacing="0"/>
              <w:ind w:left="0" w:right="0"/>
              <w:jc w:val="right"/>
              <w:rPr>
                <w:rFonts w:hint="default"/>
                <w:highlight w:val="none"/>
              </w:rPr>
            </w:pPr>
            <w:r>
              <w:rPr>
                <w:rFonts w:hint="eastAsia"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gridAfter w:val="1"/>
          <w:wAfter w:w="17" w:type="dxa"/>
          <w:trHeight w:val="642" w:hRule="atLeast"/>
        </w:trPr>
        <w:tc>
          <w:tcPr>
            <w:tcW w:w="14019" w:type="dxa"/>
            <w:gridSpan w:val="13"/>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三公”经费支出预决算情况。其中，预算数为“三公”经费全年预算数，反映按规定程序调整后的预算数；决算数是包括当年一般公共预算财政拨款和以前年度结转资金安排的实际支出。</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auto"/>
                <w:kern w:val="2"/>
                <w:sz w:val="21"/>
                <w:szCs w:val="21"/>
                <w:lang w:val="en-US" w:eastAsia="zh-CN" w:bidi="ar"/>
              </w:rPr>
              <w:t>说明“本部门</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 xml:space="preserve">年度没有财政拨款“三公”经费收入，也没有财政拨款“三公”经费安排的支出，故本表无数据”。 </w:t>
            </w:r>
          </w:p>
        </w:tc>
      </w:tr>
    </w:tbl>
    <w:p>
      <w:pPr>
        <w:ind w:firstLine="420" w:firstLineChars="0"/>
        <w:jc w:val="left"/>
        <w:rPr>
          <w:rFonts w:ascii="仿宋" w:hAnsi="仿宋" w:eastAsia="仿宋" w:cs="仿宋"/>
          <w:sz w:val="24"/>
          <w:highlight w:val="none"/>
        </w:rPr>
        <w:sectPr>
          <w:pgSz w:w="16838" w:h="11906" w:orient="landscape"/>
          <w:pgMar w:top="1800" w:right="1440" w:bottom="1800" w:left="1440" w:header="851" w:footer="992" w:gutter="0"/>
          <w:cols w:space="425" w:num="1"/>
          <w:docGrid w:type="lines" w:linePitch="312" w:charSpace="0"/>
        </w:sectPr>
      </w:pPr>
    </w:p>
    <w:p>
      <w:pPr>
        <w:jc w:val="left"/>
        <w:rPr>
          <w:rFonts w:ascii="仿宋" w:hAnsi="仿宋" w:eastAsia="仿宋" w:cs="仿宋"/>
          <w:sz w:val="24"/>
          <w:highlight w:val="none"/>
        </w:rPr>
      </w:pPr>
    </w:p>
    <w:p>
      <w:pPr>
        <w:jc w:val="center"/>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ascii="黑体" w:hAnsi="黑体" w:eastAsia="黑体" w:cs="黑体"/>
          <w:sz w:val="32"/>
          <w:u w:color="auto"/>
          <w:lang w:val="en"/>
        </w:rPr>
        <w:t>环江毛南族自治县水源镇初级中学</w:t>
      </w:r>
      <w:r>
        <w:rPr>
          <w:rFonts w:hint="eastAsia" w:ascii="黑体" w:hAnsi="黑体" w:eastAsia="黑体" w:cs="黑体"/>
          <w:sz w:val="32"/>
          <w:szCs w:val="32"/>
          <w:highlight w:val="none"/>
        </w:rPr>
        <w:t>2022年度部门决算情况说明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一、2022年度收入支出决算总体情况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（一）本部门2022年度总收入</w:t>
      </w:r>
      <w:r>
        <w:rPr>
          <w:rFonts w:ascii="仿宋" w:hAnsi="仿宋" w:eastAsia="仿宋" w:cs="仿宋"/>
          <w:sz w:val="32"/>
          <w:u w:color="auto"/>
        </w:rPr>
        <w:t>1286.18</w:t>
      </w:r>
      <w:r>
        <w:rPr>
          <w:rFonts w:hint="eastAsia" w:ascii="仿宋" w:hAnsi="仿宋" w:eastAsia="仿宋" w:cs="仿宋"/>
          <w:sz w:val="32"/>
          <w:szCs w:val="32"/>
          <w:highlight w:val="none"/>
        </w:rPr>
        <w:t>万元，较2021年度决算数</w:t>
      </w:r>
      <w:r>
        <w:rPr>
          <w:rFonts w:ascii="仿宋" w:hAnsi="仿宋" w:eastAsia="仿宋" w:cs="仿宋"/>
          <w:sz w:val="32"/>
          <w:u w:color="auto"/>
        </w:rPr>
        <w:t>减少176.29</w:t>
      </w:r>
      <w:r>
        <w:rPr>
          <w:rFonts w:hint="eastAsia" w:ascii="仿宋" w:hAnsi="仿宋" w:eastAsia="仿宋" w:cs="仿宋"/>
          <w:sz w:val="32"/>
          <w:szCs w:val="32"/>
          <w:highlight w:val="none"/>
        </w:rPr>
        <w:t>万元，</w:t>
      </w:r>
      <w:r>
        <w:rPr>
          <w:rFonts w:ascii="仿宋" w:hAnsi="仿宋" w:eastAsia="仿宋" w:cs="仿宋"/>
          <w:sz w:val="32"/>
          <w:u w:color="auto"/>
        </w:rPr>
        <w:t>下降12.05%</w:t>
      </w:r>
      <w:r>
        <w:rPr>
          <w:rFonts w:hint="eastAsia" w:ascii="仿宋" w:hAnsi="仿宋" w:eastAsia="仿宋" w:cs="仿宋"/>
          <w:sz w:val="32"/>
          <w:szCs w:val="32"/>
          <w:highlight w:val="none"/>
        </w:rPr>
        <w:t>，其中本年收入</w:t>
      </w:r>
      <w:r>
        <w:rPr>
          <w:rFonts w:ascii="仿宋" w:hAnsi="仿宋" w:eastAsia="仿宋" w:cs="仿宋"/>
          <w:sz w:val="32"/>
          <w:u w:color="auto"/>
        </w:rPr>
        <w:t>1286.18</w:t>
      </w:r>
      <w:r>
        <w:rPr>
          <w:rFonts w:hint="eastAsia" w:ascii="仿宋" w:hAnsi="仿宋" w:eastAsia="仿宋" w:cs="仿宋"/>
          <w:sz w:val="32"/>
          <w:szCs w:val="32"/>
          <w:highlight w:val="none"/>
        </w:rPr>
        <w:t>万元。收入具体情况如下。</w:t>
      </w:r>
    </w:p>
    <w:p>
      <w:pPr>
        <w:keepNext w:val="0"/>
        <w:keepLines w:val="0"/>
        <w:widowControl w:val="0"/>
        <w:suppressLineNumbers w:val="0"/>
        <w:spacing w:before="0" w:beforeAutospacing="0" w:after="0" w:afterAutospacing="0"/>
        <w:ind w:left="0" w:right="0" w:firstLine="640" w:firstLineChars="200"/>
        <w:jc w:val="left"/>
        <w:rPr>
          <w:rFonts w:hint="eastAsia" w:ascii="Times New Roman" w:hAnsi="Times New Roman" w:eastAsia="仿宋_GB2312" w:cs="Times New Roman"/>
          <w:kern w:val="0"/>
          <w:sz w:val="32"/>
          <w:szCs w:val="32"/>
          <w:lang w:val="en-US" w:eastAsia="zh-CN"/>
        </w:rPr>
      </w:pPr>
      <w:r>
        <w:rPr>
          <w:rFonts w:hint="eastAsia" w:ascii="仿宋" w:hAnsi="仿宋" w:eastAsia="仿宋" w:cs="仿宋"/>
          <w:kern w:val="2"/>
          <w:sz w:val="32"/>
          <w:szCs w:val="32"/>
          <w:highlight w:val="none"/>
          <w:lang w:val="en-US" w:eastAsia="zh-CN" w:bidi="ar"/>
        </w:rPr>
        <w:t>1.一般公共预算财政拨款收入</w:t>
      </w:r>
      <w:r>
        <w:rPr>
          <w:rFonts w:ascii="仿宋" w:hAnsi="仿宋" w:eastAsia="仿宋" w:cs="仿宋"/>
          <w:sz w:val="32"/>
          <w:u w:color="auto"/>
        </w:rPr>
        <w:t>1286.18</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rPr>
        <w:t>环江毛南族自治县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增加13.05</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增长1.03%</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主要原因：主要原因</w:t>
      </w:r>
      <w:r>
        <w:rPr>
          <w:rFonts w:hint="default" w:ascii="Times New Roman" w:hAnsi="Times New Roman" w:eastAsia="仿宋_GB2312" w:cs="Times New Roman"/>
          <w:kern w:val="0"/>
          <w:sz w:val="32"/>
          <w:szCs w:val="32"/>
        </w:rPr>
        <w:t>是</w:t>
      </w:r>
      <w:r>
        <w:rPr>
          <w:rFonts w:hint="eastAsia" w:ascii="Times New Roman" w:hAnsi="Times New Roman" w:eastAsia="仿宋_GB2312" w:cs="Times New Roman"/>
          <w:kern w:val="0"/>
          <w:sz w:val="32"/>
          <w:szCs w:val="32"/>
          <w:lang w:eastAsia="zh-CN"/>
        </w:rPr>
        <w:t>职工工资比</w:t>
      </w:r>
      <w:r>
        <w:rPr>
          <w:rFonts w:hint="eastAsia" w:ascii="Times New Roman" w:hAnsi="Times New Roman" w:eastAsia="仿宋_GB2312" w:cs="Times New Roman"/>
          <w:kern w:val="0"/>
          <w:sz w:val="32"/>
          <w:szCs w:val="32"/>
          <w:lang w:val="en-US" w:eastAsia="zh-CN"/>
        </w:rPr>
        <w:t>2021年提高了,</w:t>
      </w:r>
    </w:p>
    <w:p>
      <w:pPr>
        <w:keepNext w:val="0"/>
        <w:keepLines w:val="0"/>
        <w:widowControl w:val="0"/>
        <w:suppressLineNumbers w:val="0"/>
        <w:spacing w:before="0" w:beforeAutospacing="0" w:after="0" w:afterAutospacing="0"/>
        <w:ind w:left="0" w:right="0"/>
        <w:jc w:val="both"/>
        <w:rPr>
          <w:rFonts w:hint="eastAsia" w:ascii="仿宋" w:hAnsi="仿宋" w:eastAsia="仿宋" w:cs="Times New Roman"/>
          <w:sz w:val="32"/>
          <w:szCs w:val="32"/>
          <w:highlight w:val="none"/>
          <w:lang w:val="en-US"/>
        </w:rPr>
      </w:pPr>
      <w:r>
        <w:rPr>
          <w:rFonts w:hint="eastAsia" w:ascii="仿宋" w:hAnsi="仿宋" w:eastAsia="仿宋" w:cs="仿宋"/>
          <w:kern w:val="2"/>
          <w:sz w:val="32"/>
          <w:szCs w:val="32"/>
          <w:highlight w:val="none"/>
          <w:lang w:val="en-US" w:eastAsia="zh-CN" w:bidi="ar"/>
        </w:rPr>
        <w:t>2.政府性基金预算财政拨款收入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rPr>
        <w:t>环江毛南族自治县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w:t>
      </w:r>
      <w:r>
        <w:rPr>
          <w:rFonts w:hint="eastAsia" w:ascii="仿宋" w:hAnsi="仿宋" w:eastAsia="仿宋" w:cs="仿宋"/>
          <w:kern w:val="2"/>
          <w:sz w:val="32"/>
          <w:szCs w:val="32"/>
          <w:highlight w:val="none"/>
          <w:lang w:val="en-US" w:eastAsia="zh-CN" w:bidi="ar"/>
        </w:rPr>
        <w:t>要原因：本部门</w:t>
      </w:r>
      <w:r>
        <w:rPr>
          <w:rFonts w:hint="default" w:ascii="仿宋" w:hAnsi="仿宋" w:eastAsia="仿宋" w:cs="仿宋"/>
          <w:kern w:val="2"/>
          <w:sz w:val="32"/>
          <w:szCs w:val="32"/>
          <w:highlight w:val="none"/>
          <w:lang w:val="en-US" w:eastAsia="zh-CN" w:bidi="ar"/>
        </w:rPr>
        <w:t>2022</w:t>
      </w:r>
      <w:r>
        <w:rPr>
          <w:rFonts w:hint="eastAsia" w:ascii="仿宋" w:hAnsi="仿宋" w:eastAsia="仿宋" w:cs="仿宋"/>
          <w:kern w:val="2"/>
          <w:sz w:val="32"/>
          <w:szCs w:val="32"/>
          <w:highlight w:val="none"/>
          <w:lang w:val="en-US" w:eastAsia="zh-CN" w:bidi="ar"/>
        </w:rPr>
        <w:t>年度没有政府性基金预算财政拨款收入，也没有政府性基金预算财政拨款安排的支出。</w:t>
      </w:r>
    </w:p>
    <w:p>
      <w:pPr>
        <w:keepNext w:val="0"/>
        <w:keepLines w:val="0"/>
        <w:widowControl w:val="0"/>
        <w:suppressLineNumbers w:val="0"/>
        <w:spacing w:before="0" w:beforeAutospacing="0" w:after="0" w:afterAutospacing="0"/>
        <w:ind w:right="0" w:firstLine="640" w:firstLineChars="200"/>
        <w:jc w:val="left"/>
        <w:rPr>
          <w:rFonts w:hint="eastAsia" w:ascii="仿宋" w:hAnsi="仿宋" w:eastAsia="仿宋" w:cs="仿宋"/>
          <w:b w:val="0"/>
          <w:bCs w:val="0"/>
          <w:sz w:val="28"/>
          <w:szCs w:val="28"/>
          <w:highlight w:val="none"/>
          <w:lang w:val="en-US"/>
        </w:rPr>
      </w:pPr>
      <w:r>
        <w:rPr>
          <w:rFonts w:hint="eastAsia" w:ascii="仿宋" w:hAnsi="仿宋" w:eastAsia="仿宋" w:cs="仿宋"/>
          <w:kern w:val="2"/>
          <w:sz w:val="32"/>
          <w:szCs w:val="32"/>
          <w:highlight w:val="none"/>
          <w:lang w:val="en-US" w:eastAsia="zh-CN" w:bidi="ar"/>
        </w:rPr>
        <w:t>3.国有资本经营预算财政拨款收入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rPr>
        <w:t>环江毛南族自治县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w:t>
      </w:r>
      <w:r>
        <w:rPr>
          <w:rFonts w:hint="eastAsia" w:ascii="仿宋" w:hAnsi="仿宋" w:eastAsia="仿宋" w:cs="仿宋"/>
          <w:kern w:val="2"/>
          <w:sz w:val="32"/>
          <w:szCs w:val="32"/>
          <w:highlight w:val="none"/>
          <w:lang w:val="en-US" w:eastAsia="zh-CN" w:bidi="ar"/>
        </w:rPr>
        <w:t>原因是：本部门</w:t>
      </w:r>
      <w:r>
        <w:rPr>
          <w:rFonts w:hint="default" w:ascii="仿宋" w:hAnsi="仿宋" w:eastAsia="仿宋" w:cs="仿宋"/>
          <w:kern w:val="2"/>
          <w:sz w:val="32"/>
          <w:szCs w:val="32"/>
          <w:highlight w:val="none"/>
          <w:lang w:val="en-US" w:eastAsia="zh-CN" w:bidi="ar"/>
        </w:rPr>
        <w:t>2022</w:t>
      </w:r>
      <w:r>
        <w:rPr>
          <w:rFonts w:hint="eastAsia" w:ascii="仿宋" w:hAnsi="仿宋" w:eastAsia="仿宋" w:cs="仿宋"/>
          <w:kern w:val="2"/>
          <w:sz w:val="32"/>
          <w:szCs w:val="32"/>
          <w:highlight w:val="none"/>
          <w:lang w:val="en-US" w:eastAsia="zh-CN" w:bidi="ar"/>
        </w:rPr>
        <w:t>年度没有国有资本经营预算财政拨款收入，也没有国有资本经营预算财政拨款安排的支出。</w:t>
      </w:r>
    </w:p>
    <w:p>
      <w:pPr>
        <w:keepNext w:val="0"/>
        <w:keepLines w:val="0"/>
        <w:widowControl w:val="0"/>
        <w:suppressLineNumbers w:val="0"/>
        <w:spacing w:before="0" w:beforeAutospacing="0" w:after="0" w:afterAutospacing="0"/>
        <w:ind w:right="0" w:firstLine="640" w:firstLineChars="200"/>
        <w:jc w:val="left"/>
        <w:rPr>
          <w:rFonts w:hint="default" w:ascii="仿宋" w:hAnsi="仿宋" w:eastAsia="仿宋" w:cs="仿宋"/>
          <w:sz w:val="32"/>
          <w:szCs w:val="32"/>
          <w:highlight w:val="none"/>
          <w:lang w:val="en-US"/>
        </w:rPr>
      </w:pPr>
      <w:r>
        <w:rPr>
          <w:rFonts w:hint="eastAsia" w:ascii="仿宋" w:hAnsi="仿宋" w:eastAsia="仿宋" w:cs="仿宋"/>
          <w:kern w:val="2"/>
          <w:sz w:val="32"/>
          <w:szCs w:val="32"/>
          <w:highlight w:val="none"/>
          <w:lang w:val="en-US" w:eastAsia="zh-CN" w:bidi="ar"/>
        </w:rPr>
        <w:t>4.上级补助收入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万元，为上级部门当年拨付的资金。较2021年度决算数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本单是财政全额拨款单位,没有上级补助收入.</w:t>
      </w:r>
    </w:p>
    <w:p>
      <w:pPr>
        <w:keepNext w:val="0"/>
        <w:keepLines w:val="0"/>
        <w:widowControl w:val="0"/>
        <w:suppressLineNumbers w:val="0"/>
        <w:spacing w:before="0" w:beforeAutospacing="0" w:after="0" w:afterAutospacing="0"/>
        <w:ind w:left="0" w:right="0" w:firstLine="640" w:firstLineChars="200"/>
        <w:jc w:val="left"/>
        <w:rPr>
          <w:rFonts w:hint="default" w:ascii="仿宋" w:hAnsi="仿宋" w:eastAsia="仿宋" w:cs="仿宋"/>
          <w:color w:val="FF0000"/>
          <w:kern w:val="2"/>
          <w:sz w:val="32"/>
          <w:szCs w:val="32"/>
          <w:highlight w:val="none"/>
          <w:lang w:val="en-US" w:eastAsia="zh-CN" w:bidi="ar"/>
        </w:rPr>
      </w:pPr>
      <w:r>
        <w:rPr>
          <w:rFonts w:hint="eastAsia" w:ascii="仿宋" w:hAnsi="仿宋" w:eastAsia="仿宋" w:cs="仿宋"/>
          <w:kern w:val="2"/>
          <w:sz w:val="32"/>
          <w:szCs w:val="32"/>
          <w:highlight w:val="none"/>
          <w:lang w:val="en-US" w:eastAsia="zh-CN" w:bidi="ar"/>
        </w:rPr>
        <w:t>5.事业收入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万元，为事业单位开展业务活动取得的收入。较2021年度决算数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本单是财政全额拨款单位,本单位没有事业收入。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kern w:val="2"/>
          <w:sz w:val="32"/>
          <w:szCs w:val="32"/>
          <w:highlight w:val="none"/>
          <w:lang w:val="en-US" w:eastAsia="zh-CN" w:bidi="ar"/>
        </w:rPr>
        <w:t>6.经营收入</w:t>
      </w:r>
      <w:r>
        <w:rPr>
          <w:rFonts w:hint="eastAsia" w:ascii="仿宋" w:hAnsi="仿宋" w:eastAsia="仿宋" w:cs="仿宋"/>
          <w:kern w:val="2"/>
          <w:sz w:val="32"/>
          <w:szCs w:val="32"/>
          <w:highlight w:val="none"/>
          <w:lang w:val="en-US" w:eastAsia="zh-CN" w:bidi="ar"/>
        </w:rPr>
        <w:t>0.00万,为事业单位在业务活动之外开展非独立核算经营活动取得的收入。较2021年度决算数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本单是财政全额拨款单位,本单位没有经营性收入。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kern w:val="2"/>
          <w:sz w:val="32"/>
          <w:szCs w:val="32"/>
          <w:highlight w:val="none"/>
          <w:lang w:val="en-US" w:eastAsia="zh-CN" w:bidi="ar"/>
        </w:rPr>
        <w:t>7.附属单位上缴收入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本单位无附属单位上缴收入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8.其他收入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万元,为预算单位在“财政拨款收入”“事业收入”“经营收入”之外取得的收入。较2021年度决算数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本单位没有其他收入。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9.使用非财政拨款结余</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万元,主要是所属事业单位在当年的“财政拨款收入”“事业收入”“经营收入”及“其他收入”不能保证其支出的情况下，使用以前年度积累的非财政拨款结余弥补本年度收支缺口的资金。较2021年度决算数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本单是财政全额拨款单位,本单位没有非财政拨款结余。</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10.上年结转和结余</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万元，为以前年度支出预算因客观条件变化未执行完毕、结转到本年度按有关规定继续使用的资金。较2021年度决算数</w:t>
      </w:r>
      <w:r>
        <w:rPr>
          <w:rFonts w:ascii="仿宋" w:hAnsi="仿宋" w:eastAsia="仿宋" w:cs="仿宋"/>
          <w:sz w:val="32"/>
          <w:u w:color="auto"/>
        </w:rPr>
        <w:t>减少189.34</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下降100.00%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w:t>
      </w:r>
      <w:r>
        <w:rPr>
          <w:rFonts w:hint="eastAsia" w:ascii="仿宋" w:hAnsi="仿宋" w:eastAsia="仿宋" w:cs="仿宋"/>
          <w:color w:val="auto"/>
          <w:kern w:val="2"/>
          <w:sz w:val="32"/>
          <w:szCs w:val="32"/>
          <w:highlight w:val="none"/>
          <w:lang w:val="en-US" w:eastAsia="zh-CN" w:bidi="ar"/>
        </w:rPr>
        <w:t>部分项目已在本年执行完毕，不需要结转至下年继续执行。</w:t>
      </w:r>
    </w:p>
    <w:p>
      <w:pPr>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5080000" cy="3171825"/>
            <wp:effectExtent l="4445" t="4445" r="20955" b="5080"/>
            <wp:docPr id="2" name="图表 2" title="{{img_js_srzc}}"/>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（二）本部门2022年度总支出</w:t>
      </w:r>
      <w:r>
        <w:rPr>
          <w:rFonts w:ascii="仿宋" w:hAnsi="仿宋" w:eastAsia="仿宋" w:cs="仿宋"/>
          <w:sz w:val="32"/>
          <w:u w:color="auto"/>
        </w:rPr>
        <w:t>1286.18</w:t>
      </w:r>
      <w:r>
        <w:rPr>
          <w:rFonts w:hint="eastAsia" w:ascii="仿宋" w:hAnsi="仿宋" w:eastAsia="仿宋" w:cs="仿宋"/>
          <w:sz w:val="32"/>
          <w:szCs w:val="32"/>
          <w:highlight w:val="none"/>
        </w:rPr>
        <w:t>万元，其中本年支出</w:t>
      </w:r>
      <w:r>
        <w:rPr>
          <w:rFonts w:ascii="仿宋" w:hAnsi="仿宋" w:eastAsia="仿宋" w:cs="仿宋"/>
          <w:sz w:val="32"/>
          <w:u w:color="auto"/>
        </w:rPr>
        <w:t>1286.18</w:t>
      </w:r>
      <w:r>
        <w:rPr>
          <w:rFonts w:hint="eastAsia" w:ascii="仿宋" w:hAnsi="仿宋" w:eastAsia="仿宋" w:cs="仿宋"/>
          <w:sz w:val="32"/>
          <w:szCs w:val="32"/>
          <w:highlight w:val="none"/>
        </w:rPr>
        <w:t>万元，较2021年度决算数</w:t>
      </w:r>
      <w:r>
        <w:rPr>
          <w:rFonts w:ascii="仿宋" w:hAnsi="仿宋" w:eastAsia="仿宋" w:cs="仿宋"/>
          <w:sz w:val="32"/>
          <w:u w:color="auto"/>
        </w:rPr>
        <w:t>减少176.29</w:t>
      </w:r>
      <w:r>
        <w:rPr>
          <w:rFonts w:hint="eastAsia" w:ascii="仿宋" w:hAnsi="仿宋" w:eastAsia="仿宋" w:cs="仿宋"/>
          <w:sz w:val="32"/>
          <w:szCs w:val="32"/>
          <w:highlight w:val="none"/>
        </w:rPr>
        <w:t>万元，</w:t>
      </w:r>
      <w:r>
        <w:rPr>
          <w:rFonts w:ascii="仿宋" w:hAnsi="仿宋" w:eastAsia="仿宋" w:cs="仿宋"/>
          <w:sz w:val="32"/>
          <w:u w:color="auto"/>
        </w:rPr>
        <w:t>下降12.05%</w:t>
      </w:r>
      <w:r>
        <w:rPr>
          <w:rFonts w:hint="eastAsia" w:ascii="仿宋" w:hAnsi="仿宋" w:eastAsia="仿宋" w:cs="仿宋"/>
          <w:sz w:val="32"/>
          <w:szCs w:val="32"/>
          <w:highlight w:val="none"/>
        </w:rPr>
        <w:t>。支出具体情况如下：</w:t>
      </w:r>
    </w:p>
    <w:p>
      <w:pPr>
        <w:keepNext w:val="0"/>
        <w:keepLines w:val="0"/>
        <w:widowControl w:val="0"/>
        <w:suppressLineNumbers w:val="0"/>
        <w:spacing w:before="0" w:beforeAutospacing="0" w:after="0" w:afterAutospacing="0"/>
        <w:ind w:left="0" w:right="0" w:firstLine="640" w:firstLineChars="200"/>
        <w:jc w:val="left"/>
        <w:rPr>
          <w:rFonts w:hint="default" w:ascii="仿宋" w:hAnsi="仿宋" w:eastAsia="仿宋" w:cs="仿宋"/>
          <w:color w:val="000000" w:themeColor="text1"/>
          <w:kern w:val="2"/>
          <w:sz w:val="32"/>
          <w:szCs w:val="32"/>
          <w:highlight w:val="none"/>
          <w:lang w:val="en-US" w:eastAsia="zh-CN" w:bidi="ar"/>
          <w14:textFill>
            <w14:solidFill>
              <w14:schemeClr w14:val="tx1"/>
            </w14:solidFill>
          </w14:textFill>
        </w:rPr>
      </w:pPr>
      <w:r>
        <w:rPr>
          <w:rFonts w:hint="eastAsia" w:ascii="仿宋" w:hAnsi="仿宋" w:eastAsia="仿宋" w:cs="仿宋"/>
          <w:sz w:val="32"/>
          <w:szCs w:val="32"/>
          <w:highlight w:val="none"/>
        </w:rPr>
        <w:t>1</w:t>
      </w:r>
      <w:r>
        <w:rPr>
          <w:rFonts w:ascii="仿宋" w:hAnsi="仿宋" w:eastAsia="仿宋" w:cs="仿宋"/>
          <w:sz w:val="32"/>
          <w:u w:color="auto"/>
        </w:rPr>
        <w:t>.</w:t>
      </w:r>
      <w:r>
        <w:rPr>
          <w:rFonts w:hint="eastAsia" w:ascii="仿宋" w:hAnsi="仿宋" w:eastAsia="仿宋" w:cs="仿宋"/>
          <w:sz w:val="32"/>
          <w:szCs w:val="32"/>
          <w:highlight w:val="none"/>
          <w:lang w:bidi="ar"/>
        </w:rPr>
        <w:t>一般公共服务支出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201</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12.76</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：学校职工活动经费（工会费）</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增加12.76</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增长100%</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主要原因是：2021年没有这项经费（没成有会费经费）。</w:t>
      </w:r>
    </w:p>
    <w:p>
      <w:pPr>
        <w:keepNext w:val="0"/>
        <w:keepLines w:val="0"/>
        <w:widowControl w:val="0"/>
        <w:suppressLineNumbers w:val="0"/>
        <w:spacing w:before="0" w:beforeAutospacing="0" w:after="0" w:afterAutospacing="0"/>
        <w:ind w:left="0" w:right="0" w:firstLine="640" w:firstLineChars="200"/>
        <w:jc w:val="left"/>
        <w:rPr>
          <w:rFonts w:hint="default" w:ascii="仿宋" w:hAnsi="仿宋" w:eastAsia="仿宋" w:cs="仿宋"/>
          <w:color w:val="000000" w:themeColor="text1"/>
          <w:kern w:val="2"/>
          <w:sz w:val="32"/>
          <w:szCs w:val="32"/>
          <w:highlight w:val="none"/>
          <w:lang w:val="en-US" w:eastAsia="zh-CN" w:bidi="ar"/>
          <w14:textFill>
            <w14:solidFill>
              <w14:schemeClr w14:val="tx1"/>
            </w14:solidFill>
          </w14:textFill>
        </w:rPr>
      </w:pPr>
      <w:r>
        <w:rPr>
          <w:rFonts w:hint="eastAsia" w:ascii="仿宋" w:hAnsi="仿宋" w:eastAsia="仿宋" w:cs="仿宋"/>
          <w:sz w:val="32"/>
          <w:szCs w:val="32"/>
          <w:highlight w:val="none"/>
        </w:rPr>
        <w:t>2</w:t>
      </w:r>
      <w:r>
        <w:rPr>
          <w:rFonts w:ascii="仿宋" w:hAnsi="仿宋" w:eastAsia="仿宋" w:cs="仿宋"/>
          <w:sz w:val="32"/>
          <w:u w:color="auto"/>
        </w:rPr>
        <w:t>.</w:t>
      </w:r>
      <w:r>
        <w:rPr>
          <w:rFonts w:hint="eastAsia" w:ascii="仿宋" w:hAnsi="仿宋" w:eastAsia="仿宋" w:cs="仿宋"/>
          <w:sz w:val="32"/>
          <w:szCs w:val="32"/>
          <w:highlight w:val="none"/>
          <w:lang w:bidi="ar"/>
        </w:rPr>
        <w:t>教育支出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205</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1008.53</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eastAsia="zh-CN"/>
        </w:rPr>
        <w:t>，</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：教师工资福利支出</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减少76.21</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下降7.03%</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主要原因是：本单位教职工人数减少了，2021年领工资人数68人，2022年是59人。</w:t>
      </w:r>
    </w:p>
    <w:p>
      <w:pPr>
        <w:keepNext w:val="0"/>
        <w:keepLines w:val="0"/>
        <w:widowControl w:val="0"/>
        <w:suppressLineNumbers w:val="0"/>
        <w:spacing w:before="0" w:beforeAutospacing="0" w:after="0" w:afterAutospacing="0"/>
        <w:ind w:left="0" w:right="0" w:firstLine="640" w:firstLineChars="200"/>
        <w:jc w:val="left"/>
        <w:rPr>
          <w:rFonts w:hint="default" w:ascii="仿宋" w:hAnsi="仿宋" w:eastAsia="仿宋" w:cs="仿宋"/>
          <w:sz w:val="32"/>
          <w:szCs w:val="32"/>
          <w:highlight w:val="none"/>
          <w:lang w:val="en-US"/>
        </w:rPr>
      </w:pPr>
      <w:r>
        <w:rPr>
          <w:rFonts w:hint="eastAsia" w:ascii="仿宋" w:hAnsi="仿宋" w:eastAsia="仿宋" w:cs="仿宋"/>
          <w:sz w:val="32"/>
          <w:szCs w:val="32"/>
          <w:highlight w:val="none"/>
        </w:rPr>
        <w:t>3</w:t>
      </w:r>
      <w:r>
        <w:rPr>
          <w:rFonts w:ascii="仿宋" w:hAnsi="仿宋" w:eastAsia="仿宋" w:cs="仿宋"/>
          <w:sz w:val="32"/>
          <w:u w:color="auto"/>
        </w:rPr>
        <w:t>.</w:t>
      </w:r>
      <w:r>
        <w:rPr>
          <w:rFonts w:hint="eastAsia" w:ascii="仿宋" w:hAnsi="仿宋" w:eastAsia="仿宋" w:cs="仿宋"/>
          <w:sz w:val="32"/>
          <w:szCs w:val="32"/>
          <w:highlight w:val="none"/>
          <w:lang w:bidi="ar"/>
        </w:rPr>
        <w:t>社会保障和就业支出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208</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81.18</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：缴教职工养老保险单位部分</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减少82.25</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下降50.33%</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主要原因是：2021年补缴2020年的五险,因此2022年比2021年数据少得多。</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pPr>
      <w:r>
        <w:rPr>
          <w:rFonts w:hint="eastAsia" w:ascii="仿宋" w:hAnsi="仿宋" w:eastAsia="仿宋" w:cs="仿宋"/>
          <w:sz w:val="32"/>
          <w:szCs w:val="32"/>
          <w:highlight w:val="none"/>
        </w:rPr>
        <w:t>4</w:t>
      </w:r>
      <w:r>
        <w:rPr>
          <w:rFonts w:ascii="仿宋" w:hAnsi="仿宋" w:eastAsia="仿宋" w:cs="仿宋"/>
          <w:sz w:val="32"/>
          <w:u w:color="auto"/>
        </w:rPr>
        <w:t>.</w:t>
      </w:r>
      <w:r>
        <w:rPr>
          <w:rFonts w:hint="eastAsia" w:ascii="仿宋" w:hAnsi="仿宋" w:eastAsia="仿宋" w:cs="仿宋"/>
          <w:sz w:val="32"/>
          <w:szCs w:val="32"/>
          <w:highlight w:val="none"/>
          <w:lang w:bidi="ar"/>
        </w:rPr>
        <w:t>住房保障支出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221</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70.74</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：缴本单位教职工住房公积金单位部分</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增加5.53</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增长8.48%</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主要原因是：工资提高了，住房公积金基数也提高了。</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rPr>
      </w:pPr>
      <w:r>
        <w:rPr>
          <w:rFonts w:hint="eastAsia" w:ascii="仿宋" w:hAnsi="仿宋" w:eastAsia="仿宋" w:cs="仿宋"/>
          <w:sz w:val="32"/>
          <w:szCs w:val="32"/>
          <w:highlight w:val="none"/>
        </w:rPr>
        <w:t>5</w:t>
      </w:r>
      <w:r>
        <w:rPr>
          <w:rFonts w:ascii="仿宋" w:hAnsi="仿宋" w:eastAsia="仿宋" w:cs="仿宋"/>
          <w:sz w:val="32"/>
          <w:u w:color="auto"/>
        </w:rPr>
        <w:t>.</w:t>
      </w:r>
      <w:r>
        <w:rPr>
          <w:rFonts w:hint="eastAsia" w:ascii="仿宋" w:hAnsi="仿宋" w:eastAsia="仿宋" w:cs="仿宋"/>
          <w:sz w:val="32"/>
          <w:szCs w:val="32"/>
          <w:highlight w:val="none"/>
          <w:lang w:bidi="ar"/>
        </w:rPr>
        <w:t>其他支出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229</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112.96</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eastAsia="zh-CN"/>
        </w:rPr>
        <w:t>，</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：缴本单位职工医疗</w:t>
      </w:r>
      <w:r>
        <w:rPr>
          <w:rFonts w:hint="eastAsia" w:ascii="宋体" w:hAnsi="宋体" w:eastAsia="宋体" w:cs="宋体"/>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lang w:eastAsia="zh-CN"/>
          <w14:textFill>
            <w14:solidFill>
              <w14:schemeClr w14:val="tx1"/>
            </w14:solidFill>
          </w14:textFill>
        </w:rPr>
        <w:t>工伤</w:t>
      </w:r>
      <w:r>
        <w:rPr>
          <w:rFonts w:hint="eastAsia" w:ascii="宋体" w:hAnsi="宋体" w:eastAsia="宋体" w:cs="宋体"/>
          <w:color w:val="000000" w:themeColor="text1"/>
          <w:sz w:val="32"/>
          <w:szCs w:val="32"/>
          <w:highlight w:val="none"/>
          <w:lang w:eastAsia="zh-CN"/>
          <w14:textFill>
            <w14:solidFill>
              <w14:schemeClr w14:val="tx1"/>
            </w14:solidFill>
          </w14:textFill>
        </w:rPr>
        <w:t>、失业保险</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减少36.14</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下降24.24%</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主要原因是：人员减少了，缴的数也减了。</w:t>
      </w:r>
    </w:p>
    <w:p>
      <w:pPr>
        <w:keepNext w:val="0"/>
        <w:keepLines w:val="0"/>
        <w:widowControl w:val="0"/>
        <w:suppressLineNumbers w:val="0"/>
        <w:spacing w:before="0" w:beforeAutospacing="0" w:after="0" w:afterAutospacing="0"/>
        <w:ind w:left="0" w:right="0" w:firstLine="620" w:firstLineChars="200"/>
        <w:jc w:val="left"/>
        <w:rPr>
          <w:rFonts w:hint="eastAsia" w:ascii="仿宋" w:hAnsi="仿宋" w:eastAsia="仿宋_GB2312" w:cs="仿宋"/>
          <w:sz w:val="32"/>
          <w:szCs w:val="32"/>
          <w:highlight w:val="none"/>
          <w:lang w:eastAsia="zh-CN" w:bidi="ar"/>
        </w:rPr>
      </w:pPr>
      <w:r>
        <w:rPr>
          <w:rFonts w:hint="default" w:ascii="仿宋_GB2312" w:hAnsi="微软雅黑" w:eastAsia="仿宋_GB2312" w:cs="仿宋_GB2312"/>
          <w:i w:val="0"/>
          <w:iCs w:val="0"/>
          <w:caps w:val="0"/>
          <w:color w:val="000000"/>
          <w:spacing w:val="0"/>
          <w:sz w:val="31"/>
          <w:szCs w:val="31"/>
          <w:highlight w:val="none"/>
          <w:shd w:val="clear" w:color="auto" w:fill="FFFFFF"/>
        </w:rPr>
        <w:t>结余分配</w:t>
      </w:r>
      <w:r>
        <w:rPr>
          <w:rFonts w:hint="eastAsia" w:ascii="仿宋_GB2312" w:hAnsi="微软雅黑" w:eastAsia="仿宋_GB2312" w:cs="仿宋_GB2312"/>
          <w:color w:val="000000"/>
          <w:sz w:val="31"/>
          <w:szCs w:val="31"/>
          <w:highlight w:val="none"/>
          <w:shd w:val="clear" w:color="auto" w:fill="FFFFFF"/>
        </w:rPr>
        <w:t>0.00</w:t>
      </w:r>
      <w:r>
        <w:rPr>
          <w:rFonts w:hint="default" w:ascii="仿宋_GB2312" w:hAnsi="微软雅黑" w:eastAsia="仿宋_GB2312" w:cs="仿宋_GB2312"/>
          <w:i w:val="0"/>
          <w:iCs w:val="0"/>
          <w:caps w:val="0"/>
          <w:color w:val="000000"/>
          <w:spacing w:val="0"/>
          <w:sz w:val="31"/>
          <w:szCs w:val="31"/>
          <w:highlight w:val="none"/>
          <w:shd w:val="clear" w:color="auto" w:fill="FFFFFF"/>
        </w:rPr>
        <w:t>万元，为事业单位按规定提取的专用结余、缴纳所得税和转入非财政拨款结余等。较202</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1</w:t>
      </w:r>
      <w:r>
        <w:rPr>
          <w:rFonts w:hint="default" w:ascii="仿宋_GB2312" w:hAnsi="微软雅黑" w:eastAsia="仿宋_GB2312" w:cs="仿宋_GB2312"/>
          <w:i w:val="0"/>
          <w:iCs w:val="0"/>
          <w:caps w:val="0"/>
          <w:color w:val="000000"/>
          <w:spacing w:val="0"/>
          <w:sz w:val="31"/>
          <w:szCs w:val="31"/>
          <w:highlight w:val="none"/>
          <w:shd w:val="clear" w:color="auto" w:fill="FFFFFF"/>
        </w:rPr>
        <w:t>年决算</w:t>
      </w:r>
      <w:r>
        <w:rPr>
          <w:rFonts w:hint="eastAsia" w:ascii="仿宋_GB2312" w:hAnsi="微软雅黑" w:eastAsia="仿宋_GB2312" w:cs="仿宋_GB2312"/>
          <w:color w:val="000000"/>
          <w:sz w:val="31"/>
          <w:szCs w:val="31"/>
          <w:highlight w:val="none"/>
          <w:shd w:val="clear" w:color="auto" w:fill="FFFFFF"/>
        </w:rPr>
        <w:t>0.00</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w:t>
      </w:r>
      <w:r>
        <w:rPr>
          <w:rFonts w:hint="eastAsia" w:ascii="仿宋_GB2312" w:hAnsi="微软雅黑" w:eastAsia="仿宋_GB2312" w:cs="仿宋_GB2312"/>
          <w:color w:val="000000"/>
          <w:sz w:val="31"/>
          <w:szCs w:val="31"/>
          <w:highlight w:val="none"/>
          <w:shd w:val="clear" w:color="auto" w:fill="FFFFFF"/>
        </w:rPr>
        <w:t>增加0.00</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_GB2312" w:hAnsi="微软雅黑" w:eastAsia="仿宋_GB2312" w:cs="仿宋_GB2312"/>
          <w:color w:val="000000"/>
          <w:sz w:val="31"/>
          <w:szCs w:val="31"/>
          <w:highlight w:val="none"/>
          <w:shd w:val="clear" w:color="auto" w:fill="FFFFFF"/>
        </w:rPr>
        <w:t>增长0%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default" w:ascii="仿宋_GB2312" w:hAnsi="微软雅黑" w:eastAsia="仿宋_GB2312" w:cs="仿宋_GB2312"/>
          <w:i w:val="0"/>
          <w:iCs w:val="0"/>
          <w:caps w:val="0"/>
          <w:color w:val="000000" w:themeColor="text1"/>
          <w:spacing w:val="0"/>
          <w:sz w:val="31"/>
          <w:szCs w:val="31"/>
          <w:highlight w:val="none"/>
          <w:shd w:val="clear" w:color="auto" w:fill="FFFFFF"/>
          <w14:textFill>
            <w14:solidFill>
              <w14:schemeClr w14:val="tx1"/>
            </w14:solidFill>
          </w14:textFill>
        </w:rPr>
        <w:t>主要原因是</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：国库集中支付，没有结</w:t>
      </w:r>
      <w:r>
        <w:rPr>
          <w:rFonts w:hint="default" w:ascii="仿宋_GB2312" w:hAnsi="微软雅黑" w:eastAsia="仿宋_GB2312" w:cs="仿宋_GB2312"/>
          <w:i w:val="0"/>
          <w:iCs w:val="0"/>
          <w:caps w:val="0"/>
          <w:color w:val="000000"/>
          <w:spacing w:val="0"/>
          <w:sz w:val="31"/>
          <w:szCs w:val="31"/>
          <w:highlight w:val="none"/>
          <w:shd w:val="clear" w:color="auto" w:fill="FFFFFF"/>
        </w:rPr>
        <w:t>余分配</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年末结转和结余</w:t>
      </w:r>
      <w:r>
        <w:rPr>
          <w:rFonts w:ascii="仿宋" w:hAnsi="仿宋" w:eastAsia="仿宋" w:cs="仿宋"/>
          <w:sz w:val="32"/>
          <w:u w:color="auto"/>
        </w:rPr>
        <w:t>0.00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为本年度或以前年度预算安排、因客观条件发生变化无法按原计划实施，需要延迟到以后年度按有关规定继续使用的资金</w:t>
      </w:r>
      <w:r>
        <w:rPr>
          <w:rFonts w:hint="eastAsia" w:ascii="仿宋" w:hAnsi="仿宋" w:eastAsia="仿宋" w:cs="仿宋"/>
          <w:sz w:val="32"/>
          <w:szCs w:val="32"/>
          <w:highlight w:val="none"/>
        </w:rPr>
        <w:t>。较2021年度决算数</w:t>
      </w:r>
      <w:r>
        <w:rPr>
          <w:rFonts w:ascii="仿宋" w:hAnsi="仿宋" w:eastAsia="仿宋" w:cs="仿宋"/>
          <w:sz w:val="32"/>
          <w:u w:color="auto"/>
        </w:rPr>
        <w:t>增加0.00</w:t>
      </w:r>
      <w:r>
        <w:rPr>
          <w:rFonts w:hint="eastAsia" w:ascii="仿宋" w:hAnsi="仿宋" w:eastAsia="仿宋" w:cs="仿宋"/>
          <w:sz w:val="32"/>
          <w:szCs w:val="32"/>
          <w:highlight w:val="none"/>
        </w:rPr>
        <w:t>万元，</w:t>
      </w:r>
      <w:r>
        <w:rPr>
          <w:rFonts w:ascii="仿宋" w:hAnsi="仿宋" w:eastAsia="仿宋" w:cs="仿宋"/>
          <w:sz w:val="32"/>
          <w:u w:color="auto"/>
        </w:rPr>
        <w:t>增长0%</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主要原因是：国库集中支付，没有结</w:t>
      </w:r>
      <w:r>
        <w:rPr>
          <w:rFonts w:hint="default" w:ascii="仿宋_GB2312" w:hAnsi="微软雅黑" w:eastAsia="仿宋_GB2312" w:cs="仿宋_GB2312"/>
          <w:i w:val="0"/>
          <w:iCs w:val="0"/>
          <w:caps w:val="0"/>
          <w:color w:val="000000"/>
          <w:spacing w:val="0"/>
          <w:sz w:val="31"/>
          <w:szCs w:val="31"/>
          <w:highlight w:val="none"/>
          <w:shd w:val="clear" w:color="auto" w:fill="FFFFFF"/>
        </w:rPr>
        <w:t>余分配</w:t>
      </w:r>
    </w:p>
    <w:p>
      <w:pPr>
        <w:ind w:firstLine="640" w:firstLineChars="200"/>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32935" cy="2679700"/>
            <wp:effectExtent l="4445" t="4445" r="20320" b="20955"/>
            <wp:docPr id="3" name="图表 3" title="{{img_zcjs}}"/>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二、2022 年度</w:t>
      </w:r>
      <w:bookmarkStart w:id="2" w:name="OLE_LINK1"/>
      <w:r>
        <w:rPr>
          <w:rFonts w:hint="eastAsia" w:ascii="黑体" w:hAnsi="黑体" w:eastAsia="黑体" w:cs="黑体"/>
          <w:sz w:val="32"/>
          <w:szCs w:val="32"/>
          <w:highlight w:val="none"/>
        </w:rPr>
        <w:t>一般公共预算财政拨款支出决算情况</w:t>
      </w:r>
      <w:bookmarkEnd w:id="2"/>
    </w:p>
    <w:p>
      <w:pPr>
        <w:ind w:firstLine="640" w:firstLineChars="200"/>
        <w:jc w:val="left"/>
        <w:rPr>
          <w:rFonts w:ascii="仿宋" w:hAnsi="仿宋" w:eastAsia="仿宋" w:cs="仿宋"/>
          <w:sz w:val="32"/>
          <w:szCs w:val="32"/>
          <w:highlight w:val="none"/>
        </w:rPr>
      </w:pPr>
      <w:r>
        <w:rPr>
          <w:rFonts w:hint="default" w:ascii="仿宋" w:hAnsi="仿宋" w:eastAsia="仿宋" w:cs="仿宋"/>
          <w:sz w:val="32"/>
          <w:szCs w:val="32"/>
          <w:highlight w:val="none"/>
          <w:lang w:val="en"/>
        </w:rPr>
        <w:t>环江毛南族自治县水源镇初级中学</w:t>
      </w:r>
      <w:r>
        <w:rPr>
          <w:rFonts w:hint="eastAsia" w:ascii="仿宋" w:hAnsi="仿宋" w:eastAsia="仿宋" w:cs="仿宋"/>
          <w:sz w:val="32"/>
          <w:szCs w:val="32"/>
          <w:highlight w:val="none"/>
        </w:rPr>
        <w:t>2022年度一般公共预算财政拨款支出</w:t>
      </w:r>
      <w:r>
        <w:rPr>
          <w:rFonts w:ascii="仿宋" w:hAnsi="仿宋" w:eastAsia="仿宋" w:cs="仿宋"/>
          <w:sz w:val="32"/>
          <w:u w:color="auto"/>
        </w:rPr>
        <w:t>1286.18</w:t>
      </w:r>
      <w:r>
        <w:rPr>
          <w:rFonts w:hint="eastAsia" w:ascii="仿宋" w:hAnsi="仿宋" w:eastAsia="仿宋" w:cs="仿宋"/>
          <w:sz w:val="32"/>
          <w:szCs w:val="32"/>
          <w:highlight w:val="none"/>
        </w:rPr>
        <w:t>万元，较2021年度决算数</w:t>
      </w:r>
      <w:r>
        <w:rPr>
          <w:rFonts w:ascii="仿宋" w:hAnsi="仿宋" w:eastAsia="仿宋" w:cs="仿宋"/>
          <w:sz w:val="32"/>
          <w:u w:color="auto"/>
        </w:rPr>
        <w:t>减少176.29</w:t>
      </w:r>
      <w:r>
        <w:rPr>
          <w:rFonts w:hint="eastAsia" w:ascii="仿宋" w:hAnsi="仿宋" w:eastAsia="仿宋" w:cs="仿宋"/>
          <w:sz w:val="32"/>
          <w:szCs w:val="32"/>
          <w:highlight w:val="none"/>
        </w:rPr>
        <w:t>万元，</w:t>
      </w:r>
      <w:r>
        <w:rPr>
          <w:rFonts w:ascii="仿宋" w:hAnsi="仿宋" w:eastAsia="仿宋" w:cs="仿宋"/>
          <w:sz w:val="32"/>
          <w:u w:color="auto"/>
        </w:rPr>
        <w:t>下降12.05%</w:t>
      </w:r>
      <w:r>
        <w:rPr>
          <w:rFonts w:hint="eastAsia" w:ascii="仿宋" w:hAnsi="仿宋" w:eastAsia="仿宋" w:cs="仿宋"/>
          <w:sz w:val="32"/>
          <w:szCs w:val="32"/>
          <w:highlight w:val="none"/>
        </w:rPr>
        <w:t>。其中：基本支出</w:t>
      </w:r>
      <w:r>
        <w:rPr>
          <w:rFonts w:ascii="仿宋" w:hAnsi="仿宋" w:eastAsia="仿宋" w:cs="仿宋"/>
          <w:sz w:val="32"/>
          <w:u w:color="auto"/>
        </w:rPr>
        <w:t>1106.08</w:t>
      </w:r>
      <w:r>
        <w:rPr>
          <w:rFonts w:hint="eastAsia" w:ascii="仿宋" w:hAnsi="仿宋" w:eastAsia="仿宋" w:cs="仿宋"/>
          <w:sz w:val="32"/>
          <w:szCs w:val="32"/>
          <w:highlight w:val="none"/>
        </w:rPr>
        <w:t>万元，项目支出</w:t>
      </w:r>
      <w:r>
        <w:rPr>
          <w:rFonts w:ascii="仿宋" w:hAnsi="仿宋" w:eastAsia="仿宋" w:cs="仿宋"/>
          <w:sz w:val="32"/>
          <w:u w:color="auto"/>
        </w:rPr>
        <w:t>180.10</w:t>
      </w:r>
      <w:r>
        <w:rPr>
          <w:rFonts w:hint="eastAsia" w:ascii="仿宋" w:hAnsi="仿宋" w:eastAsia="仿宋" w:cs="仿宋"/>
          <w:sz w:val="32"/>
          <w:szCs w:val="32"/>
          <w:highlight w:val="none"/>
        </w:rPr>
        <w:t>万元。</w:t>
      </w:r>
    </w:p>
    <w:p>
      <w:pPr>
        <w:ind w:firstLine="640" w:firstLineChars="200"/>
        <w:jc w:val="left"/>
        <w:rPr>
          <w:rFonts w:ascii="仿宋" w:hAnsi="仿宋" w:eastAsia="仿宋"/>
          <w:sz w:val="32"/>
          <w:szCs w:val="32"/>
          <w:highlight w:val="none"/>
        </w:rPr>
      </w:pPr>
      <w:r>
        <w:rPr>
          <w:rFonts w:hint="default" w:ascii="仿宋" w:hAnsi="仿宋" w:eastAsia="仿宋" w:cs="仿宋"/>
          <w:sz w:val="32"/>
          <w:szCs w:val="32"/>
          <w:highlight w:val="none"/>
          <w:lang w:val="en"/>
        </w:rPr>
        <w:t>环江毛南族自治县水源镇初级中学</w:t>
      </w:r>
      <w:r>
        <w:rPr>
          <w:rFonts w:hint="eastAsia" w:ascii="仿宋" w:hAnsi="仿宋" w:eastAsia="仿宋" w:cs="仿宋"/>
          <w:sz w:val="32"/>
          <w:szCs w:val="32"/>
          <w:highlight w:val="none"/>
        </w:rPr>
        <w:t>2022 年度一般公共预算财政拨款支出年初预算为</w:t>
      </w:r>
      <w:r>
        <w:rPr>
          <w:rFonts w:ascii="仿宋" w:hAnsi="仿宋" w:eastAsia="仿宋" w:cs="仿宋"/>
          <w:sz w:val="32"/>
          <w:u w:color="auto"/>
        </w:rPr>
        <w:t>928.51</w:t>
      </w:r>
      <w:r>
        <w:rPr>
          <w:rFonts w:hint="eastAsia" w:ascii="仿宋" w:hAnsi="仿宋" w:eastAsia="仿宋" w:cs="仿宋"/>
          <w:sz w:val="32"/>
          <w:szCs w:val="32"/>
          <w:highlight w:val="none"/>
        </w:rPr>
        <w:t>万元，支出决算为</w:t>
      </w:r>
      <w:r>
        <w:rPr>
          <w:rFonts w:ascii="仿宋" w:hAnsi="仿宋" w:eastAsia="仿宋" w:cs="仿宋"/>
          <w:sz w:val="32"/>
          <w:u w:color="auto"/>
        </w:rPr>
        <w:t>1286.18</w:t>
      </w:r>
      <w:r>
        <w:rPr>
          <w:rFonts w:hint="eastAsia" w:ascii="仿宋" w:hAnsi="仿宋" w:eastAsia="仿宋" w:cs="仿宋"/>
          <w:sz w:val="32"/>
          <w:szCs w:val="32"/>
          <w:highlight w:val="none"/>
        </w:rPr>
        <w:t>万元，完成年初预算的</w:t>
      </w:r>
      <w:r>
        <w:rPr>
          <w:rFonts w:ascii="仿宋" w:hAnsi="仿宋" w:eastAsia="仿宋" w:cs="仿宋"/>
          <w:sz w:val="32"/>
          <w:u w:color="auto"/>
        </w:rPr>
        <w:t>138.52%</w:t>
      </w:r>
      <w:r>
        <w:rPr>
          <w:rFonts w:hint="eastAsia" w:ascii="仿宋" w:hAnsi="仿宋" w:eastAsia="仿宋" w:cs="仿宋"/>
          <w:sz w:val="32"/>
          <w:szCs w:val="32"/>
          <w:highlight w:val="none"/>
        </w:rPr>
        <w:t>。</w:t>
      </w:r>
      <w:bookmarkStart w:id="3" w:name="OLE_LINK2"/>
      <w:bookmarkEnd w:id="3"/>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一般公共服务支出</w:t>
      </w:r>
      <w:r>
        <w:rPr>
          <w:rFonts w:ascii="仿宋" w:hAnsi="仿宋" w:eastAsia="仿宋"/>
          <w:sz w:val="32"/>
          <w:u w:color="auto"/>
        </w:rPr>
        <w:t>（201</w:t>
      </w:r>
      <w:r>
        <w:rPr>
          <w:rFonts w:hint="eastAsia" w:ascii="仿宋" w:hAnsi="仿宋" w:eastAsia="仿宋"/>
          <w:sz w:val="32"/>
          <w:szCs w:val="32"/>
          <w:highlight w:val="none"/>
        </w:rPr>
        <w:t>类）年初预算为</w:t>
      </w:r>
      <w:r>
        <w:rPr>
          <w:rFonts w:ascii="仿宋" w:hAnsi="仿宋" w:eastAsia="仿宋"/>
          <w:sz w:val="32"/>
          <w:szCs w:val="32"/>
          <w:highlight w:val="none"/>
        </w:rPr>
        <w:t>12.76</w:t>
      </w:r>
      <w:r>
        <w:rPr>
          <w:rFonts w:hint="eastAsia" w:ascii="仿宋" w:hAnsi="仿宋" w:eastAsia="仿宋"/>
          <w:sz w:val="32"/>
          <w:szCs w:val="32"/>
          <w:highlight w:val="none"/>
        </w:rPr>
        <w:t>万元，支出决算为</w:t>
      </w:r>
      <w:r>
        <w:rPr>
          <w:rFonts w:ascii="仿宋" w:hAnsi="仿宋" w:eastAsia="仿宋"/>
          <w:sz w:val="32"/>
          <w:szCs w:val="32"/>
          <w:highlight w:val="none"/>
        </w:rPr>
        <w:t>12.76</w:t>
      </w:r>
      <w:r>
        <w:rPr>
          <w:rFonts w:hint="eastAsia" w:ascii="仿宋" w:hAnsi="仿宋" w:eastAsia="仿宋"/>
          <w:sz w:val="32"/>
          <w:szCs w:val="32"/>
          <w:highlight w:val="none"/>
        </w:rPr>
        <w:t>万元，完成年初预算的</w:t>
      </w:r>
      <w:r>
        <w:rPr>
          <w:rFonts w:ascii="仿宋" w:hAnsi="仿宋" w:eastAsia="仿宋"/>
          <w:sz w:val="32"/>
          <w:szCs w:val="32"/>
          <w:highlight w:val="none"/>
        </w:rPr>
        <w:t>100.00%</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原因是：无差</w:t>
      </w:r>
      <w:r>
        <w:rPr>
          <w:rFonts w:hint="eastAsia" w:ascii="仿宋" w:hAnsi="仿宋" w:eastAsia="仿宋"/>
          <w:color w:val="000000" w:themeColor="text1"/>
          <w:sz w:val="32"/>
          <w:szCs w:val="32"/>
          <w:highlight w:val="none"/>
          <w14:textFill>
            <w14:solidFill>
              <w14:schemeClr w14:val="tx1"/>
            </w14:solidFill>
          </w14:textFill>
        </w:rPr>
        <w:t>异</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2012999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其他群众团体事务支出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12.76</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12.76</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000000" w:themeColor="text1"/>
                <w:sz w:val="21"/>
                <w:szCs w:val="21"/>
                <w:highlight w:val="none"/>
                <w:lang w:eastAsia="zh-CN"/>
                <w14:textFill>
                  <w14:solidFill>
                    <w14:schemeClr w14:val="tx1"/>
                  </w14:solidFill>
                </w14:textFill>
              </w:rPr>
              <w:t>学校职工活动经费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12.76</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12.76</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6"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教育支出</w:t>
      </w:r>
      <w:r>
        <w:rPr>
          <w:rFonts w:ascii="仿宋" w:hAnsi="仿宋" w:eastAsia="仿宋"/>
          <w:sz w:val="32"/>
          <w:u w:color="auto"/>
        </w:rPr>
        <w:t>（205</w:t>
      </w:r>
      <w:r>
        <w:rPr>
          <w:rFonts w:hint="eastAsia" w:ascii="仿宋" w:hAnsi="仿宋" w:eastAsia="仿宋"/>
          <w:sz w:val="32"/>
          <w:szCs w:val="32"/>
          <w:highlight w:val="none"/>
        </w:rPr>
        <w:t>类）年初预算为</w:t>
      </w:r>
      <w:r>
        <w:rPr>
          <w:rFonts w:ascii="仿宋" w:hAnsi="仿宋" w:eastAsia="仿宋"/>
          <w:sz w:val="32"/>
          <w:szCs w:val="32"/>
          <w:highlight w:val="none"/>
        </w:rPr>
        <w:t>737.04</w:t>
      </w:r>
      <w:r>
        <w:rPr>
          <w:rFonts w:hint="eastAsia" w:ascii="仿宋" w:hAnsi="仿宋" w:eastAsia="仿宋"/>
          <w:sz w:val="32"/>
          <w:szCs w:val="32"/>
          <w:highlight w:val="none"/>
        </w:rPr>
        <w:t>万元，支出决算为</w:t>
      </w:r>
      <w:r>
        <w:rPr>
          <w:rFonts w:ascii="仿宋" w:hAnsi="仿宋" w:eastAsia="仿宋"/>
          <w:sz w:val="32"/>
          <w:szCs w:val="32"/>
          <w:highlight w:val="none"/>
        </w:rPr>
        <w:t>1008.53</w:t>
      </w:r>
      <w:r>
        <w:rPr>
          <w:rFonts w:hint="eastAsia" w:ascii="仿宋" w:hAnsi="仿宋" w:eastAsia="仿宋"/>
          <w:sz w:val="32"/>
          <w:szCs w:val="32"/>
          <w:highlight w:val="none"/>
        </w:rPr>
        <w:t>万元，完成年初预算的</w:t>
      </w:r>
      <w:r>
        <w:rPr>
          <w:rFonts w:ascii="仿宋" w:hAnsi="仿宋" w:eastAsia="仿宋"/>
          <w:sz w:val="32"/>
          <w:szCs w:val="32"/>
          <w:highlight w:val="none"/>
        </w:rPr>
        <w:t>136.84%</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原因是：年内教师工资提高了。</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2050203</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初中教育</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737.04</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965.29</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130.97%</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职工工资福利</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年内工资提高了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2050299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其他普通教育支出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42.30</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特岗老师的工资</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年初没有做特岗教师工资预算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2050999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其他教育费附加安排的支出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0.95</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9月份新来老师五险</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年初没有做预算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737.04</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1008.53</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8"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社会保障和就业支出</w:t>
      </w:r>
      <w:r>
        <w:rPr>
          <w:rFonts w:ascii="仿宋" w:hAnsi="仿宋" w:eastAsia="仿宋"/>
          <w:sz w:val="32"/>
          <w:u w:color="auto"/>
        </w:rPr>
        <w:t>（208</w:t>
      </w:r>
      <w:r>
        <w:rPr>
          <w:rFonts w:hint="eastAsia" w:ascii="仿宋" w:hAnsi="仿宋" w:eastAsia="仿宋"/>
          <w:sz w:val="32"/>
          <w:szCs w:val="32"/>
          <w:highlight w:val="none"/>
        </w:rPr>
        <w:t>类）年初预算为</w:t>
      </w:r>
      <w:r>
        <w:rPr>
          <w:rFonts w:ascii="仿宋" w:hAnsi="仿宋" w:eastAsia="仿宋"/>
          <w:sz w:val="32"/>
          <w:szCs w:val="32"/>
          <w:highlight w:val="none"/>
        </w:rPr>
        <w:t>102.12</w:t>
      </w:r>
      <w:r>
        <w:rPr>
          <w:rFonts w:hint="eastAsia" w:ascii="仿宋" w:hAnsi="仿宋" w:eastAsia="仿宋"/>
          <w:sz w:val="32"/>
          <w:szCs w:val="32"/>
          <w:highlight w:val="none"/>
        </w:rPr>
        <w:t>万元，支出决算为</w:t>
      </w:r>
      <w:r>
        <w:rPr>
          <w:rFonts w:ascii="仿宋" w:hAnsi="仿宋" w:eastAsia="仿宋"/>
          <w:sz w:val="32"/>
          <w:szCs w:val="32"/>
          <w:highlight w:val="none"/>
        </w:rPr>
        <w:t>81.18</w:t>
      </w:r>
      <w:r>
        <w:rPr>
          <w:rFonts w:hint="eastAsia" w:ascii="仿宋" w:hAnsi="仿宋" w:eastAsia="仿宋"/>
          <w:sz w:val="32"/>
          <w:szCs w:val="32"/>
          <w:highlight w:val="none"/>
        </w:rPr>
        <w:t>万元，完成年初预算的</w:t>
      </w:r>
      <w:r>
        <w:rPr>
          <w:rFonts w:ascii="仿宋" w:hAnsi="仿宋" w:eastAsia="仿宋"/>
          <w:sz w:val="32"/>
          <w:szCs w:val="32"/>
          <w:highlight w:val="none"/>
        </w:rPr>
        <w:t>79.49%</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宋体" w:hAnsi="宋体" w:eastAsia="宋体" w:cs="宋体"/>
          <w:i w:val="0"/>
          <w:iCs w:val="0"/>
          <w:color w:val="auto"/>
          <w:sz w:val="28"/>
          <w:szCs w:val="28"/>
          <w:highlight w:val="none"/>
          <w:u w:val="none"/>
          <w:lang w:val="en-US" w:eastAsia="zh-CN"/>
        </w:rPr>
        <w:t>年内教职工人数减少了。</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2080505</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机关事业单位基本养老保险缴费支出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102.12</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81.18</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79.49%</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主要用于缴单位职工养老保险单位部分</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年内教职工人数减少了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102.12</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81.18</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2663825"/>
            <wp:effectExtent l="4445" t="4445" r="16510" b="17780"/>
            <wp:docPr id="10"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sz w:val="28"/>
          <w:szCs w:val="28"/>
          <w:highlight w:val="none"/>
          <w:lang w:val="en-US" w:eastAsia="zh-CN"/>
        </w:rPr>
      </w:pPr>
      <w:r>
        <w:rPr>
          <w:rFonts w:hint="eastAsia" w:ascii="仿宋" w:hAnsi="仿宋" w:eastAsia="仿宋"/>
          <w:sz w:val="32"/>
          <w:szCs w:val="32"/>
          <w:highlight w:val="none"/>
        </w:rPr>
        <w:t>住房保障支出</w:t>
      </w:r>
      <w:r>
        <w:rPr>
          <w:rFonts w:ascii="仿宋" w:hAnsi="仿宋" w:eastAsia="仿宋"/>
          <w:sz w:val="32"/>
          <w:u w:color="auto"/>
        </w:rPr>
        <w:t>（221</w:t>
      </w:r>
      <w:r>
        <w:rPr>
          <w:rFonts w:hint="eastAsia" w:ascii="仿宋" w:hAnsi="仿宋" w:eastAsia="仿宋"/>
          <w:sz w:val="32"/>
          <w:szCs w:val="32"/>
          <w:highlight w:val="none"/>
        </w:rPr>
        <w:t>类）年初预算为</w:t>
      </w:r>
      <w:r>
        <w:rPr>
          <w:rFonts w:ascii="仿宋" w:hAnsi="仿宋" w:eastAsia="仿宋"/>
          <w:sz w:val="32"/>
          <w:szCs w:val="32"/>
          <w:highlight w:val="none"/>
        </w:rPr>
        <w:t>76.59</w:t>
      </w:r>
      <w:r>
        <w:rPr>
          <w:rFonts w:hint="eastAsia" w:ascii="仿宋" w:hAnsi="仿宋" w:eastAsia="仿宋"/>
          <w:sz w:val="32"/>
          <w:szCs w:val="32"/>
          <w:highlight w:val="none"/>
        </w:rPr>
        <w:t>万元，支出决算为</w:t>
      </w:r>
      <w:r>
        <w:rPr>
          <w:rFonts w:ascii="仿宋" w:hAnsi="仿宋" w:eastAsia="仿宋"/>
          <w:sz w:val="32"/>
          <w:szCs w:val="32"/>
          <w:highlight w:val="none"/>
        </w:rPr>
        <w:t>70.74</w:t>
      </w:r>
      <w:r>
        <w:rPr>
          <w:rFonts w:hint="eastAsia" w:ascii="仿宋" w:hAnsi="仿宋" w:eastAsia="仿宋"/>
          <w:sz w:val="32"/>
          <w:szCs w:val="32"/>
          <w:highlight w:val="none"/>
        </w:rPr>
        <w:t>万元，完成年初预算的</w:t>
      </w:r>
      <w:r>
        <w:rPr>
          <w:rFonts w:ascii="仿宋" w:hAnsi="仿宋" w:eastAsia="仿宋"/>
          <w:sz w:val="32"/>
          <w:szCs w:val="32"/>
          <w:highlight w:val="none"/>
        </w:rPr>
        <w:t>92.36%</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宋体" w:hAnsi="宋体" w:eastAsia="宋体" w:cs="宋体"/>
          <w:i w:val="0"/>
          <w:iCs w:val="0"/>
          <w:color w:val="auto"/>
          <w:sz w:val="28"/>
          <w:szCs w:val="28"/>
          <w:highlight w:val="none"/>
          <w:u w:val="none"/>
          <w:lang w:val="en-US" w:eastAsia="zh-CN"/>
        </w:rPr>
        <w:t>年内教职工人数减少了。</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2210201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住房公积金</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76.59</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70.74</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92.36%</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缴本单位教职工住房公积金单位部分</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年内教职工人数减少了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76.59</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70.74</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both"/>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129280"/>
            <wp:effectExtent l="4445" t="4445" r="16510" b="9525"/>
            <wp:docPr id="12"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其他支出</w:t>
      </w:r>
      <w:r>
        <w:rPr>
          <w:rFonts w:ascii="仿宋" w:hAnsi="仿宋" w:eastAsia="仿宋"/>
          <w:sz w:val="32"/>
          <w:u w:color="auto"/>
        </w:rPr>
        <w:t>（229</w:t>
      </w:r>
      <w:r>
        <w:rPr>
          <w:rFonts w:hint="eastAsia" w:ascii="仿宋" w:hAnsi="仿宋" w:eastAsia="仿宋"/>
          <w:sz w:val="32"/>
          <w:szCs w:val="32"/>
          <w:highlight w:val="none"/>
        </w:rPr>
        <w:t>类）年初预算为</w:t>
      </w:r>
      <w:r>
        <w:rPr>
          <w:rFonts w:ascii="仿宋" w:hAnsi="仿宋" w:eastAsia="仿宋"/>
          <w:sz w:val="32"/>
          <w:szCs w:val="32"/>
          <w:highlight w:val="none"/>
        </w:rPr>
        <w:t>0.00</w:t>
      </w:r>
      <w:r>
        <w:rPr>
          <w:rFonts w:hint="eastAsia" w:ascii="仿宋" w:hAnsi="仿宋" w:eastAsia="仿宋"/>
          <w:sz w:val="32"/>
          <w:szCs w:val="32"/>
          <w:highlight w:val="none"/>
        </w:rPr>
        <w:t>万元，支出决算为</w:t>
      </w:r>
      <w:r>
        <w:rPr>
          <w:rFonts w:ascii="仿宋" w:hAnsi="仿宋" w:eastAsia="仿宋"/>
          <w:sz w:val="32"/>
          <w:szCs w:val="32"/>
          <w:highlight w:val="none"/>
        </w:rPr>
        <w:t>112.96</w:t>
      </w:r>
      <w:r>
        <w:rPr>
          <w:rFonts w:hint="eastAsia" w:ascii="仿宋" w:hAnsi="仿宋" w:eastAsia="仿宋"/>
          <w:sz w:val="32"/>
          <w:szCs w:val="32"/>
          <w:highlight w:val="none"/>
        </w:rPr>
        <w:t>万元，完成年初预算的</w:t>
      </w:r>
      <w:r>
        <w:rPr>
          <w:rFonts w:ascii="仿宋" w:hAnsi="仿宋" w:eastAsia="仿宋"/>
          <w:sz w:val="32"/>
          <w:szCs w:val="32"/>
          <w:highlight w:val="none"/>
        </w:rPr>
        <w:t>100.00%</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原因是：2022年年中执行政府绩效考评奖，新政策年初没有做预算</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2299999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112.96</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21"/>
                <w:szCs w:val="21"/>
                <w:highlight w:val="none"/>
                <w:u w:val="none"/>
                <w:lang w:val="en-US" w:eastAsia="zh-CN"/>
              </w:rPr>
              <w:t>发放职工</w:t>
            </w:r>
            <w:r>
              <w:rPr>
                <w:rFonts w:hint="eastAsia" w:ascii="仿宋" w:hAnsi="仿宋" w:eastAsia="仿宋"/>
                <w:color w:val="000000" w:themeColor="text1"/>
                <w:sz w:val="21"/>
                <w:szCs w:val="21"/>
                <w:highlight w:val="none"/>
                <w:lang w:val="en-US" w:eastAsia="zh-CN"/>
                <w14:textFill>
                  <w14:solidFill>
                    <w14:schemeClr w14:val="tx1"/>
                  </w14:solidFill>
                </w14:textFill>
              </w:rPr>
              <w:t>政府绩效考评奖</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val="0"/>
              <w:numPr>
                <w:ilvl w:val="0"/>
                <w:numId w:val="0"/>
              </w:numPr>
              <w:suppressLineNumbers w:val="0"/>
              <w:spacing w:before="0" w:beforeAutospacing="0" w:after="0" w:afterAutospacing="0"/>
              <w:ind w:left="420" w:leftChars="0" w:right="0" w:rightChars="0"/>
              <w:jc w:val="left"/>
              <w:rPr>
                <w:rFonts w:hint="eastAsia" w:eastAsia="仿宋"/>
                <w:color w:val="FF0000"/>
                <w:highlight w:val="none"/>
                <w:lang w:val="en-US" w:eastAsia="zh-CN"/>
              </w:rPr>
            </w:pPr>
            <w:r>
              <w:rPr>
                <w:rFonts w:hint="eastAsia" w:ascii="仿宋" w:hAnsi="仿宋" w:eastAsia="仿宋"/>
                <w:color w:val="000000" w:themeColor="text1"/>
                <w:sz w:val="21"/>
                <w:szCs w:val="21"/>
                <w:highlight w:val="none"/>
                <w:lang w:val="en-US" w:eastAsia="zh-CN"/>
                <w14:textFill>
                  <w14:solidFill>
                    <w14:schemeClr w14:val="tx1"/>
                  </w14:solidFill>
                </w14:textFill>
              </w:rPr>
              <w:t>2022年年中执行政府绩效考评奖，新政策年初没有做预算</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112.96</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14"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三、2022年度一般公共预算财政拨款基本支出决算情况说明</w:t>
      </w:r>
    </w:p>
    <w:p>
      <w:pPr>
        <w:ind w:firstLine="640" w:firstLineChars="200"/>
        <w:jc w:val="left"/>
        <w:rPr>
          <w:rFonts w:ascii="仿宋" w:hAnsi="仿宋" w:eastAsia="仿宋" w:cs="仿宋"/>
          <w:sz w:val="32"/>
          <w:szCs w:val="32"/>
          <w:highlight w:val="none"/>
        </w:rPr>
      </w:pPr>
      <w:r>
        <w:rPr>
          <w:rFonts w:hint="default" w:ascii="仿宋" w:hAnsi="仿宋" w:eastAsia="仿宋" w:cs="仿宋"/>
          <w:sz w:val="32"/>
          <w:szCs w:val="32"/>
          <w:highlight w:val="none"/>
          <w:lang w:val="en"/>
        </w:rPr>
        <w:t>环江毛南族自治县水源镇初级中学</w:t>
      </w:r>
      <w:r>
        <w:rPr>
          <w:rFonts w:hint="eastAsia" w:ascii="仿宋" w:hAnsi="仿宋" w:eastAsia="仿宋" w:cs="仿宋"/>
          <w:sz w:val="32"/>
          <w:szCs w:val="32"/>
          <w:highlight w:val="none"/>
        </w:rPr>
        <w:t>2022年度一般公共预算财政拨款基本支出</w:t>
      </w:r>
      <w:r>
        <w:rPr>
          <w:rFonts w:ascii="仿宋" w:hAnsi="仿宋" w:eastAsia="仿宋" w:cs="仿宋"/>
          <w:sz w:val="32"/>
          <w:u w:color="auto"/>
        </w:rPr>
        <w:t>1106.08</w:t>
      </w:r>
      <w:r>
        <w:rPr>
          <w:rFonts w:hint="eastAsia" w:ascii="仿宋" w:hAnsi="仿宋" w:eastAsia="仿宋" w:cs="仿宋"/>
          <w:sz w:val="32"/>
          <w:szCs w:val="32"/>
          <w:highlight w:val="none"/>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其中：人员经费支出</w:t>
      </w:r>
      <w:r>
        <w:rPr>
          <w:rFonts w:hint="eastAsia" w:ascii="仿宋" w:hAnsi="仿宋" w:eastAsia="仿宋" w:cs="仿宋"/>
          <w:sz w:val="32"/>
          <w:szCs w:val="32"/>
          <w:highlight w:val="none"/>
        </w:rPr>
        <w:t>996.89</w:t>
      </w:r>
      <w:r>
        <w:rPr>
          <w:rFonts w:hint="default" w:ascii="仿宋_GB2312" w:hAnsi="微软雅黑" w:eastAsia="仿宋_GB2312" w:cs="仿宋_GB2312"/>
          <w:i w:val="0"/>
          <w:iCs w:val="0"/>
          <w:caps w:val="0"/>
          <w:color w:val="000000"/>
          <w:spacing w:val="0"/>
          <w:sz w:val="31"/>
          <w:szCs w:val="31"/>
          <w:highlight w:val="none"/>
          <w:shd w:val="clear" w:color="auto" w:fill="FFFFFF"/>
        </w:rPr>
        <w:t>万元，公用经费支出</w:t>
      </w:r>
      <w:r>
        <w:rPr>
          <w:rFonts w:hint="eastAsia" w:ascii="仿宋" w:hAnsi="仿宋" w:eastAsia="仿宋" w:cs="仿宋"/>
          <w:sz w:val="32"/>
          <w:szCs w:val="32"/>
          <w:highlight w:val="none"/>
        </w:rPr>
        <w:t>109.19</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 w:hAnsi="仿宋" w:eastAsia="仿宋" w:cs="仿宋"/>
          <w:sz w:val="32"/>
          <w:szCs w:val="32"/>
          <w:highlight w:val="none"/>
        </w:rPr>
        <w:t>支出具体情况如下：</w:t>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工资福利支出</w:t>
      </w:r>
      <w:r>
        <w:rPr>
          <w:rFonts w:ascii="仿宋" w:hAnsi="仿宋" w:eastAsia="仿宋" w:cs="仿宋"/>
          <w:sz w:val="32"/>
          <w:u w:color="auto"/>
        </w:rPr>
        <w:t>849.67万元，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102.65%</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sz w:val="32"/>
          <w:szCs w:val="32"/>
          <w:highlight w:val="none"/>
        </w:rPr>
        <w:t>（简要说明预决算差异）</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_GB2312" w:hAnsi="微软雅黑" w:eastAsia="仿宋_GB2312" w:cs="仿宋_GB2312"/>
          <w:i w:val="0"/>
          <w:iCs w:val="0"/>
          <w:caps w:val="0"/>
          <w:color w:val="000000"/>
          <w:spacing w:val="0"/>
          <w:sz w:val="31"/>
          <w:szCs w:val="31"/>
          <w:highlight w:val="none"/>
          <w:shd w:val="clear" w:color="auto" w:fill="FFFFFF"/>
          <w:lang w:eastAsia="zh-CN"/>
        </w:rPr>
        <w:t>决算超出预算的原因是年内工资福利提高了</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w:t>
      </w:r>
    </w:p>
    <w:p>
      <w:pPr>
        <w:ind w:firstLine="640" w:firstLineChars="200"/>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30101基本工资419.65万元，30102津贴补贴49.08万元，30103奖金37.66万元，30107绩效工资134.79万元，30108机关事业单位基本养老保险缴费86.91万元，30110职工基本医疗保险缴费44.59万元，30112其他社会保障缴费5.02万元，30113住房公积金70.74万元，30199其他工资福利支出1.23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1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商品和服务支出</w:t>
      </w:r>
      <w:r>
        <w:rPr>
          <w:rFonts w:ascii="仿宋" w:hAnsi="仿宋" w:eastAsia="仿宋" w:cs="仿宋"/>
          <w:sz w:val="32"/>
          <w:u w:color="auto"/>
        </w:rPr>
        <w:t>93.61万元，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1</w:t>
      </w:r>
      <w:r>
        <w:rPr>
          <w:rFonts w:hint="eastAsia" w:ascii="仿宋" w:hAnsi="仿宋" w:eastAsia="仿宋" w:cs="仿宋"/>
          <w:sz w:val="32"/>
          <w:szCs w:val="32"/>
          <w:highlight w:val="none"/>
        </w:rPr>
        <w:t>33.62%</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主要原因是：年内维修费和办公费增加了.</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30201办公费37.07万元，30205水费1.51万元，30206电费6.43万元，30207邮电费3.17万元，30211差旅费5.43万元，30213维修（护）费3.32万元，30226劳务费2.21万元，30228工会经费12.76万元，30299其他商品和服务支出21.71万元。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2550160"/>
            <wp:effectExtent l="4445" t="4445" r="16510" b="17145"/>
            <wp:docPr id="18"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对个人和家庭的补助</w:t>
      </w:r>
      <w:r>
        <w:rPr>
          <w:rFonts w:ascii="仿宋" w:hAnsi="仿宋" w:eastAsia="仿宋" w:cs="仿宋"/>
          <w:sz w:val="32"/>
          <w:u w:color="auto"/>
        </w:rPr>
        <w:t>147.22万元，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459.63%</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主要原因是：遗属生活补助和退休生活补助都提高了.</w:t>
      </w:r>
      <w:r>
        <w:rPr>
          <w:rFonts w:hint="eastAsia" w:ascii="仿宋" w:hAnsi="仿宋" w:eastAsia="仿宋" w:cs="仿宋"/>
          <w:sz w:val="32"/>
          <w:szCs w:val="32"/>
          <w:highlight w:val="none"/>
          <w:lang w:val="en-US" w:eastAsia="zh-CN"/>
        </w:rPr>
        <w:t>抚恤金是年中增加的项目。</w:t>
      </w:r>
    </w:p>
    <w:p>
      <w:pPr>
        <w:ind w:firstLine="640" w:firstLineChars="200"/>
        <w:jc w:val="left"/>
        <w:rPr>
          <w:rFonts w:hint="eastAsia" w:ascii="仿宋" w:hAnsi="仿宋" w:eastAsia="仿宋" w:cs="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30304抚恤金8.85万元，30305生活补助34.07万元，30308助学金104.30万</w:t>
      </w:r>
      <w:r>
        <w:rPr>
          <w:rFonts w:hint="eastAsia" w:ascii="仿宋" w:hAnsi="仿宋" w:eastAsia="仿宋" w:cs="仿宋"/>
          <w:sz w:val="32"/>
          <w:szCs w:val="32"/>
          <w:highlight w:val="none"/>
        </w:rPr>
        <w:drawing>
          <wp:inline distT="0" distB="0" distL="114300" distR="114300">
            <wp:extent cx="4474845" cy="2891790"/>
            <wp:effectExtent l="4445" t="4445" r="16510" b="18415"/>
            <wp:docPr id="20"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债务利息及费用支出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主要原因是：无。</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2787650"/>
            <wp:effectExtent l="4445" t="4445" r="16510" b="8255"/>
            <wp:docPr id="22"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资本性支出</w:t>
      </w:r>
      <w:r>
        <w:rPr>
          <w:rFonts w:ascii="仿宋" w:hAnsi="仿宋" w:eastAsia="仿宋" w:cs="仿宋"/>
          <w:sz w:val="32"/>
          <w:u w:color="auto"/>
        </w:rPr>
        <w:t>15.58万元，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100%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主要原因是：年中增加购买教学一体机。年初没有规划。</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31002办公设备购置4.38万元，31003专用设备购置11.20万元。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2787650"/>
            <wp:effectExtent l="4445" t="4445" r="16510" b="8255"/>
            <wp:docPr id="24"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其他支出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sz w:val="32"/>
          <w:szCs w:val="32"/>
          <w:highlight w:val="none"/>
        </w:rPr>
        <w:t>（简要说明预决算差异）</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主要原因是：无</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四、2022年度政府性基金支出决算情况</w:t>
      </w:r>
    </w:p>
    <w:p>
      <w:pPr>
        <w:ind w:firstLine="640" w:firstLineChars="200"/>
        <w:jc w:val="left"/>
        <w:rPr>
          <w:rFonts w:ascii="仿宋" w:hAnsi="仿宋" w:eastAsia="仿宋" w:cs="仿宋"/>
          <w:sz w:val="32"/>
          <w:szCs w:val="32"/>
          <w:highlight w:val="none"/>
        </w:rPr>
      </w:pPr>
      <w:r>
        <w:rPr>
          <w:rFonts w:hint="default" w:ascii="仿宋" w:hAnsi="仿宋" w:eastAsia="仿宋" w:cs="仿宋"/>
          <w:sz w:val="32"/>
          <w:szCs w:val="32"/>
          <w:highlight w:val="none"/>
          <w:lang w:val="en"/>
        </w:rPr>
        <w:t>环江毛南族自治县水源镇初级中学</w:t>
      </w:r>
      <w:r>
        <w:rPr>
          <w:rFonts w:hint="eastAsia" w:ascii="仿宋" w:hAnsi="仿宋" w:eastAsia="仿宋" w:cs="仿宋"/>
          <w:sz w:val="32"/>
          <w:szCs w:val="32"/>
          <w:highlight w:val="none"/>
        </w:rPr>
        <w:t>2022年度政府性基金支出</w:t>
      </w:r>
      <w:r>
        <w:rPr>
          <w:rFonts w:ascii="仿宋" w:hAnsi="仿宋" w:eastAsia="仿宋" w:cs="仿宋"/>
          <w:sz w:val="32"/>
          <w:szCs w:val="32"/>
          <w:highlight w:val="none"/>
        </w:rPr>
        <w:t>0.00</w:t>
      </w:r>
      <w:r>
        <w:rPr>
          <w:rFonts w:hint="eastAsia" w:ascii="仿宋" w:hAnsi="仿宋" w:eastAsia="仿宋" w:cs="仿宋"/>
          <w:sz w:val="32"/>
          <w:szCs w:val="32"/>
          <w:highlight w:val="none"/>
        </w:rPr>
        <w:t>万元，较2021年度决算数</w:t>
      </w:r>
      <w:r>
        <w:rPr>
          <w:rFonts w:ascii="仿宋" w:hAnsi="仿宋" w:eastAsia="仿宋" w:cs="仿宋"/>
          <w:sz w:val="32"/>
          <w:szCs w:val="32"/>
          <w:highlight w:val="none"/>
        </w:rPr>
        <w:t>增加0.00</w:t>
      </w:r>
      <w:r>
        <w:rPr>
          <w:rFonts w:hint="eastAsia" w:ascii="仿宋" w:hAnsi="仿宋" w:eastAsia="仿宋" w:cs="仿宋"/>
          <w:sz w:val="32"/>
          <w:szCs w:val="32"/>
          <w:highlight w:val="none"/>
        </w:rPr>
        <w:t>万元，</w:t>
      </w:r>
      <w:r>
        <w:rPr>
          <w:rFonts w:ascii="仿宋" w:hAnsi="仿宋" w:eastAsia="仿宋" w:cs="仿宋"/>
          <w:sz w:val="32"/>
          <w:szCs w:val="32"/>
          <w:highlight w:val="none"/>
        </w:rPr>
        <w:t>增长0%</w:t>
      </w:r>
      <w:r>
        <w:rPr>
          <w:rFonts w:hint="eastAsia" w:ascii="仿宋" w:hAnsi="仿宋" w:eastAsia="仿宋" w:cs="仿宋"/>
          <w:sz w:val="32"/>
          <w:szCs w:val="32"/>
          <w:highlight w:val="none"/>
        </w:rPr>
        <w:t>其中：基本支出</w:t>
      </w:r>
      <w:r>
        <w:rPr>
          <w:rFonts w:ascii="仿宋" w:hAnsi="仿宋" w:eastAsia="仿宋" w:cs="仿宋"/>
          <w:sz w:val="32"/>
          <w:szCs w:val="32"/>
          <w:highlight w:val="none"/>
        </w:rPr>
        <w:t>0.00</w:t>
      </w:r>
      <w:r>
        <w:rPr>
          <w:rFonts w:hint="eastAsia" w:ascii="仿宋" w:hAnsi="仿宋" w:eastAsia="仿宋" w:cs="仿宋"/>
          <w:sz w:val="32"/>
          <w:szCs w:val="32"/>
          <w:highlight w:val="none"/>
        </w:rPr>
        <w:t>万元，项目支出</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p>
    <w:p>
      <w:pPr>
        <w:ind w:firstLine="640" w:firstLineChars="200"/>
        <w:jc w:val="left"/>
        <w:rPr>
          <w:rFonts w:hint="eastAsia" w:ascii="仿宋" w:hAnsi="仿宋" w:eastAsia="仿宋" w:cs="仿宋"/>
          <w:sz w:val="32"/>
          <w:szCs w:val="32"/>
          <w:highlight w:val="none"/>
        </w:rPr>
      </w:pPr>
      <w:r>
        <w:rPr>
          <w:rFonts w:hint="default" w:ascii="仿宋" w:hAnsi="仿宋" w:eastAsia="仿宋" w:cs="仿宋"/>
          <w:sz w:val="32"/>
          <w:szCs w:val="32"/>
          <w:highlight w:val="none"/>
          <w:lang w:val="en"/>
        </w:rPr>
        <w:t>环江毛南族自治县水源镇初级中学</w:t>
      </w:r>
      <w:r>
        <w:rPr>
          <w:rFonts w:hint="eastAsia" w:ascii="仿宋" w:hAnsi="仿宋" w:eastAsia="仿宋" w:cs="仿宋"/>
          <w:sz w:val="32"/>
          <w:szCs w:val="32"/>
          <w:highlight w:val="none"/>
        </w:rPr>
        <w:t>2022年度政府性基金支出年初预算为</w:t>
      </w:r>
      <w:r>
        <w:rPr>
          <w:rFonts w:ascii="仿宋" w:hAnsi="仿宋" w:eastAsia="仿宋" w:cs="仿宋"/>
          <w:sz w:val="32"/>
          <w:szCs w:val="32"/>
          <w:highlight w:val="none"/>
        </w:rPr>
        <w:t>0.00</w:t>
      </w:r>
      <w:r>
        <w:rPr>
          <w:rFonts w:hint="eastAsia" w:ascii="仿宋" w:hAnsi="仿宋" w:eastAsia="仿宋" w:cs="仿宋"/>
          <w:sz w:val="32"/>
          <w:szCs w:val="32"/>
          <w:highlight w:val="none"/>
        </w:rPr>
        <w:t>万元，支出决算为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ind w:firstLine="640" w:firstLineChars="200"/>
        <w:jc w:val="left"/>
        <w:rPr>
          <w:rFonts w:hint="eastAsia" w:ascii="仿宋" w:hAnsi="仿宋" w:eastAsia="仿宋" w:cs="仿宋"/>
          <w:color w:val="auto"/>
          <w:sz w:val="32"/>
          <w:szCs w:val="32"/>
          <w:highlight w:val="none"/>
        </w:rPr>
      </w:pPr>
      <w:r>
        <w:rPr>
          <w:rFonts w:hint="default" w:ascii="仿宋_GB2312" w:hAnsi="Times New Roman" w:eastAsia="仿宋_GB2312" w:cs="Times New Roman"/>
          <w:color w:val="auto"/>
          <w:sz w:val="32"/>
          <w:szCs w:val="32"/>
          <w:lang w:val="en"/>
        </w:rPr>
        <w:t>环江毛南族自治县水源镇初级中学</w:t>
      </w:r>
      <w:r>
        <w:rPr>
          <w:rFonts w:ascii="仿宋_GB2312" w:hAnsi="仿宋_GB2312" w:eastAsia="仿宋_GB2312" w:cs="仿宋_GB2312"/>
          <w:color w:val="auto"/>
          <w:sz w:val="32"/>
          <w:u w:color="auto"/>
        </w:rPr>
        <w:t>没有政府性基金收入，也没有政府性基金收入安排的支出</w:t>
      </w:r>
      <w:r>
        <w:rPr>
          <w:rFonts w:hint="eastAsia" w:ascii="仿宋_GB2312" w:hAnsi="Times New Roman" w:eastAsia="仿宋_GB2312" w:cs="Times New Roman"/>
          <w:color w:val="auto"/>
          <w:sz w:val="32"/>
          <w:szCs w:val="32"/>
          <w:lang w:eastAsia="zh-CN"/>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五、2022年度国有资本经营预算支出决算情况</w:t>
      </w:r>
    </w:p>
    <w:p>
      <w:pPr>
        <w:ind w:firstLine="640" w:firstLineChars="200"/>
        <w:jc w:val="left"/>
        <w:rPr>
          <w:rFonts w:ascii="仿宋" w:hAnsi="仿宋" w:eastAsia="仿宋" w:cs="仿宋"/>
          <w:sz w:val="32"/>
          <w:szCs w:val="32"/>
          <w:highlight w:val="none"/>
        </w:rPr>
      </w:pPr>
      <w:r>
        <w:rPr>
          <w:rFonts w:hint="default" w:ascii="仿宋" w:hAnsi="仿宋" w:eastAsia="仿宋" w:cs="仿宋"/>
          <w:sz w:val="32"/>
          <w:szCs w:val="32"/>
          <w:highlight w:val="none"/>
          <w:lang w:val="en"/>
        </w:rPr>
        <w:t>环江毛南族自治县水源镇初级中学</w:t>
      </w:r>
      <w:r>
        <w:rPr>
          <w:rFonts w:hint="eastAsia" w:ascii="仿宋" w:hAnsi="仿宋" w:eastAsia="仿宋" w:cs="仿宋"/>
          <w:sz w:val="32"/>
          <w:szCs w:val="32"/>
          <w:highlight w:val="none"/>
        </w:rPr>
        <w:t>2022年度国有资本经营预算支出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万元。其中：基本支出</w:t>
      </w:r>
      <w:r>
        <w:rPr>
          <w:rFonts w:ascii="仿宋" w:hAnsi="仿宋" w:eastAsia="仿宋" w:cs="仿宋"/>
          <w:sz w:val="32"/>
          <w:szCs w:val="32"/>
          <w:highlight w:val="none"/>
        </w:rPr>
        <w:t>0.00</w:t>
      </w:r>
      <w:r>
        <w:rPr>
          <w:rFonts w:hint="eastAsia" w:ascii="仿宋" w:hAnsi="仿宋" w:eastAsia="仿宋" w:cs="仿宋"/>
          <w:sz w:val="32"/>
          <w:szCs w:val="32"/>
          <w:highlight w:val="none"/>
        </w:rPr>
        <w:t>万元，项目支出</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p>
    <w:p>
      <w:pPr>
        <w:ind w:firstLine="640" w:firstLineChars="200"/>
        <w:jc w:val="left"/>
        <w:rPr>
          <w:rFonts w:hint="eastAsia" w:ascii="仿宋" w:hAnsi="仿宋" w:eastAsia="仿宋" w:cs="仿宋"/>
          <w:sz w:val="32"/>
          <w:szCs w:val="32"/>
          <w:highlight w:val="none"/>
        </w:rPr>
      </w:pPr>
      <w:r>
        <w:rPr>
          <w:rFonts w:hint="default" w:ascii="仿宋" w:hAnsi="仿宋" w:eastAsia="仿宋" w:cs="仿宋"/>
          <w:sz w:val="32"/>
          <w:szCs w:val="32"/>
          <w:highlight w:val="none"/>
          <w:lang w:val="en"/>
        </w:rPr>
        <w:t>环江毛南族自治县水源镇初级中学</w:t>
      </w:r>
      <w:r>
        <w:rPr>
          <w:rFonts w:hint="eastAsia" w:ascii="仿宋" w:hAnsi="仿宋" w:eastAsia="仿宋" w:cs="仿宋"/>
          <w:sz w:val="32"/>
          <w:szCs w:val="32"/>
          <w:highlight w:val="none"/>
        </w:rPr>
        <w:t>2022 年度国有资本经营预算支出年初预算为</w:t>
      </w:r>
      <w:r>
        <w:rPr>
          <w:rFonts w:ascii="仿宋" w:hAnsi="仿宋" w:eastAsia="仿宋" w:cs="仿宋"/>
          <w:sz w:val="32"/>
          <w:szCs w:val="32"/>
          <w:highlight w:val="none"/>
        </w:rPr>
        <w:t>0.00</w:t>
      </w:r>
      <w:r>
        <w:rPr>
          <w:rFonts w:hint="eastAsia" w:ascii="仿宋" w:hAnsi="仿宋" w:eastAsia="仿宋" w:cs="仿宋"/>
          <w:sz w:val="32"/>
          <w:szCs w:val="32"/>
          <w:highlight w:val="none"/>
        </w:rPr>
        <w:t>万元，支出决算为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ind w:firstLine="640" w:firstLineChars="200"/>
        <w:jc w:val="left"/>
        <w:rPr>
          <w:rFonts w:hint="eastAsia" w:ascii="仿宋" w:hAnsi="仿宋" w:eastAsia="仿宋" w:cs="仿宋"/>
          <w:sz w:val="32"/>
          <w:szCs w:val="32"/>
          <w:highlight w:val="none"/>
        </w:rPr>
      </w:pPr>
      <w:bookmarkStart w:id="4" w:name="PO_part3A5B1C1DiffReason1"/>
      <w:r>
        <w:rPr>
          <w:rFonts w:hint="default" w:ascii="仿宋_GB2312" w:hAnsi="Times New Roman" w:eastAsia="仿宋_GB2312" w:cs="Times New Roman"/>
          <w:color w:val="auto"/>
          <w:sz w:val="32"/>
          <w:szCs w:val="32"/>
          <w:lang w:val="en"/>
        </w:rPr>
        <w:t>环江毛南族自治县水源镇初级中学</w:t>
      </w:r>
      <w:r>
        <w:rPr>
          <w:rFonts w:ascii="仿宋_GB2312" w:hAnsi="仿宋_GB2312" w:eastAsia="仿宋_GB2312" w:cs="仿宋_GB2312"/>
          <w:color w:val="auto"/>
          <w:sz w:val="32"/>
          <w:u w:color="auto"/>
        </w:rPr>
        <w:t>没有国有资本经营预算收入，也没有国有资本经营预算收入</w:t>
      </w:r>
      <w:r>
        <w:rPr>
          <w:rFonts w:hint="eastAsia" w:ascii="仿宋_GB2312" w:hAnsi="Times New Roman" w:eastAsia="仿宋_GB2312" w:cs="Times New Roman"/>
          <w:color w:val="auto"/>
          <w:sz w:val="32"/>
          <w:szCs w:val="32"/>
        </w:rPr>
        <w:t>安排的支出。</w:t>
      </w:r>
      <w:bookmarkEnd w:id="4"/>
    </w:p>
    <w:p>
      <w:pPr>
        <w:jc w:val="left"/>
        <w:rPr>
          <w:rFonts w:ascii="仿宋" w:hAnsi="仿宋" w:eastAsia="仿宋" w:cs="仿宋"/>
          <w:sz w:val="32"/>
          <w:szCs w:val="32"/>
          <w:highlight w:val="none"/>
        </w:rPr>
      </w:pPr>
      <w:r>
        <w:rPr>
          <w:rFonts w:hint="eastAsia" w:ascii="黑体" w:hAnsi="黑体" w:eastAsia="黑体" w:cs="黑体"/>
          <w:sz w:val="32"/>
          <w:szCs w:val="32"/>
          <w:highlight w:val="none"/>
        </w:rPr>
        <w:t>六、财政拨款“三公”经费支出决算情况说明</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2022年预算财政拨款安排的“三公”经费支出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，比上年</w:t>
      </w:r>
      <w:r>
        <w:rPr>
          <w:rFonts w:ascii="仿宋" w:hAnsi="仿宋" w:eastAsia="仿宋" w:cs="仿宋"/>
          <w:sz w:val="32"/>
          <w:szCs w:val="32"/>
          <w:highlight w:val="none"/>
        </w:rPr>
        <w:t>增加0.00</w:t>
      </w:r>
      <w:r>
        <w:rPr>
          <w:rFonts w:hint="eastAsia" w:ascii="仿宋" w:hAnsi="仿宋" w:eastAsia="仿宋" w:cs="仿宋"/>
          <w:sz w:val="32"/>
          <w:szCs w:val="32"/>
          <w:highlight w:val="none"/>
        </w:rPr>
        <w:t>万元，</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主要原因是：本单位没有此项经费。</w:t>
      </w:r>
      <w:r>
        <w:rPr>
          <w:rFonts w:hint="eastAsia" w:ascii="仿宋" w:hAnsi="仿宋" w:eastAsia="仿宋" w:cs="仿宋"/>
          <w:color w:val="000000" w:themeColor="text1"/>
          <w:sz w:val="32"/>
          <w:szCs w:val="32"/>
          <w:highlight w:val="none"/>
          <w14:textFill>
            <w14:solidFill>
              <w14:schemeClr w14:val="tx1"/>
            </w14:solidFill>
          </w14:textFill>
        </w:rPr>
        <w:t>其中：因公出国（境）费支出决算</w:t>
      </w:r>
      <w:r>
        <w:rPr>
          <w:rFonts w:ascii="仿宋" w:hAnsi="仿宋" w:eastAsia="仿宋" w:cs="仿宋"/>
          <w:color w:val="000000" w:themeColor="text1"/>
          <w:sz w:val="32"/>
          <w:szCs w:val="32"/>
          <w:highlight w:val="none"/>
          <w14:textFill>
            <w14:solidFill>
              <w14:schemeClr w14:val="tx1"/>
            </w14:solidFill>
          </w14:textFill>
        </w:rPr>
        <w:t>0.00</w:t>
      </w:r>
      <w:r>
        <w:rPr>
          <w:rFonts w:hint="eastAsia" w:ascii="仿宋" w:hAnsi="仿宋" w:eastAsia="仿宋" w:cs="仿宋"/>
          <w:sz w:val="32"/>
          <w:szCs w:val="32"/>
          <w:highlight w:val="none"/>
        </w:rPr>
        <w:t>万元，公务用车购置及运行费支出决算</w:t>
      </w:r>
      <w:r>
        <w:rPr>
          <w:rFonts w:ascii="仿宋" w:hAnsi="仿宋" w:eastAsia="仿宋" w:cs="仿宋"/>
          <w:sz w:val="32"/>
          <w:szCs w:val="32"/>
          <w:highlight w:val="none"/>
        </w:rPr>
        <w:t>0.00</w:t>
      </w:r>
      <w:r>
        <w:rPr>
          <w:rFonts w:hint="eastAsia" w:ascii="仿宋" w:hAnsi="仿宋" w:eastAsia="仿宋" w:cs="仿宋"/>
          <w:sz w:val="32"/>
          <w:szCs w:val="32"/>
          <w:highlight w:val="none"/>
        </w:rPr>
        <w:t>万元，公务接待费支出决算</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具体情况如下：</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（一）因公出国（境）费支出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，比上年</w:t>
      </w:r>
      <w:r>
        <w:rPr>
          <w:rFonts w:ascii="仿宋" w:hAnsi="仿宋" w:eastAsia="仿宋" w:cs="仿宋"/>
          <w:sz w:val="32"/>
          <w:szCs w:val="32"/>
          <w:highlight w:val="none"/>
        </w:rPr>
        <w:t>增加0.00</w:t>
      </w:r>
      <w:r>
        <w:rPr>
          <w:rFonts w:hint="eastAsia" w:ascii="仿宋" w:hAnsi="仿宋" w:eastAsia="仿宋" w:cs="仿宋"/>
          <w:sz w:val="32"/>
          <w:szCs w:val="32"/>
          <w:highlight w:val="none"/>
        </w:rPr>
        <w:t xml:space="preserve"> 万元。</w:t>
      </w:r>
      <w:r>
        <w:rPr>
          <w:rFonts w:hint="eastAsia" w:ascii="仿宋" w:hAnsi="仿宋" w:eastAsia="仿宋" w:cs="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本单位没有此项经费。</w:t>
      </w:r>
      <w:r>
        <w:rPr>
          <w:rFonts w:hint="eastAsia" w:ascii="仿宋" w:hAnsi="仿宋" w:eastAsia="仿宋" w:cs="仿宋"/>
          <w:sz w:val="32"/>
          <w:szCs w:val="32"/>
          <w:highlight w:val="none"/>
        </w:rPr>
        <w:t>全年因公出国（境）团组共计</w:t>
      </w:r>
      <w:r>
        <w:rPr>
          <w:rFonts w:ascii="仿宋" w:hAnsi="仿宋" w:eastAsia="仿宋" w:cs="仿宋"/>
          <w:sz w:val="32"/>
          <w:szCs w:val="32"/>
          <w:highlight w:val="none"/>
        </w:rPr>
        <w:t>0</w:t>
      </w:r>
      <w:r>
        <w:rPr>
          <w:rFonts w:hint="eastAsia" w:ascii="仿宋" w:hAnsi="仿宋" w:eastAsia="仿宋" w:cs="仿宋"/>
          <w:sz w:val="32"/>
          <w:szCs w:val="32"/>
          <w:highlight w:val="none"/>
        </w:rPr>
        <w:t>个，累计</w:t>
      </w:r>
      <w:r>
        <w:rPr>
          <w:rFonts w:ascii="仿宋" w:hAnsi="仿宋" w:eastAsia="仿宋" w:cs="仿宋"/>
          <w:sz w:val="32"/>
          <w:szCs w:val="32"/>
          <w:highlight w:val="none"/>
        </w:rPr>
        <w:t>0</w:t>
      </w:r>
      <w:r>
        <w:rPr>
          <w:rFonts w:hint="eastAsia" w:ascii="仿宋" w:hAnsi="仿宋" w:eastAsia="仿宋" w:cs="仿宋"/>
          <w:sz w:val="32"/>
          <w:szCs w:val="32"/>
          <w:highlight w:val="none"/>
        </w:rPr>
        <w:t>人次。</w:t>
      </w:r>
    </w:p>
    <w:p>
      <w:pPr>
        <w:ind w:firstLine="640" w:firstLineChars="200"/>
        <w:jc w:val="left"/>
        <w:rPr>
          <w:rFonts w:hint="eastAsia" w:ascii="仿宋" w:hAnsi="仿宋" w:eastAsia="仿宋" w:cs="仿宋"/>
          <w:color w:val="FF0000"/>
          <w:sz w:val="32"/>
          <w:szCs w:val="32"/>
        </w:rPr>
      </w:pPr>
      <w:r>
        <w:rPr>
          <w:rFonts w:hint="eastAsia" w:ascii="仿宋" w:hAnsi="仿宋" w:eastAsia="仿宋" w:cs="仿宋"/>
          <w:sz w:val="32"/>
          <w:szCs w:val="32"/>
          <w:highlight w:val="none"/>
        </w:rPr>
        <w:t>（二）公务用车购置及运行维护费</w:t>
      </w:r>
      <w:r>
        <w:rPr>
          <w:rFonts w:ascii="仿宋" w:hAnsi="仿宋" w:eastAsia="仿宋" w:cs="仿宋"/>
          <w:sz w:val="32"/>
          <w:u w:color="auto"/>
        </w:rPr>
        <w:t>0.00</w:t>
      </w:r>
      <w:r>
        <w:rPr>
          <w:rFonts w:hint="eastAsia" w:ascii="仿宋" w:hAnsi="仿宋" w:eastAsia="仿宋" w:cs="仿宋"/>
          <w:sz w:val="32"/>
          <w:szCs w:val="32"/>
          <w:highlight w:val="none"/>
        </w:rPr>
        <w:t>万元。其中：公务用车购置支出</w:t>
      </w:r>
      <w:r>
        <w:rPr>
          <w:rFonts w:ascii="仿宋" w:hAnsi="仿宋" w:eastAsia="仿宋" w:cs="仿宋"/>
          <w:sz w:val="32"/>
          <w:u w:color="auto"/>
        </w:rPr>
        <w:t>0.00</w:t>
      </w:r>
      <w:r>
        <w:rPr>
          <w:rFonts w:hint="eastAsia" w:ascii="仿宋" w:hAnsi="仿宋" w:eastAsia="仿宋" w:cs="仿宋"/>
          <w:sz w:val="32"/>
          <w:szCs w:val="32"/>
          <w:highlight w:val="none"/>
        </w:rPr>
        <w:t>万元，完成年初预算的</w:t>
      </w:r>
      <w:r>
        <w:rPr>
          <w:rFonts w:ascii="仿宋" w:hAnsi="仿宋" w:eastAsia="仿宋" w:cs="仿宋"/>
          <w:sz w:val="32"/>
          <w:u w:color="auto"/>
        </w:rPr>
        <w:t>0%</w:t>
      </w:r>
      <w:r>
        <w:rPr>
          <w:rFonts w:hint="eastAsia" w:ascii="仿宋" w:hAnsi="仿宋" w:eastAsia="仿宋" w:cs="仿宋"/>
          <w:sz w:val="32"/>
          <w:szCs w:val="32"/>
          <w:highlight w:val="none"/>
        </w:rPr>
        <w:t>，比上年</w:t>
      </w:r>
      <w:r>
        <w:rPr>
          <w:rFonts w:ascii="仿宋" w:hAnsi="仿宋" w:eastAsia="仿宋" w:cs="仿宋"/>
          <w:sz w:val="32"/>
          <w:u w:color="auto"/>
        </w:rPr>
        <w:t>增加0.00</w:t>
      </w:r>
      <w:r>
        <w:rPr>
          <w:rFonts w:hint="eastAsia" w:ascii="仿宋" w:hAnsi="仿宋" w:eastAsia="仿宋" w:cs="仿宋"/>
          <w:sz w:val="32"/>
          <w:szCs w:val="32"/>
          <w:highlight w:val="none"/>
        </w:rPr>
        <w:t xml:space="preserve"> 万元。</w:t>
      </w:r>
    </w:p>
    <w:p>
      <w:pPr>
        <w:ind w:firstLine="640" w:firstLineChars="20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公务用车运行维护支出</w:t>
      </w:r>
      <w:r>
        <w:rPr>
          <w:rFonts w:ascii="仿宋" w:hAnsi="仿宋" w:eastAsia="仿宋" w:cs="仿宋"/>
          <w:sz w:val="32"/>
          <w:u w:color="auto"/>
        </w:rPr>
        <w:t>0.00</w:t>
      </w:r>
      <w:r>
        <w:rPr>
          <w:rFonts w:hint="eastAsia" w:ascii="仿宋" w:hAnsi="仿宋" w:eastAsia="仿宋" w:cs="仿宋"/>
          <w:sz w:val="32"/>
          <w:szCs w:val="32"/>
          <w:highlight w:val="none"/>
        </w:rPr>
        <w:t>万元，完成年初预算的</w:t>
      </w:r>
      <w:r>
        <w:rPr>
          <w:rFonts w:ascii="仿宋" w:hAnsi="仿宋" w:eastAsia="仿宋" w:cs="仿宋"/>
          <w:sz w:val="32"/>
          <w:u w:color="auto"/>
        </w:rPr>
        <w:t>0%</w:t>
      </w:r>
      <w:r>
        <w:rPr>
          <w:rFonts w:hint="eastAsia" w:ascii="仿宋" w:hAnsi="仿宋" w:eastAsia="仿宋" w:cs="仿宋"/>
          <w:sz w:val="32"/>
          <w:szCs w:val="32"/>
          <w:highlight w:val="none"/>
        </w:rPr>
        <w:t>，比上年</w:t>
      </w:r>
      <w:r>
        <w:rPr>
          <w:rFonts w:ascii="仿宋" w:hAnsi="仿宋" w:eastAsia="仿宋" w:cs="仿宋"/>
          <w:sz w:val="32"/>
          <w:u w:color="auto"/>
        </w:rPr>
        <w:t>增加0.00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主要原因是：</w:t>
      </w:r>
      <w:r>
        <w:rPr>
          <w:rFonts w:hint="eastAsia" w:ascii="仿宋" w:hAnsi="仿宋" w:eastAsia="仿宋" w:cs="仿宋"/>
          <w:color w:val="000000" w:themeColor="text1"/>
          <w:sz w:val="32"/>
          <w:szCs w:val="32"/>
          <w:highlight w:val="none"/>
          <w:lang w:eastAsia="zh-CN"/>
          <w14:textFill>
            <w14:solidFill>
              <w14:schemeClr w14:val="tx1"/>
            </w14:solidFill>
          </w14:textFill>
        </w:rPr>
        <w:t>本单位没有公务车。</w:t>
      </w:r>
      <w:r>
        <w:rPr>
          <w:rFonts w:hint="eastAsia" w:ascii="仿宋" w:hAnsi="仿宋" w:eastAsia="仿宋" w:cs="仿宋"/>
          <w:sz w:val="32"/>
          <w:szCs w:val="32"/>
          <w:highlight w:val="none"/>
        </w:rPr>
        <w:t>2022年，</w:t>
      </w:r>
      <w:r>
        <w:rPr>
          <w:rFonts w:ascii="仿宋" w:hAnsi="仿宋" w:eastAsia="仿宋" w:cs="仿宋"/>
          <w:sz w:val="32"/>
          <w:u w:color="auto"/>
          <w:lang w:val="en"/>
        </w:rPr>
        <w:t>环江毛南族自治县水源镇初级中学</w:t>
      </w:r>
      <w:r>
        <w:rPr>
          <w:rFonts w:hint="eastAsia" w:ascii="仿宋" w:hAnsi="仿宋" w:eastAsia="仿宋" w:cs="仿宋"/>
          <w:sz w:val="32"/>
          <w:szCs w:val="32"/>
          <w:highlight w:val="none"/>
        </w:rPr>
        <w:t>及</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所属单位开支财政拨款的公务用车保有量为</w:t>
      </w:r>
      <w:r>
        <w:rPr>
          <w:rFonts w:ascii="仿宋" w:hAnsi="仿宋" w:eastAsia="仿宋" w:cs="仿宋"/>
          <w:sz w:val="32"/>
          <w:u w:color="auto"/>
        </w:rPr>
        <w:t>0</w:t>
      </w:r>
      <w:r>
        <w:rPr>
          <w:rFonts w:hint="eastAsia" w:ascii="仿宋" w:hAnsi="仿宋" w:eastAsia="仿宋" w:cs="仿宋"/>
          <w:sz w:val="32"/>
          <w:szCs w:val="32"/>
          <w:highlight w:val="none"/>
        </w:rPr>
        <w:t>辆，全年运行费支出</w:t>
      </w:r>
      <w:r>
        <w:rPr>
          <w:rFonts w:ascii="仿宋" w:hAnsi="仿宋" w:eastAsia="仿宋" w:cs="仿宋"/>
          <w:sz w:val="32"/>
          <w:u w:color="auto"/>
        </w:rPr>
        <w:t>0.00</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eastAsia="zh-CN"/>
        </w:rPr>
        <w:t>，</w:t>
      </w:r>
      <w:r>
        <w:rPr>
          <w:rFonts w:hint="eastAsia" w:ascii="仿宋" w:hAnsi="仿宋" w:eastAsia="仿宋" w:cs="仿宋"/>
          <w:color w:val="auto"/>
          <w:sz w:val="32"/>
          <w:szCs w:val="32"/>
          <w:highlight w:val="none"/>
        </w:rPr>
        <w:t xml:space="preserve">平均每辆 </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万元。</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（三）公务接待费支出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 比上年</w:t>
      </w:r>
      <w:r>
        <w:rPr>
          <w:rFonts w:ascii="仿宋" w:hAnsi="仿宋" w:eastAsia="仿宋" w:cs="仿宋"/>
          <w:sz w:val="32"/>
          <w:szCs w:val="32"/>
          <w:highlight w:val="none"/>
        </w:rPr>
        <w:t>增加0.00</w:t>
      </w:r>
      <w:r>
        <w:rPr>
          <w:rFonts w:hint="eastAsia" w:ascii="仿宋" w:hAnsi="仿宋" w:eastAsia="仿宋" w:cs="仿宋"/>
          <w:sz w:val="32"/>
          <w:szCs w:val="32"/>
          <w:highlight w:val="none"/>
        </w:rPr>
        <w:t>万元，</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本单位没有此项经费。</w:t>
      </w:r>
      <w:r>
        <w:rPr>
          <w:rFonts w:hint="eastAsia" w:ascii="仿宋" w:hAnsi="仿宋" w:eastAsia="仿宋" w:cs="仿宋"/>
          <w:color w:val="000000" w:themeColor="text1"/>
          <w:sz w:val="32"/>
          <w:szCs w:val="32"/>
          <w:highlight w:val="none"/>
          <w14:textFill>
            <w14:solidFill>
              <w14:schemeClr w14:val="tx1"/>
            </w14:solidFill>
          </w14:textFill>
        </w:rPr>
        <w:t>国内公务接待批次</w:t>
      </w:r>
      <w:r>
        <w:rPr>
          <w:rFonts w:ascii="仿宋" w:hAnsi="仿宋" w:eastAsia="仿宋" w:cs="仿宋"/>
          <w:color w:val="000000" w:themeColor="text1"/>
          <w:sz w:val="32"/>
          <w:szCs w:val="32"/>
          <w:highlight w:val="none"/>
          <w14:textFill>
            <w14:solidFill>
              <w14:schemeClr w14:val="tx1"/>
            </w14:solidFill>
          </w14:textFill>
        </w:rPr>
        <w:t>0</w:t>
      </w:r>
      <w:r>
        <w:rPr>
          <w:rFonts w:hint="eastAsia" w:ascii="仿宋" w:hAnsi="仿宋" w:eastAsia="仿宋" w:cs="仿宋"/>
          <w:sz w:val="32"/>
          <w:szCs w:val="32"/>
          <w:highlight w:val="none"/>
        </w:rPr>
        <w:t>次，人次</w:t>
      </w:r>
      <w:r>
        <w:rPr>
          <w:rFonts w:ascii="仿宋" w:hAnsi="仿宋" w:eastAsia="仿宋" w:cs="仿宋"/>
          <w:sz w:val="32"/>
          <w:szCs w:val="32"/>
          <w:highlight w:val="none"/>
        </w:rPr>
        <w:t>0</w:t>
      </w:r>
      <w:r>
        <w:rPr>
          <w:rFonts w:hint="eastAsia" w:ascii="仿宋" w:hAnsi="仿宋" w:eastAsia="仿宋" w:cs="仿宋"/>
          <w:sz w:val="32"/>
          <w:szCs w:val="32"/>
          <w:highlight w:val="none"/>
        </w:rPr>
        <w:t>次，国（境）外公务接待批次</w:t>
      </w:r>
      <w:r>
        <w:rPr>
          <w:rFonts w:ascii="仿宋" w:hAnsi="仿宋" w:eastAsia="仿宋" w:cs="仿宋"/>
          <w:sz w:val="32"/>
          <w:szCs w:val="32"/>
          <w:highlight w:val="none"/>
        </w:rPr>
        <w:t>0</w:t>
      </w:r>
      <w:r>
        <w:rPr>
          <w:rFonts w:hint="eastAsia" w:ascii="仿宋" w:hAnsi="仿宋" w:eastAsia="仿宋" w:cs="仿宋"/>
          <w:sz w:val="32"/>
          <w:szCs w:val="32"/>
          <w:highlight w:val="none"/>
        </w:rPr>
        <w:t>次，人次</w:t>
      </w:r>
      <w:r>
        <w:rPr>
          <w:rFonts w:ascii="仿宋" w:hAnsi="仿宋" w:eastAsia="仿宋" w:cs="仿宋"/>
          <w:sz w:val="32"/>
          <w:szCs w:val="32"/>
          <w:highlight w:val="none"/>
        </w:rPr>
        <w:t>0</w:t>
      </w:r>
      <w:r>
        <w:rPr>
          <w:rFonts w:hint="eastAsia" w:ascii="仿宋" w:hAnsi="仿宋" w:eastAsia="仿宋" w:cs="仿宋"/>
          <w:sz w:val="32"/>
          <w:szCs w:val="32"/>
          <w:highlight w:val="none"/>
        </w:rPr>
        <w:t>次。</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 机关运行经费支出情况说明</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FF0000"/>
          <w:sz w:val="32"/>
          <w:szCs w:val="32"/>
          <w:highlight w:val="none"/>
          <w:lang w:eastAsia="zh-CN"/>
        </w:rPr>
      </w:pPr>
      <w:r>
        <w:rPr>
          <w:rFonts w:hint="eastAsia" w:ascii="仿宋" w:hAnsi="仿宋" w:eastAsia="仿宋" w:cs="仿宋"/>
          <w:sz w:val="32"/>
          <w:szCs w:val="32"/>
          <w:highlight w:val="none"/>
        </w:rPr>
        <w:t>本部门2022年度机关运行经费支出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万元，比年初预算数</w:t>
      </w:r>
      <w:r>
        <w:rPr>
          <w:rFonts w:ascii="仿宋" w:hAnsi="仿宋" w:eastAsia="仿宋" w:cs="仿宋"/>
          <w:sz w:val="32"/>
          <w:szCs w:val="32"/>
          <w:highlight w:val="none"/>
        </w:rPr>
        <w:t>减少</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万元，</w:t>
      </w:r>
      <w:r>
        <w:rPr>
          <w:rFonts w:ascii="仿宋" w:hAnsi="仿宋" w:eastAsia="仿宋" w:cs="仿宋"/>
          <w:sz w:val="32"/>
          <w:szCs w:val="32"/>
          <w:highlight w:val="none"/>
        </w:rPr>
        <w:t>下降</w:t>
      </w:r>
      <w:r>
        <w:rPr>
          <w:rFonts w:hint="eastAsia" w:ascii="仿宋" w:hAnsi="仿宋" w:eastAsia="仿宋" w:cs="仿宋"/>
          <w:sz w:val="32"/>
          <w:szCs w:val="32"/>
          <w:highlight w:val="none"/>
          <w:lang w:val="en-US" w:eastAsia="zh-CN"/>
        </w:rPr>
        <w:t>0</w:t>
      </w:r>
      <w:r>
        <w:rPr>
          <w:rFonts w:ascii="仿宋" w:hAnsi="仿宋" w:eastAsia="仿宋" w:cs="仿宋"/>
          <w:sz w:val="32"/>
          <w:szCs w:val="32"/>
          <w:highlight w:val="none"/>
        </w:rPr>
        <w:t>%</w:t>
      </w:r>
      <w:r>
        <w:rPr>
          <w:rFonts w:hint="eastAsia" w:ascii="仿宋" w:hAnsi="仿宋" w:eastAsia="仿宋" w:cs="仿宋"/>
          <w:sz w:val="32"/>
          <w:szCs w:val="32"/>
          <w:highlight w:val="none"/>
        </w:rPr>
        <w:t>，比上年决算数</w:t>
      </w:r>
      <w:r>
        <w:rPr>
          <w:rFonts w:ascii="仿宋" w:hAnsi="仿宋" w:eastAsia="仿宋" w:cs="仿宋"/>
          <w:sz w:val="32"/>
          <w:szCs w:val="32"/>
          <w:highlight w:val="none"/>
        </w:rPr>
        <w:t>增加0.00</w:t>
      </w:r>
      <w:r>
        <w:rPr>
          <w:rFonts w:hint="eastAsia" w:ascii="仿宋" w:hAnsi="仿宋" w:eastAsia="仿宋" w:cs="仿宋"/>
          <w:sz w:val="32"/>
          <w:szCs w:val="32"/>
          <w:highlight w:val="none"/>
        </w:rPr>
        <w:t>万元，</w:t>
      </w:r>
      <w:r>
        <w:rPr>
          <w:rFonts w:ascii="仿宋" w:hAnsi="仿宋" w:eastAsia="仿宋" w:cs="仿宋"/>
          <w:sz w:val="32"/>
          <w:szCs w:val="32"/>
          <w:highlight w:val="none"/>
        </w:rPr>
        <w:t>增长0%</w:t>
      </w:r>
      <w:r>
        <w:rPr>
          <w:rFonts w:hint="eastAsia" w:ascii="仿宋" w:hAnsi="仿宋" w:eastAsia="仿宋" w:cs="仿宋"/>
          <w:sz w:val="32"/>
          <w:szCs w:val="32"/>
          <w:highlight w:val="none"/>
        </w:rPr>
        <w:t>。</w:t>
      </w:r>
      <w:r>
        <w:rPr>
          <w:rFonts w:hint="eastAsia" w:ascii="仿宋" w:hAnsi="仿宋" w:eastAsia="仿宋" w:cs="仿宋"/>
          <w:sz w:val="32"/>
          <w:szCs w:val="32"/>
          <w:highlight w:val="none"/>
          <w:lang w:eastAsia="zh-CN"/>
        </w:rPr>
        <w:t>本单位是义务教育学校，</w:t>
      </w:r>
      <w:r>
        <w:rPr>
          <w:rFonts w:hint="eastAsia" w:ascii="仿宋" w:hAnsi="仿宋" w:eastAsia="仿宋" w:cs="仿宋"/>
          <w:sz w:val="32"/>
          <w:szCs w:val="32"/>
          <w:highlight w:val="none"/>
          <w:lang w:val="en-US" w:eastAsia="zh-CN"/>
        </w:rPr>
        <w:t>无机关运行经费支出</w:t>
      </w:r>
      <w:bookmarkStart w:id="5" w:name="_GoBack"/>
      <w:bookmarkEnd w:id="5"/>
      <w:r>
        <w:rPr>
          <w:rFonts w:hint="eastAsia" w:ascii="仿宋" w:hAnsi="仿宋" w:eastAsia="仿宋" w:cs="仿宋"/>
          <w:sz w:val="32"/>
          <w:szCs w:val="32"/>
          <w:highlight w:val="none"/>
          <w:lang w:eastAsia="zh-CN"/>
        </w:rPr>
        <w:t>。</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（二）政府采购支出情况说明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本部门2022年度政府采购支出总额</w:t>
      </w:r>
      <w:r>
        <w:rPr>
          <w:rFonts w:ascii="仿宋" w:hAnsi="仿宋" w:eastAsia="仿宋" w:cs="仿宋"/>
          <w:sz w:val="32"/>
          <w:szCs w:val="32"/>
          <w:highlight w:val="none"/>
        </w:rPr>
        <w:t>0.00</w:t>
      </w:r>
      <w:r>
        <w:rPr>
          <w:rFonts w:hint="eastAsia" w:ascii="仿宋" w:hAnsi="仿宋" w:eastAsia="仿宋" w:cs="仿宋"/>
          <w:sz w:val="32"/>
          <w:szCs w:val="32"/>
          <w:highlight w:val="none"/>
        </w:rPr>
        <w:t>万元，其中：政府采购货物支出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万元、政府采购工程支出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万元、政府采购服务支出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万元。授予中小企业合同金额</w:t>
      </w:r>
      <w:r>
        <w:rPr>
          <w:rFonts w:ascii="仿宋" w:hAnsi="仿宋" w:eastAsia="仿宋" w:cs="仿宋"/>
          <w:sz w:val="32"/>
          <w:szCs w:val="32"/>
          <w:highlight w:val="none"/>
        </w:rPr>
        <w:t>0.00</w:t>
      </w:r>
      <w:r>
        <w:rPr>
          <w:rFonts w:hint="eastAsia" w:ascii="仿宋" w:hAnsi="仿宋" w:eastAsia="仿宋" w:cs="仿宋"/>
          <w:sz w:val="32"/>
          <w:szCs w:val="32"/>
          <w:highlight w:val="none"/>
        </w:rPr>
        <w:t>万元，占政府采购支出总额的</w:t>
      </w:r>
      <w:r>
        <w:rPr>
          <w:rFonts w:ascii="仿宋" w:hAnsi="仿宋" w:eastAsia="仿宋" w:cs="仿宋"/>
          <w:sz w:val="32"/>
          <w:szCs w:val="32"/>
          <w:highlight w:val="none"/>
        </w:rPr>
        <w:t>0%</w:t>
      </w:r>
      <w:r>
        <w:rPr>
          <w:rFonts w:hint="eastAsia" w:ascii="仿宋" w:hAnsi="仿宋" w:eastAsia="仿宋" w:cs="仿宋"/>
          <w:sz w:val="32"/>
          <w:szCs w:val="32"/>
          <w:highlight w:val="none"/>
        </w:rPr>
        <w:t>，其中：授予小微企业合同金额</w:t>
      </w:r>
      <w:r>
        <w:rPr>
          <w:rFonts w:ascii="仿宋" w:hAnsi="仿宋" w:eastAsia="仿宋" w:cs="仿宋"/>
          <w:sz w:val="32"/>
          <w:szCs w:val="32"/>
          <w:highlight w:val="none"/>
        </w:rPr>
        <w:t>0.00</w:t>
      </w:r>
      <w:r>
        <w:rPr>
          <w:rFonts w:hint="eastAsia" w:ascii="仿宋" w:hAnsi="仿宋" w:eastAsia="仿宋" w:cs="仿宋"/>
          <w:sz w:val="32"/>
          <w:szCs w:val="32"/>
          <w:highlight w:val="none"/>
        </w:rPr>
        <w:t>万元，占授予中小企业合同金额的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（三）国有资产占用情况说明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截至2022年12月31日，本部门共有车辆</w:t>
      </w:r>
      <w:r>
        <w:rPr>
          <w:rFonts w:ascii="仿宋" w:hAnsi="仿宋" w:eastAsia="仿宋" w:cs="仿宋"/>
          <w:sz w:val="32"/>
          <w:szCs w:val="32"/>
          <w:highlight w:val="none"/>
        </w:rPr>
        <w:t>0</w:t>
      </w:r>
      <w:r>
        <w:rPr>
          <w:rFonts w:hint="eastAsia" w:ascii="仿宋" w:hAnsi="仿宋" w:eastAsia="仿宋" w:cs="仿宋"/>
          <w:sz w:val="32"/>
          <w:szCs w:val="32"/>
          <w:highlight w:val="none"/>
        </w:rPr>
        <w:t>辆，其中：副部（省）级领导干部用车</w:t>
      </w:r>
      <w:r>
        <w:rPr>
          <w:rFonts w:ascii="仿宋" w:hAnsi="仿宋" w:eastAsia="仿宋" w:cs="仿宋"/>
          <w:sz w:val="32"/>
          <w:szCs w:val="32"/>
          <w:highlight w:val="none"/>
        </w:rPr>
        <w:t>0</w:t>
      </w:r>
      <w:r>
        <w:rPr>
          <w:rFonts w:hint="eastAsia" w:ascii="仿宋" w:hAnsi="仿宋" w:eastAsia="仿宋" w:cs="仿宋"/>
          <w:sz w:val="32"/>
          <w:szCs w:val="32"/>
          <w:highlight w:val="none"/>
        </w:rPr>
        <w:t>辆、机要通信用车</w:t>
      </w:r>
      <w:r>
        <w:rPr>
          <w:rFonts w:ascii="仿宋" w:hAnsi="仿宋" w:eastAsia="仿宋" w:cs="仿宋"/>
          <w:sz w:val="32"/>
          <w:szCs w:val="32"/>
          <w:highlight w:val="none"/>
        </w:rPr>
        <w:t>0</w:t>
      </w:r>
      <w:r>
        <w:rPr>
          <w:rFonts w:hint="eastAsia" w:ascii="仿宋" w:hAnsi="仿宋" w:eastAsia="仿宋" w:cs="仿宋"/>
          <w:sz w:val="32"/>
          <w:szCs w:val="32"/>
          <w:highlight w:val="none"/>
        </w:rPr>
        <w:t>辆、应急保障用车</w:t>
      </w:r>
      <w:r>
        <w:rPr>
          <w:rFonts w:ascii="仿宋" w:hAnsi="仿宋" w:eastAsia="仿宋" w:cs="仿宋"/>
          <w:sz w:val="32"/>
          <w:szCs w:val="32"/>
          <w:highlight w:val="none"/>
        </w:rPr>
        <w:t>0</w:t>
      </w:r>
      <w:r>
        <w:rPr>
          <w:rFonts w:hint="eastAsia" w:ascii="仿宋" w:hAnsi="仿宋" w:eastAsia="仿宋" w:cs="仿宋"/>
          <w:sz w:val="32"/>
          <w:szCs w:val="32"/>
          <w:highlight w:val="none"/>
        </w:rPr>
        <w:t>辆、执法执勤用车</w:t>
      </w:r>
      <w:r>
        <w:rPr>
          <w:rFonts w:ascii="仿宋" w:hAnsi="仿宋" w:eastAsia="仿宋" w:cs="仿宋"/>
          <w:sz w:val="32"/>
          <w:szCs w:val="32"/>
          <w:highlight w:val="none"/>
        </w:rPr>
        <w:t>0</w:t>
      </w:r>
      <w:r>
        <w:rPr>
          <w:rFonts w:hint="eastAsia" w:ascii="仿宋" w:hAnsi="仿宋" w:eastAsia="仿宋" w:cs="仿宋"/>
          <w:sz w:val="32"/>
          <w:szCs w:val="32"/>
          <w:highlight w:val="none"/>
        </w:rPr>
        <w:t>辆、特种专业技术用车</w:t>
      </w:r>
      <w:r>
        <w:rPr>
          <w:rFonts w:ascii="仿宋" w:hAnsi="仿宋" w:eastAsia="仿宋" w:cs="仿宋"/>
          <w:sz w:val="32"/>
          <w:szCs w:val="32"/>
          <w:highlight w:val="none"/>
        </w:rPr>
        <w:t>0</w:t>
      </w:r>
      <w:r>
        <w:rPr>
          <w:rFonts w:hint="eastAsia" w:ascii="仿宋" w:hAnsi="仿宋" w:eastAsia="仿宋" w:cs="仿宋"/>
          <w:sz w:val="32"/>
          <w:szCs w:val="32"/>
          <w:highlight w:val="none"/>
        </w:rPr>
        <w:t>辆、其他用车</w:t>
      </w:r>
      <w:r>
        <w:rPr>
          <w:rFonts w:ascii="仿宋" w:hAnsi="仿宋" w:eastAsia="仿宋" w:cs="仿宋"/>
          <w:sz w:val="32"/>
          <w:szCs w:val="32"/>
          <w:highlight w:val="none"/>
        </w:rPr>
        <w:t>0</w:t>
      </w:r>
      <w:r>
        <w:rPr>
          <w:rFonts w:hint="eastAsia" w:ascii="仿宋" w:hAnsi="仿宋" w:eastAsia="仿宋" w:cs="仿宋"/>
          <w:sz w:val="32"/>
          <w:szCs w:val="32"/>
          <w:highlight w:val="none"/>
        </w:rPr>
        <w:t>辆；单位价值50万元以上通用设备</w:t>
      </w:r>
      <w:r>
        <w:rPr>
          <w:rFonts w:ascii="仿宋" w:hAnsi="仿宋" w:eastAsia="仿宋" w:cs="仿宋"/>
          <w:sz w:val="32"/>
          <w:szCs w:val="32"/>
          <w:highlight w:val="none"/>
        </w:rPr>
        <w:t>0</w:t>
      </w:r>
      <w:r>
        <w:rPr>
          <w:rFonts w:hint="eastAsia" w:ascii="仿宋" w:hAnsi="仿宋" w:eastAsia="仿宋" w:cs="仿宋"/>
          <w:sz w:val="32"/>
          <w:szCs w:val="32"/>
          <w:highlight w:val="none"/>
        </w:rPr>
        <w:t>台（套）；单位价值</w:t>
      </w:r>
      <w:r>
        <w:rPr>
          <w:rFonts w:hint="eastAsia" w:ascii="仿宋" w:hAnsi="仿宋" w:eastAsia="仿宋" w:cs="仿宋"/>
          <w:sz w:val="32"/>
          <w:szCs w:val="32"/>
          <w:highlight w:val="none"/>
          <w:lang w:val="en-US" w:eastAsia="zh-CN"/>
        </w:rPr>
        <w:t>100万</w:t>
      </w:r>
      <w:r>
        <w:rPr>
          <w:rFonts w:hint="eastAsia" w:ascii="仿宋" w:hAnsi="仿宋" w:eastAsia="仿宋" w:cs="仿宋"/>
          <w:sz w:val="32"/>
          <w:szCs w:val="32"/>
          <w:highlight w:val="none"/>
        </w:rPr>
        <w:t>元以上专用设备台（套）。</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（四）预算绩效管理工作开展情况</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1.绩效管理工作开展情况。</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根据财政预算管理要求，本部门组织对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度一般公共预算项目支出全面开展绩效自评。其中，一</w:t>
      </w:r>
      <w:r>
        <w:rPr>
          <w:rFonts w:hint="eastAsia" w:ascii="仿宋" w:hAnsi="仿宋" w:eastAsia="仿宋" w:cs="仿宋"/>
          <w:color w:val="000000" w:themeColor="text1"/>
          <w:sz w:val="32"/>
          <w:szCs w:val="32"/>
          <w:lang w:val="en-US" w:eastAsia="zh-CN"/>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项目</w:t>
      </w:r>
      <w:r>
        <w:rPr>
          <w:rFonts w:hint="eastAsia" w:ascii="仿宋" w:hAnsi="仿宋" w:eastAsia="仿宋" w:cs="仿宋"/>
          <w:color w:val="000000" w:themeColor="text1"/>
          <w:sz w:val="32"/>
          <w:szCs w:val="32"/>
          <w:lang w:val="en-US" w:eastAsia="zh-CN"/>
          <w14:textFill>
            <w14:solidFill>
              <w14:schemeClr w14:val="tx1"/>
            </w14:solidFill>
          </w14:textFill>
        </w:rPr>
        <w:t>14</w:t>
      </w:r>
      <w:r>
        <w:rPr>
          <w:rFonts w:hint="eastAsia" w:ascii="仿宋" w:hAnsi="仿宋" w:eastAsia="仿宋" w:cs="仿宋"/>
          <w:color w:val="000000" w:themeColor="text1"/>
          <w:sz w:val="32"/>
          <w:szCs w:val="32"/>
          <w14:textFill>
            <w14:solidFill>
              <w14:schemeClr w14:val="tx1"/>
            </w14:solidFill>
          </w14:textFill>
        </w:rPr>
        <w:t>个，二</w:t>
      </w:r>
      <w:r>
        <w:rPr>
          <w:rFonts w:hint="eastAsia" w:ascii="仿宋" w:hAnsi="仿宋" w:eastAsia="仿宋" w:cs="仿宋"/>
          <w:color w:val="000000" w:themeColor="text1"/>
          <w:sz w:val="32"/>
          <w:szCs w:val="32"/>
          <w:lang w:val="en-US" w:eastAsia="zh-CN"/>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项目</w:t>
      </w:r>
      <w:r>
        <w:rPr>
          <w:rFonts w:hint="eastAsia" w:ascii="仿宋" w:hAnsi="仿宋" w:eastAsia="仿宋" w:cs="仿宋"/>
          <w:color w:val="000000" w:themeColor="text1"/>
          <w:sz w:val="32"/>
          <w:szCs w:val="32"/>
          <w:lang w:val="en-US" w:eastAsia="zh-CN"/>
          <w14:textFill>
            <w14:solidFill>
              <w14:schemeClr w14:val="tx1"/>
            </w14:solidFill>
          </w14:textFill>
        </w:rPr>
        <w:t>3</w:t>
      </w:r>
      <w:r>
        <w:rPr>
          <w:rFonts w:hint="eastAsia" w:ascii="仿宋" w:hAnsi="仿宋" w:eastAsia="仿宋" w:cs="仿宋"/>
          <w:color w:val="000000" w:themeColor="text1"/>
          <w:sz w:val="32"/>
          <w:szCs w:val="32"/>
          <w14:textFill>
            <w14:solidFill>
              <w14:schemeClr w14:val="tx1"/>
            </w14:solidFill>
          </w14:textFill>
        </w:rPr>
        <w:t>个，共涉及资金</w:t>
      </w:r>
      <w:r>
        <w:rPr>
          <w:rFonts w:hint="eastAsia" w:ascii="仿宋" w:hAnsi="仿宋" w:eastAsia="仿宋" w:cs="仿宋"/>
          <w:color w:val="000000" w:themeColor="text1"/>
          <w:sz w:val="32"/>
          <w:szCs w:val="32"/>
          <w:lang w:val="en-US" w:eastAsia="zh-CN"/>
          <w14:textFill>
            <w14:solidFill>
              <w14:schemeClr w14:val="tx1"/>
            </w14:solidFill>
          </w14:textFill>
        </w:rPr>
        <w:t>334.11</w:t>
      </w:r>
      <w:r>
        <w:rPr>
          <w:rFonts w:hint="eastAsia" w:ascii="仿宋" w:hAnsi="仿宋" w:eastAsia="仿宋" w:cs="仿宋"/>
          <w:color w:val="000000" w:themeColor="text1"/>
          <w:sz w:val="32"/>
          <w:szCs w:val="32"/>
          <w14:textFill>
            <w14:solidFill>
              <w14:schemeClr w14:val="tx1"/>
            </w14:solidFill>
          </w14:textFill>
        </w:rPr>
        <w:t>万元，占一般公共预算项目支出总额的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25.98</w:t>
      </w: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度等</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个政府性基金预算项目支出开展绩效自评，共涉及资金</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万元，占政府性基金预算项目支出总额的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个国有资本经营预算项目支出开展绩效自评，共涉及资金</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万元，占国有资本经营预算项目支出总额的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w:t>
      </w:r>
    </w:p>
    <w:p>
      <w:pPr>
        <w:ind w:firstLine="640" w:firstLineChars="200"/>
        <w:jc w:val="left"/>
        <w:rPr>
          <w:rFonts w:hint="eastAsia" w:ascii="仿宋" w:hAnsi="仿宋" w:eastAsia="仿宋" w:cs="仿宋"/>
          <w:color w:val="FF0000"/>
          <w:sz w:val="32"/>
          <w:szCs w:val="32"/>
          <w:lang w:val="en-US" w:eastAsia="zh-CN"/>
        </w:rPr>
      </w:pPr>
      <w:r>
        <w:rPr>
          <w:rFonts w:hint="eastAsia" w:ascii="仿宋" w:hAnsi="仿宋" w:eastAsia="仿宋" w:cs="仿宋"/>
          <w:color w:val="000000" w:themeColor="text1"/>
          <w:sz w:val="32"/>
          <w:szCs w:val="32"/>
          <w14:textFill>
            <w14:solidFill>
              <w14:schemeClr w14:val="tx1"/>
            </w14:solidFill>
          </w14:textFill>
        </w:rPr>
        <w:t>2.部门决算中项目绩效自评结果</w:t>
      </w:r>
      <w:r>
        <w:rPr>
          <w:rFonts w:hint="eastAsia" w:ascii="仿宋" w:hAnsi="仿宋" w:eastAsia="仿宋" w:cs="仿宋"/>
          <w:color w:val="000000" w:themeColor="text1"/>
          <w:sz w:val="32"/>
          <w:szCs w:val="32"/>
          <w:lang w:val="en-US" w:eastAsia="zh-CN"/>
          <w14:textFill>
            <w14:solidFill>
              <w14:schemeClr w14:val="tx1"/>
            </w14:solidFill>
          </w14:textFill>
        </w:rPr>
        <w:t>.</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我</w:t>
      </w:r>
      <w:r>
        <w:rPr>
          <w:rFonts w:hint="eastAsia" w:ascii="仿宋" w:hAnsi="仿宋" w:eastAsia="仿宋" w:cs="仿宋"/>
          <w:color w:val="000000" w:themeColor="text1"/>
          <w:sz w:val="32"/>
          <w:szCs w:val="32"/>
          <w:lang w:eastAsia="zh-CN"/>
          <w14:textFill>
            <w14:solidFill>
              <w14:schemeClr w14:val="tx1"/>
            </w14:solidFill>
          </w14:textFill>
        </w:rPr>
        <w:t>校</w:t>
      </w:r>
      <w:r>
        <w:rPr>
          <w:rFonts w:hint="eastAsia" w:ascii="仿宋" w:hAnsi="仿宋" w:eastAsia="仿宋" w:cs="仿宋"/>
          <w:color w:val="000000" w:themeColor="text1"/>
          <w:sz w:val="32"/>
          <w:szCs w:val="32"/>
          <w14:textFill>
            <w14:solidFill>
              <w14:schemeClr w14:val="tx1"/>
            </w14:solidFill>
          </w14:textFill>
        </w:rPr>
        <w:t>根据年初设定的绩效目标，</w:t>
      </w:r>
      <w:r>
        <w:rPr>
          <w:rFonts w:hint="eastAsia" w:ascii="仿宋" w:hAnsi="仿宋" w:eastAsia="仿宋" w:cs="仿宋"/>
          <w:color w:val="000000" w:themeColor="text1"/>
          <w:sz w:val="32"/>
          <w:szCs w:val="32"/>
          <w:lang w:eastAsia="zh-CN"/>
          <w14:textFill>
            <w14:solidFill>
              <w14:schemeClr w14:val="tx1"/>
            </w14:solidFill>
          </w14:textFill>
        </w:rPr>
        <w:t>七个</w:t>
      </w:r>
      <w:r>
        <w:rPr>
          <w:rFonts w:hint="eastAsia" w:ascii="仿宋" w:hAnsi="仿宋" w:eastAsia="仿宋" w:cs="仿宋"/>
          <w:color w:val="000000" w:themeColor="text1"/>
          <w:sz w:val="32"/>
          <w:szCs w:val="32"/>
          <w14:textFill>
            <w14:solidFill>
              <w14:schemeClr w14:val="tx1"/>
            </w14:solidFill>
          </w14:textFill>
        </w:rPr>
        <w:t>项目自评得分为</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七个</w:t>
      </w:r>
      <w:r>
        <w:rPr>
          <w:rFonts w:hint="eastAsia" w:ascii="仿宋" w:hAnsi="仿宋" w:eastAsia="仿宋" w:cs="仿宋"/>
          <w:color w:val="000000" w:themeColor="text1"/>
          <w:sz w:val="32"/>
          <w:szCs w:val="32"/>
          <w14:textFill>
            <w14:solidFill>
              <w14:schemeClr w14:val="tx1"/>
            </w14:solidFill>
          </w14:textFill>
        </w:rPr>
        <w:t>项目自评得分</w:t>
      </w:r>
      <w:r>
        <w:rPr>
          <w:rFonts w:hint="eastAsia" w:ascii="仿宋" w:hAnsi="仿宋" w:eastAsia="仿宋" w:cs="仿宋"/>
          <w:color w:val="000000" w:themeColor="text1"/>
          <w:sz w:val="32"/>
          <w:szCs w:val="32"/>
          <w:lang w:eastAsia="zh-CN"/>
          <w14:textFill>
            <w14:solidFill>
              <w14:schemeClr w14:val="tx1"/>
            </w14:solidFill>
          </w14:textFill>
        </w:rPr>
        <w:t>在</w:t>
      </w:r>
      <w:r>
        <w:rPr>
          <w:rFonts w:hint="eastAsia" w:ascii="仿宋" w:hAnsi="仿宋" w:eastAsia="仿宋" w:cs="仿宋"/>
          <w:color w:val="000000" w:themeColor="text1"/>
          <w:sz w:val="32"/>
          <w:szCs w:val="32"/>
          <w:lang w:val="en-US" w:eastAsia="zh-CN"/>
          <w14:textFill>
            <w14:solidFill>
              <w14:schemeClr w14:val="tx1"/>
            </w14:solidFill>
          </w14:textFill>
        </w:rPr>
        <w:t>90分至100</w:t>
      </w:r>
      <w:r>
        <w:rPr>
          <w:rFonts w:hint="eastAsia" w:ascii="仿宋" w:hAnsi="仿宋" w:eastAsia="仿宋" w:cs="仿宋"/>
          <w:color w:val="000000" w:themeColor="text1"/>
          <w:sz w:val="32"/>
          <w:szCs w:val="32"/>
          <w14:textFill>
            <w14:solidFill>
              <w14:schemeClr w14:val="tx1"/>
            </w14:solidFill>
          </w14:textFill>
        </w:rPr>
        <w:t>分</w:t>
      </w:r>
      <w:r>
        <w:rPr>
          <w:rFonts w:hint="eastAsia" w:ascii="仿宋" w:hAnsi="仿宋" w:eastAsia="仿宋" w:cs="仿宋"/>
          <w:color w:val="000000" w:themeColor="text1"/>
          <w:sz w:val="32"/>
          <w:szCs w:val="32"/>
          <w:lang w:eastAsia="zh-CN"/>
          <w14:textFill>
            <w14:solidFill>
              <w14:schemeClr w14:val="tx1"/>
            </w14:solidFill>
          </w14:textFill>
        </w:rPr>
        <w:t>之间</w:t>
      </w:r>
      <w:r>
        <w:rPr>
          <w:rFonts w:hint="eastAsia" w:ascii="仿宋" w:hAnsi="仿宋" w:eastAsia="仿宋" w:cs="仿宋"/>
          <w:color w:val="000000" w:themeColor="text1"/>
          <w:sz w:val="32"/>
          <w:szCs w:val="32"/>
          <w:lang w:val="en-US" w:eastAsia="zh-CN"/>
          <w14:textFill>
            <w14:solidFill>
              <w14:schemeClr w14:val="tx1"/>
            </w14:solidFill>
          </w14:textFill>
        </w:rPr>
        <w:t>;三</w:t>
      </w:r>
      <w:r>
        <w:rPr>
          <w:rFonts w:hint="eastAsia" w:ascii="仿宋" w:hAnsi="仿宋" w:eastAsia="仿宋" w:cs="仿宋"/>
          <w:color w:val="000000" w:themeColor="text1"/>
          <w:sz w:val="32"/>
          <w:szCs w:val="32"/>
          <w:lang w:eastAsia="zh-CN"/>
          <w14:textFill>
            <w14:solidFill>
              <w14:schemeClr w14:val="tx1"/>
            </w14:solidFill>
          </w14:textFill>
        </w:rPr>
        <w:t>个</w:t>
      </w:r>
      <w:r>
        <w:rPr>
          <w:rFonts w:hint="eastAsia" w:ascii="仿宋" w:hAnsi="仿宋" w:eastAsia="仿宋" w:cs="仿宋"/>
          <w:color w:val="000000" w:themeColor="text1"/>
          <w:sz w:val="32"/>
          <w:szCs w:val="32"/>
          <w14:textFill>
            <w14:solidFill>
              <w14:schemeClr w14:val="tx1"/>
            </w14:solidFill>
          </w14:textFill>
        </w:rPr>
        <w:t>项目自评得分为</w:t>
      </w:r>
      <w:r>
        <w:rPr>
          <w:rFonts w:hint="eastAsia" w:ascii="仿宋" w:hAnsi="仿宋" w:eastAsia="仿宋" w:cs="仿宋"/>
          <w:color w:val="000000" w:themeColor="text1"/>
          <w:sz w:val="32"/>
          <w:szCs w:val="32"/>
          <w:lang w:val="en-US" w:eastAsia="zh-CN"/>
          <w14:textFill>
            <w14:solidFill>
              <w14:schemeClr w14:val="tx1"/>
            </w14:solidFill>
          </w14:textFill>
        </w:rPr>
        <w:t>90</w:t>
      </w:r>
      <w:r>
        <w:rPr>
          <w:rFonts w:hint="eastAsia" w:ascii="仿宋" w:hAnsi="仿宋" w:eastAsia="仿宋" w:cs="仿宋"/>
          <w:color w:val="000000" w:themeColor="text1"/>
          <w:sz w:val="32"/>
          <w:szCs w:val="32"/>
          <w14:textFill>
            <w14:solidFill>
              <w14:schemeClr w14:val="tx1"/>
            </w14:solidFill>
          </w14:textFill>
        </w:rPr>
        <w:t>分</w:t>
      </w:r>
      <w:r>
        <w:rPr>
          <w:rFonts w:hint="eastAsia" w:ascii="仿宋" w:hAnsi="仿宋" w:eastAsia="仿宋" w:cs="仿宋"/>
          <w:color w:val="000000" w:themeColor="text1"/>
          <w:sz w:val="32"/>
          <w:szCs w:val="32"/>
          <w:lang w:eastAsia="zh-CN"/>
          <w14:textFill>
            <w14:solidFill>
              <w14:schemeClr w14:val="tx1"/>
            </w14:solidFill>
          </w14:textFill>
        </w:rPr>
        <w:t>以下</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三</w:t>
      </w:r>
      <w:r>
        <w:rPr>
          <w:rFonts w:hint="eastAsia" w:ascii="仿宋" w:hAnsi="仿宋" w:eastAsia="仿宋" w:cs="仿宋"/>
          <w:color w:val="000000" w:themeColor="text1"/>
          <w:sz w:val="32"/>
          <w:szCs w:val="32"/>
          <w:lang w:eastAsia="zh-CN"/>
          <w14:textFill>
            <w14:solidFill>
              <w14:schemeClr w14:val="tx1"/>
            </w14:solidFill>
          </w14:textFill>
        </w:rPr>
        <w:t>个</w:t>
      </w:r>
      <w:r>
        <w:rPr>
          <w:rFonts w:hint="eastAsia" w:ascii="仿宋" w:hAnsi="仿宋" w:eastAsia="仿宋" w:cs="仿宋"/>
          <w:color w:val="000000" w:themeColor="text1"/>
          <w:sz w:val="32"/>
          <w:szCs w:val="32"/>
          <w14:textFill>
            <w14:solidFill>
              <w14:schemeClr w14:val="tx1"/>
            </w14:solidFill>
          </w14:textFill>
        </w:rPr>
        <w:t>项目自评得分为</w:t>
      </w:r>
      <w:r>
        <w:rPr>
          <w:rFonts w:hint="eastAsia" w:ascii="仿宋" w:hAnsi="仿宋" w:eastAsia="仿宋" w:cs="仿宋"/>
          <w:color w:val="000000" w:themeColor="text1"/>
          <w:sz w:val="32"/>
          <w:szCs w:val="32"/>
          <w:lang w:val="en-US" w:eastAsia="zh-CN"/>
          <w14:textFill>
            <w14:solidFill>
              <w14:schemeClr w14:val="tx1"/>
            </w14:solidFill>
          </w14:textFill>
        </w:rPr>
        <w:t>90</w:t>
      </w:r>
      <w:r>
        <w:rPr>
          <w:rFonts w:hint="eastAsia" w:ascii="仿宋" w:hAnsi="仿宋" w:eastAsia="仿宋" w:cs="仿宋"/>
          <w:color w:val="000000" w:themeColor="text1"/>
          <w:sz w:val="32"/>
          <w:szCs w:val="32"/>
          <w14:textFill>
            <w14:solidFill>
              <w14:schemeClr w14:val="tx1"/>
            </w14:solidFill>
          </w14:textFill>
        </w:rPr>
        <w:t>分</w:t>
      </w:r>
      <w:r>
        <w:rPr>
          <w:rFonts w:hint="eastAsia" w:ascii="仿宋" w:hAnsi="仿宋" w:eastAsia="仿宋" w:cs="仿宋"/>
          <w:color w:val="000000" w:themeColor="text1"/>
          <w:sz w:val="32"/>
          <w:szCs w:val="32"/>
          <w:lang w:eastAsia="zh-CN"/>
          <w14:textFill>
            <w14:solidFill>
              <w14:schemeClr w14:val="tx1"/>
            </w14:solidFill>
          </w14:textFill>
        </w:rPr>
        <w:t>以下</w:t>
      </w:r>
      <w:r>
        <w:rPr>
          <w:rFonts w:hint="eastAsia" w:ascii="仿宋" w:hAnsi="仿宋" w:eastAsia="仿宋" w:cs="仿宋"/>
          <w:color w:val="000000" w:themeColor="text1"/>
          <w:sz w:val="32"/>
          <w:szCs w:val="32"/>
          <w14:textFill>
            <w14:solidFill>
              <w14:schemeClr w14:val="tx1"/>
            </w14:solidFill>
          </w14:textFill>
        </w:rPr>
        <w:t>主要问题及原因：</w:t>
      </w:r>
      <w:r>
        <w:rPr>
          <w:rFonts w:hint="eastAsia" w:ascii="仿宋" w:hAnsi="仿宋" w:eastAsia="仿宋" w:cs="仿宋"/>
          <w:color w:val="000000" w:themeColor="text1"/>
          <w:sz w:val="32"/>
          <w:szCs w:val="32"/>
          <w:lang w:eastAsia="zh-CN"/>
          <w14:textFill>
            <w14:solidFill>
              <w14:schemeClr w14:val="tx1"/>
            </w14:solidFill>
          </w14:textFill>
        </w:rPr>
        <w:t>支付率过低</w:t>
      </w:r>
      <w:r>
        <w:rPr>
          <w:rFonts w:hint="eastAsia" w:ascii="仿宋" w:hAnsi="仿宋" w:eastAsia="仿宋" w:cs="仿宋"/>
          <w:color w:val="000000" w:themeColor="text1"/>
          <w:sz w:val="32"/>
          <w:szCs w:val="32"/>
          <w:lang w:val="en-US" w:eastAsia="zh-CN"/>
          <w14:textFill>
            <w14:solidFill>
              <w14:schemeClr w14:val="tx1"/>
            </w14:solidFill>
          </w14:textFill>
        </w:rPr>
        <w:t>,决算数与预算数相差偏大.</w:t>
      </w:r>
      <w:r>
        <w:rPr>
          <w:rFonts w:hint="eastAsia" w:ascii="仿宋" w:hAnsi="仿宋" w:eastAsia="仿宋" w:cs="仿宋"/>
          <w:color w:val="000000" w:themeColor="text1"/>
          <w:sz w:val="32"/>
          <w:szCs w:val="32"/>
          <w14:textFill>
            <w14:solidFill>
              <w14:schemeClr w14:val="tx1"/>
            </w14:solidFill>
          </w14:textFill>
        </w:rPr>
        <w:t>下一步改进措施：</w:t>
      </w:r>
      <w:r>
        <w:rPr>
          <w:rFonts w:hint="eastAsia" w:ascii="仿宋" w:hAnsi="仿宋" w:eastAsia="仿宋" w:cs="仿宋"/>
          <w:color w:val="000000" w:themeColor="text1"/>
          <w:sz w:val="32"/>
          <w:szCs w:val="32"/>
          <w:lang w:eastAsia="zh-CN"/>
          <w14:textFill>
            <w14:solidFill>
              <w14:schemeClr w14:val="tx1"/>
            </w14:solidFill>
          </w14:textFill>
        </w:rPr>
        <w:t>按预算数施行</w:t>
      </w:r>
      <w:r>
        <w:rPr>
          <w:rFonts w:hint="eastAsia" w:ascii="仿宋" w:hAnsi="仿宋" w:eastAsia="仿宋" w:cs="仿宋"/>
          <w:color w:val="000000" w:themeColor="text1"/>
          <w:sz w:val="32"/>
          <w:szCs w:val="32"/>
          <w:lang w:val="en-US" w:eastAsia="zh-CN"/>
          <w14:textFill>
            <w14:solidFill>
              <w14:schemeClr w14:val="tx1"/>
            </w14:solidFill>
          </w14:textFill>
        </w:rPr>
        <w:t>,及时整理材料及时报账</w:t>
      </w:r>
      <w:r>
        <w:rPr>
          <w:rFonts w:hint="eastAsia" w:ascii="仿宋" w:hAnsi="仿宋" w:eastAsia="仿宋" w:cs="仿宋"/>
          <w:color w:val="000000" w:themeColor="text1"/>
          <w:sz w:val="32"/>
          <w:szCs w:val="32"/>
          <w14:textFill>
            <w14:solidFill>
              <w14:schemeClr w14:val="tx1"/>
            </w14:solidFill>
          </w14:textFill>
        </w:rPr>
        <w:t>。</w:t>
      </w:r>
    </w:p>
    <w:p>
      <w:pPr>
        <w:jc w:val="left"/>
        <w:rPr>
          <w:rFonts w:hint="eastAsia" w:ascii="仿宋" w:hAnsi="仿宋" w:eastAsia="仿宋" w:cs="仿宋"/>
          <w:sz w:val="32"/>
          <w:szCs w:val="32"/>
          <w:highlight w:val="none"/>
        </w:rPr>
      </w:pPr>
    </w:p>
    <w:p>
      <w:pPr>
        <w:jc w:val="center"/>
        <w:rPr>
          <w:rFonts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一、财政拨款收入：指</w:t>
      </w:r>
      <w:r>
        <w:rPr>
          <w:rFonts w:ascii="仿宋" w:hAnsi="仿宋" w:eastAsia="仿宋" w:cs="仿宋"/>
          <w:sz w:val="32"/>
          <w:u w:color="auto"/>
        </w:rPr>
        <w:t>环江毛南族自治县财政部门当年拨付的资金。</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二、事业收入：指事业单位开展专业业务活动及辅助活动所取得的收入。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三、经营收入：指事业单位在专业业务活动及其辅助活动之外开展非独立核算经营活动取得的收入。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四、其他收入：指除上述“财政拨款收入”“事业收入”“经营收入”等以外的收入。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五、用事业基金弥补收支差额指事业单位在当年的“财政拨款收入”“事业收入”“经营收入”“其他收入”不足以安排当年支出的情况下，使用非财政拨款结余弥补本年度收支缺口的资金。 </w:t>
      </w:r>
    </w:p>
    <w:p>
      <w:pPr>
        <w:ind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六、年初结转和结余：指以前年度尚未完成、结转到本年 按有关规定继续使用的资金</w:t>
      </w:r>
      <w:r>
        <w:rPr>
          <w:rFonts w:hint="eastAsia" w:ascii="仿宋" w:hAnsi="仿宋" w:eastAsia="仿宋" w:cs="仿宋"/>
          <w:sz w:val="32"/>
          <w:szCs w:val="32"/>
          <w:highlight w:val="none"/>
          <w:lang w:eastAsia="zh-CN"/>
        </w:rPr>
        <w:t>。</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七、结余分配：指事业单位按规定提取的职工福利基金、事业基金和缴纳的所得税，以及建设单位按规定应交回的基本建设竣工项目结余资金。 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八、年末结转和结余：指本年度或以前年度预算安排、因客观条件发生变化无法按原计划实施，需要延迟到以后年度按有关规定继续使用的资金。 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九、基本支出：指为保障机构正常运转、完成日常工作任务而发生的人员支出和公用支出。 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十、项目支出：指在基本支出之外为完成特定行政任务和事业发展目标所发生的支出。 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十一、经营支出：指事业单位在专业业务活动及其辅助活动之外开展非独立核算经营活动发生的支出。</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十二、“三公”经费：纳入</w:t>
      </w:r>
      <w:r>
        <w:rPr>
          <w:rFonts w:ascii="仿宋" w:hAnsi="仿宋" w:eastAsia="仿宋" w:cs="仿宋"/>
          <w:sz w:val="32"/>
          <w:u w:color="auto"/>
        </w:rPr>
        <w:t>环江毛南族自治县财政预决算管理的“三公”经费，是指环江毛南族自治县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jc w:val="left"/>
        <w:rPr>
          <w:rFonts w:hint="eastAsia" w:ascii="仿宋" w:hAnsi="仿宋" w:eastAsia="仿宋" w:cs="仿宋"/>
          <w:sz w:val="32"/>
          <w:szCs w:val="32"/>
          <w:highlight w:val="none"/>
        </w:rPr>
      </w:pPr>
    </w:p>
    <w:p>
      <w:pPr>
        <w:ind w:firstLine="640" w:firstLineChars="200"/>
        <w:jc w:val="left"/>
        <w:rPr>
          <w:rFonts w:hint="eastAsia" w:ascii="仿宋" w:hAnsi="仿宋" w:eastAsia="仿宋" w:cs="仿宋"/>
          <w:sz w:val="32"/>
          <w:szCs w:val="32"/>
          <w:highlight w:val="none"/>
        </w:rPr>
      </w:pPr>
    </w:p>
    <w:p>
      <w:pPr>
        <w:ind w:firstLine="640" w:firstLineChars="200"/>
        <w:jc w:val="left"/>
        <w:rPr>
          <w:rFonts w:hint="eastAsia" w:ascii="仿宋" w:hAnsi="仿宋" w:eastAsia="仿宋" w:cs="仿宋"/>
          <w:sz w:val="32"/>
          <w:szCs w:val="32"/>
          <w:highlight w:val="none"/>
        </w:rPr>
      </w:pPr>
    </w:p>
    <w:p>
      <w:pPr>
        <w:ind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w:t>
      </w:r>
    </w:p>
    <w:sectPr>
      <w:pgSz w:w="11906" w:h="16838"/>
      <w:pgMar w:top="1440" w:right="1800" w:bottom="1440" w:left="1800" w:header="851" w:footer="992"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F86D39"/>
    <w:multiLevelType w:val="singleLevel"/>
    <w:tmpl w:val="9BF86D39"/>
    <w:lvl w:ilvl="0" w:tentative="0">
      <w:start w:val="1"/>
      <w:numFmt w:val="chineseCounting"/>
      <w:suff w:val="nothing"/>
      <w:lvlText w:val="（%1）"/>
      <w:lvlJc w:val="left"/>
      <w:pPr>
        <w:ind w:left="0" w:firstLine="420"/>
      </w:pPr>
      <w:rPr>
        <w:rFonts w:hint="eastAsia"/>
        <w:color w:val="auto"/>
        <w:sz w:val="32"/>
        <w:szCs w:val="32"/>
      </w:rPr>
    </w:lvl>
  </w:abstractNum>
  <w:abstractNum w:abstractNumId="1">
    <w:nsid w:val="DB743884"/>
    <w:multiLevelType w:val="singleLevel"/>
    <w:tmpl w:val="DB743884"/>
    <w:lvl w:ilvl="0" w:tentative="0">
      <w:start w:val="1"/>
      <w:numFmt w:val="chineseCounting"/>
      <w:suff w:val="nothing"/>
      <w:lvlText w:val="（%1）"/>
      <w:lvlJc w:val="left"/>
      <w:pPr>
        <w:ind w:left="0" w:firstLine="420"/>
      </w:pPr>
      <w:rPr>
        <w:rFonts w:hint="eastAsia"/>
        <w:color w:val="auto"/>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MyZjQ5Y2YxNTQwNTg4YzZhY2M1MzMwMDg5MTY4MjYifQ=="/>
  </w:docVars>
  <w:rsids>
    <w:rsidRoot w:val="637D7558"/>
    <w:rsid w:val="00002C84"/>
    <w:rsid w:val="00022149"/>
    <w:rsid w:val="00047F6C"/>
    <w:rsid w:val="00093C26"/>
    <w:rsid w:val="00094B91"/>
    <w:rsid w:val="000B06D8"/>
    <w:rsid w:val="000E5855"/>
    <w:rsid w:val="001418A5"/>
    <w:rsid w:val="00147D40"/>
    <w:rsid w:val="00156EF2"/>
    <w:rsid w:val="001D7B97"/>
    <w:rsid w:val="00210E20"/>
    <w:rsid w:val="00223F38"/>
    <w:rsid w:val="00233613"/>
    <w:rsid w:val="00254DBE"/>
    <w:rsid w:val="00275CAB"/>
    <w:rsid w:val="0028709C"/>
    <w:rsid w:val="0029328F"/>
    <w:rsid w:val="002B2731"/>
    <w:rsid w:val="00382867"/>
    <w:rsid w:val="003A4973"/>
    <w:rsid w:val="003C1C96"/>
    <w:rsid w:val="003C69F8"/>
    <w:rsid w:val="003E40BA"/>
    <w:rsid w:val="003E7165"/>
    <w:rsid w:val="0041579D"/>
    <w:rsid w:val="00427074"/>
    <w:rsid w:val="00434D04"/>
    <w:rsid w:val="004C4D73"/>
    <w:rsid w:val="004D7D0E"/>
    <w:rsid w:val="005234F5"/>
    <w:rsid w:val="00531745"/>
    <w:rsid w:val="00574196"/>
    <w:rsid w:val="006123AD"/>
    <w:rsid w:val="00645B83"/>
    <w:rsid w:val="0066173C"/>
    <w:rsid w:val="006D677A"/>
    <w:rsid w:val="007640BB"/>
    <w:rsid w:val="00771953"/>
    <w:rsid w:val="00776E0B"/>
    <w:rsid w:val="007A0641"/>
    <w:rsid w:val="007C52E7"/>
    <w:rsid w:val="007C54EA"/>
    <w:rsid w:val="007C776D"/>
    <w:rsid w:val="007D7CE3"/>
    <w:rsid w:val="007E2F6C"/>
    <w:rsid w:val="00817C69"/>
    <w:rsid w:val="00823A94"/>
    <w:rsid w:val="00824151"/>
    <w:rsid w:val="008315A9"/>
    <w:rsid w:val="00834354"/>
    <w:rsid w:val="008F1B95"/>
    <w:rsid w:val="008F4AE2"/>
    <w:rsid w:val="008F6882"/>
    <w:rsid w:val="00934C72"/>
    <w:rsid w:val="00946CCF"/>
    <w:rsid w:val="0097721B"/>
    <w:rsid w:val="009831F8"/>
    <w:rsid w:val="009B3E00"/>
    <w:rsid w:val="009D1667"/>
    <w:rsid w:val="00A07CCE"/>
    <w:rsid w:val="00A27624"/>
    <w:rsid w:val="00A358E6"/>
    <w:rsid w:val="00AA78EE"/>
    <w:rsid w:val="00AB53E1"/>
    <w:rsid w:val="00AE5F66"/>
    <w:rsid w:val="00B07A0B"/>
    <w:rsid w:val="00B22F28"/>
    <w:rsid w:val="00B37453"/>
    <w:rsid w:val="00B45479"/>
    <w:rsid w:val="00B60171"/>
    <w:rsid w:val="00B837AC"/>
    <w:rsid w:val="00BB4FB8"/>
    <w:rsid w:val="00BD315D"/>
    <w:rsid w:val="00C3279E"/>
    <w:rsid w:val="00C34857"/>
    <w:rsid w:val="00CA2E26"/>
    <w:rsid w:val="00D00918"/>
    <w:rsid w:val="00D14326"/>
    <w:rsid w:val="00D772CC"/>
    <w:rsid w:val="00D84F30"/>
    <w:rsid w:val="00D878A6"/>
    <w:rsid w:val="00DE74BD"/>
    <w:rsid w:val="00DE7D07"/>
    <w:rsid w:val="00EB7822"/>
    <w:rsid w:val="00EC50A9"/>
    <w:rsid w:val="00ED04DB"/>
    <w:rsid w:val="00F21455"/>
    <w:rsid w:val="00F5354B"/>
    <w:rsid w:val="00F95135"/>
    <w:rsid w:val="00F9658C"/>
    <w:rsid w:val="00F978FD"/>
    <w:rsid w:val="00FA738E"/>
    <w:rsid w:val="00FC438B"/>
    <w:rsid w:val="01234E98"/>
    <w:rsid w:val="015F1951"/>
    <w:rsid w:val="020C171D"/>
    <w:rsid w:val="0216715F"/>
    <w:rsid w:val="02E0291A"/>
    <w:rsid w:val="04E54546"/>
    <w:rsid w:val="05992762"/>
    <w:rsid w:val="07B0770E"/>
    <w:rsid w:val="0942143F"/>
    <w:rsid w:val="0D100297"/>
    <w:rsid w:val="0D202B45"/>
    <w:rsid w:val="0F8D4C87"/>
    <w:rsid w:val="10505FAA"/>
    <w:rsid w:val="105F7E7E"/>
    <w:rsid w:val="11E56B5B"/>
    <w:rsid w:val="125C77AB"/>
    <w:rsid w:val="14CB726E"/>
    <w:rsid w:val="17E92249"/>
    <w:rsid w:val="18D304F1"/>
    <w:rsid w:val="19F32577"/>
    <w:rsid w:val="19F45B80"/>
    <w:rsid w:val="1B0C078D"/>
    <w:rsid w:val="1B2B31E2"/>
    <w:rsid w:val="1B4C295A"/>
    <w:rsid w:val="1B973C63"/>
    <w:rsid w:val="1BA1001E"/>
    <w:rsid w:val="1D317259"/>
    <w:rsid w:val="1E664F5B"/>
    <w:rsid w:val="1EB34BE1"/>
    <w:rsid w:val="215E639F"/>
    <w:rsid w:val="21EC3183"/>
    <w:rsid w:val="225E72CD"/>
    <w:rsid w:val="24510113"/>
    <w:rsid w:val="246E2F77"/>
    <w:rsid w:val="254662CA"/>
    <w:rsid w:val="254B4E2B"/>
    <w:rsid w:val="283D7C94"/>
    <w:rsid w:val="29480E03"/>
    <w:rsid w:val="2983634D"/>
    <w:rsid w:val="2BB02055"/>
    <w:rsid w:val="2C575A56"/>
    <w:rsid w:val="2F257714"/>
    <w:rsid w:val="2F3275E5"/>
    <w:rsid w:val="30AA08EF"/>
    <w:rsid w:val="30D23D1C"/>
    <w:rsid w:val="31221CF5"/>
    <w:rsid w:val="31400178"/>
    <w:rsid w:val="31F10939"/>
    <w:rsid w:val="321E3342"/>
    <w:rsid w:val="327759C8"/>
    <w:rsid w:val="33185FE3"/>
    <w:rsid w:val="342D5D52"/>
    <w:rsid w:val="34EE2E36"/>
    <w:rsid w:val="36777241"/>
    <w:rsid w:val="371E78D5"/>
    <w:rsid w:val="38A951DB"/>
    <w:rsid w:val="38B31605"/>
    <w:rsid w:val="39003F4F"/>
    <w:rsid w:val="3C07002B"/>
    <w:rsid w:val="3C0E3541"/>
    <w:rsid w:val="3D0D152A"/>
    <w:rsid w:val="3DF62756"/>
    <w:rsid w:val="3F1B7587"/>
    <w:rsid w:val="41E57B4F"/>
    <w:rsid w:val="432F26F6"/>
    <w:rsid w:val="43880F63"/>
    <w:rsid w:val="441C5A6F"/>
    <w:rsid w:val="44C44FCC"/>
    <w:rsid w:val="44CC7369"/>
    <w:rsid w:val="457F5108"/>
    <w:rsid w:val="459E78EF"/>
    <w:rsid w:val="46951B6B"/>
    <w:rsid w:val="49A34401"/>
    <w:rsid w:val="4A3E30AB"/>
    <w:rsid w:val="4AC14DAC"/>
    <w:rsid w:val="4D154C85"/>
    <w:rsid w:val="4EB35ECE"/>
    <w:rsid w:val="508F4E24"/>
    <w:rsid w:val="51461E90"/>
    <w:rsid w:val="51463753"/>
    <w:rsid w:val="52553A93"/>
    <w:rsid w:val="53521F8B"/>
    <w:rsid w:val="53E22F47"/>
    <w:rsid w:val="54522FF8"/>
    <w:rsid w:val="55450629"/>
    <w:rsid w:val="56692963"/>
    <w:rsid w:val="568B0F48"/>
    <w:rsid w:val="5786217B"/>
    <w:rsid w:val="59337A15"/>
    <w:rsid w:val="59810274"/>
    <w:rsid w:val="5CA96A00"/>
    <w:rsid w:val="5CF730BC"/>
    <w:rsid w:val="5E5F0DCE"/>
    <w:rsid w:val="5FA40A7B"/>
    <w:rsid w:val="5FD56D29"/>
    <w:rsid w:val="5FEC7F3F"/>
    <w:rsid w:val="60F74BC3"/>
    <w:rsid w:val="617D3BF8"/>
    <w:rsid w:val="61841F6A"/>
    <w:rsid w:val="623007A9"/>
    <w:rsid w:val="637D7558"/>
    <w:rsid w:val="644F19AC"/>
    <w:rsid w:val="645D265E"/>
    <w:rsid w:val="65AA4920"/>
    <w:rsid w:val="65E31D0B"/>
    <w:rsid w:val="67694F1E"/>
    <w:rsid w:val="69597934"/>
    <w:rsid w:val="6B964DDC"/>
    <w:rsid w:val="6C783074"/>
    <w:rsid w:val="6D9E65C6"/>
    <w:rsid w:val="6DA81947"/>
    <w:rsid w:val="6EB66DE2"/>
    <w:rsid w:val="6ED3075F"/>
    <w:rsid w:val="6F2A2D4B"/>
    <w:rsid w:val="6F8A0C1E"/>
    <w:rsid w:val="703F45D4"/>
    <w:rsid w:val="715D6546"/>
    <w:rsid w:val="71BE069E"/>
    <w:rsid w:val="73953409"/>
    <w:rsid w:val="73E069A3"/>
    <w:rsid w:val="78104AA8"/>
    <w:rsid w:val="78E257C5"/>
    <w:rsid w:val="794B35BE"/>
    <w:rsid w:val="7B0A3A31"/>
    <w:rsid w:val="7B3360ED"/>
    <w:rsid w:val="7BDF037E"/>
    <w:rsid w:val="7BF50948"/>
    <w:rsid w:val="7CE66A78"/>
    <w:rsid w:val="7D23564C"/>
    <w:rsid w:val="7D2F73AB"/>
    <w:rsid w:val="7D5E062D"/>
    <w:rsid w:val="7DF76CD8"/>
    <w:rsid w:val="7E357CBD"/>
    <w:rsid w:val="7F695C26"/>
    <w:rsid w:val="7FCF62D3"/>
    <w:rsid w:val="CEFFBA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Emphasis"/>
    <w:basedOn w:val="7"/>
    <w:qFormat/>
    <w:uiPriority w:val="0"/>
    <w:rPr>
      <w:i/>
    </w:rPr>
  </w:style>
  <w:style w:type="character" w:customStyle="1" w:styleId="9">
    <w:name w:val="页眉 Char"/>
    <w:basedOn w:val="7"/>
    <w:link w:val="4"/>
    <w:qFormat/>
    <w:uiPriority w:val="0"/>
    <w:rPr>
      <w:rFonts w:asciiTheme="minorHAnsi" w:hAnsiTheme="minorHAnsi" w:eastAsiaTheme="minorEastAsia" w:cstheme="minorBidi"/>
      <w:kern w:val="2"/>
      <w:sz w:val="18"/>
      <w:szCs w:val="18"/>
    </w:rPr>
  </w:style>
  <w:style w:type="character" w:customStyle="1" w:styleId="10">
    <w:name w:val="页脚 Char"/>
    <w:basedOn w:val="7"/>
    <w:link w:val="3"/>
    <w:qFormat/>
    <w:uiPriority w:val="0"/>
    <w:rPr>
      <w:rFonts w:asciiTheme="minorHAnsi" w:hAnsiTheme="minorHAnsi" w:eastAsiaTheme="minorEastAsia" w:cstheme="minorBidi"/>
      <w:kern w:val="2"/>
      <w:sz w:val="18"/>
      <w:szCs w:val="18"/>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hart" Target="charts/chart13.xml"/><Relationship Id="rId17" Type="http://schemas.openxmlformats.org/officeDocument/2006/relationships/chart" Target="charts/chart12.xml"/><Relationship Id="rId16" Type="http://schemas.openxmlformats.org/officeDocument/2006/relationships/chart" Target="charts/chart11.xml"/><Relationship Id="rId15" Type="http://schemas.openxmlformats.org/officeDocument/2006/relationships/chart" Target="charts/chart10.xml"/><Relationship Id="rId14" Type="http://schemas.openxmlformats.org/officeDocument/2006/relationships/chart" Target="charts/chart9.xml"/><Relationship Id="rId13" Type="http://schemas.openxmlformats.org/officeDocument/2006/relationships/chart" Target="charts/chart8.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7.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Workbook12.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Workbook13.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Workbook10.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Workbook9.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8.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8.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9.xml.rels><?xml version="1.0" encoding="UTF-8" standalone="yes"?>
<Relationships xmlns="http://schemas.openxmlformats.org/package/2006/relationships"><Relationship Id="rId1" Type="http://schemas.openxmlformats.org/officeDocument/2006/relationships/package" Target="../embeddings/Workbook1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决算收入支出图表</a:t>
            </a:r>
            <a:endParaRPr lang="zh-CN" altLang="en-US"/>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spPr/>
          <c:explosion val="0"/>
          <c:dPt>
            <c:idx val="0"/>
            <c:bubble3D val="0"/>
            <c:spPr>
              <a:solidFill>
                <a:schemeClr val="accent1"/>
              </a:solidFill>
              <a:ln w="19050">
                <a:solidFill>
                  <a:schemeClr val="lt1"/>
                </a:solidFill>
              </a:ln>
              <a:effectLst/>
            </c:spPr>
          </c:dPt>
          <c:dLbls>
            <c:delete val="1"/>
          </c:dLbls>
          <c:cat>
            <c:strRef>
              <c:f>Sheet1!$A$2</c:f>
              <c:strCache>
                <c:ptCount val="1"/>
                <c:pt idx="0">
                  <c:v>一般公共预算财政拨款收入</c:v>
                </c:pt>
              </c:strCache>
            </c:strRef>
          </c:cat>
          <c:val>
            <c:numRef>
              <c:f>Sheet1!$B$2</c:f>
              <c:numCache>
                <c:formatCode>General</c:formatCode>
                <c:ptCount val="1"/>
                <c:pt idx="0">
                  <c:v>1286.18</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对个人和家庭的补助</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Sheet1!$A$2:$A$13</c:f>
              <c:numCache>
                <c:formatCode>General</c:formatCode>
                <c:ptCount val="12"/>
                <c:pt idx="0">
                  <c:v>30301</c:v>
                </c:pt>
                <c:pt idx="1">
                  <c:v>30302</c:v>
                </c:pt>
                <c:pt idx="2">
                  <c:v>30303</c:v>
                </c:pt>
                <c:pt idx="3">
                  <c:v>30304</c:v>
                </c:pt>
                <c:pt idx="4">
                  <c:v>30305</c:v>
                </c:pt>
                <c:pt idx="5">
                  <c:v>30306</c:v>
                </c:pt>
                <c:pt idx="6">
                  <c:v>30307</c:v>
                </c:pt>
                <c:pt idx="7">
                  <c:v>30308</c:v>
                </c:pt>
                <c:pt idx="8">
                  <c:v>30309</c:v>
                </c:pt>
                <c:pt idx="9">
                  <c:v>30310</c:v>
                </c:pt>
                <c:pt idx="10">
                  <c:v>30311</c:v>
                </c:pt>
                <c:pt idx="11">
                  <c:v>30399</c:v>
                </c:pt>
              </c:numCache>
            </c:numRef>
          </c:cat>
          <c:val>
            <c:numRef>
              <c:f>Sheet1!$B$2:$B$13</c:f>
              <c:numCache>
                <c:formatCode>General</c:formatCode>
                <c:ptCount val="12"/>
                <c:pt idx="0">
                  <c:v>0</c:v>
                </c:pt>
                <c:pt idx="1">
                  <c:v>0</c:v>
                </c:pt>
                <c:pt idx="2">
                  <c:v>0</c:v>
                </c:pt>
                <c:pt idx="3">
                  <c:v>8.85</c:v>
                </c:pt>
                <c:pt idx="4">
                  <c:v>34.07</c:v>
                </c:pt>
                <c:pt idx="5">
                  <c:v>0</c:v>
                </c:pt>
                <c:pt idx="6">
                  <c:v>0</c:v>
                </c:pt>
                <c:pt idx="7">
                  <c:v>104.3</c:v>
                </c:pt>
                <c:pt idx="8">
                  <c:v>0</c:v>
                </c:pt>
                <c:pt idx="9">
                  <c:v>0</c:v>
                </c:pt>
                <c:pt idx="10">
                  <c:v>0</c:v>
                </c:pt>
                <c:pt idx="11">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债务利息及费用支出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Sheet1!$A$2:$A$3</c:f>
              <c:numCache>
                <c:formatCode>General</c:formatCode>
                <c:ptCount val="2"/>
                <c:pt idx="0">
                  <c:v>30701</c:v>
                </c:pt>
                <c:pt idx="1">
                  <c:v>30702</c:v>
                </c:pt>
              </c:numCache>
            </c:numRef>
          </c:cat>
          <c:val>
            <c:numRef>
              <c:f>Sheet1!$B$2:$B$3</c:f>
              <c:numCache>
                <c:formatCode>General</c:formatCode>
                <c:ptCount val="2"/>
                <c:pt idx="0">
                  <c:v>0</c:v>
                </c:pt>
                <c:pt idx="1">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资本性支出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Sheet1!$A$2:$A$17</c:f>
              <c:numCache>
                <c:formatCode>General</c:formatCode>
                <c:ptCount val="16"/>
                <c:pt idx="0">
                  <c:v>31001</c:v>
                </c:pt>
                <c:pt idx="1">
                  <c:v>31002</c:v>
                </c:pt>
                <c:pt idx="2">
                  <c:v>31003</c:v>
                </c:pt>
                <c:pt idx="3">
                  <c:v>31005</c:v>
                </c:pt>
                <c:pt idx="4">
                  <c:v>31006</c:v>
                </c:pt>
                <c:pt idx="5">
                  <c:v>31007</c:v>
                </c:pt>
                <c:pt idx="6">
                  <c:v>31008</c:v>
                </c:pt>
                <c:pt idx="7">
                  <c:v>31009</c:v>
                </c:pt>
                <c:pt idx="8">
                  <c:v>31010</c:v>
                </c:pt>
                <c:pt idx="9">
                  <c:v>31011</c:v>
                </c:pt>
                <c:pt idx="10">
                  <c:v>31012</c:v>
                </c:pt>
                <c:pt idx="11">
                  <c:v>31013</c:v>
                </c:pt>
                <c:pt idx="12">
                  <c:v>31019</c:v>
                </c:pt>
                <c:pt idx="13">
                  <c:v>31021</c:v>
                </c:pt>
                <c:pt idx="14">
                  <c:v>31022</c:v>
                </c:pt>
                <c:pt idx="15">
                  <c:v>31099</c:v>
                </c:pt>
              </c:numCache>
            </c:numRef>
          </c:cat>
          <c:val>
            <c:numRef>
              <c:f>Sheet1!$B$2:$B$17</c:f>
              <c:numCache>
                <c:formatCode>General</c:formatCode>
                <c:ptCount val="16"/>
                <c:pt idx="0">
                  <c:v>0</c:v>
                </c:pt>
                <c:pt idx="1">
                  <c:v>4.38</c:v>
                </c:pt>
                <c:pt idx="2">
                  <c:v>11.2</c:v>
                </c:pt>
                <c:pt idx="3">
                  <c:v>0</c:v>
                </c:pt>
                <c:pt idx="4">
                  <c:v>0</c:v>
                </c:pt>
                <c:pt idx="5">
                  <c:v>0</c:v>
                </c:pt>
                <c:pt idx="6">
                  <c:v>0</c:v>
                </c:pt>
                <c:pt idx="7">
                  <c:v>0</c:v>
                </c:pt>
                <c:pt idx="8">
                  <c:v>0</c:v>
                </c:pt>
                <c:pt idx="9">
                  <c:v>0</c:v>
                </c:pt>
                <c:pt idx="10">
                  <c:v>0</c:v>
                </c:pt>
                <c:pt idx="11">
                  <c:v>0</c:v>
                </c:pt>
                <c:pt idx="12">
                  <c:v>0</c:v>
                </c:pt>
                <c:pt idx="13">
                  <c:v>0</c:v>
                </c:pt>
                <c:pt idx="14">
                  <c:v>0</c:v>
                </c:pt>
                <c:pt idx="15">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Sheet1!$A$2:$A$6</c:f>
              <c:numCache>
                <c:formatCode>General</c:formatCode>
                <c:ptCount val="5"/>
                <c:pt idx="0">
                  <c:v>39907</c:v>
                </c:pt>
                <c:pt idx="1">
                  <c:v>39908</c:v>
                </c:pt>
                <c:pt idx="2">
                  <c:v>39909</c:v>
                </c:pt>
                <c:pt idx="3">
                  <c:v>39910</c:v>
                </c:pt>
                <c:pt idx="4">
                  <c:v>39999</c:v>
                </c:pt>
              </c:numCache>
            </c:numRef>
          </c:cat>
          <c:val>
            <c:numRef>
              <c:f>Sheet1!$B$2:$B$6</c:f>
              <c:numCache>
                <c:formatCode>General</c:formatCode>
                <c:ptCount val="5"/>
                <c:pt idx="0">
                  <c:v>0</c:v>
                </c:pt>
                <c:pt idx="1">
                  <c:v>0</c:v>
                </c:pt>
                <c:pt idx="2">
                  <c:v>0</c:v>
                </c:pt>
                <c:pt idx="3">
                  <c:v>0</c:v>
                </c:pt>
                <c:pt idx="4">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支出决算图表</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delete val="1"/>
          </c:dLbls>
          <c:cat>
            <c:strRef>
              <c:f>Sheet1!$A$2:$A$6</c:f>
              <c:strCache>
                <c:ptCount val="5"/>
                <c:pt idx="0">
                  <c:v>一般公共服务支出</c:v>
                </c:pt>
                <c:pt idx="1">
                  <c:v>教育支出</c:v>
                </c:pt>
                <c:pt idx="2">
                  <c:v>社会保障和就业支出</c:v>
                </c:pt>
                <c:pt idx="3">
                  <c:v>住房保障支出</c:v>
                </c:pt>
                <c:pt idx="4">
                  <c:v>其他支出</c:v>
                </c:pt>
              </c:strCache>
            </c:strRef>
          </c:cat>
          <c:val>
            <c:numRef>
              <c:f>Sheet1!$B$2:$B$6</c:f>
              <c:numCache>
                <c:formatCode>General</c:formatCode>
                <c:ptCount val="5"/>
                <c:pt idx="0">
                  <c:v>0</c:v>
                </c:pt>
                <c:pt idx="1">
                  <c:v>1084.74</c:v>
                </c:pt>
                <c:pt idx="2">
                  <c:v>163.43</c:v>
                </c:pt>
                <c:pt idx="3">
                  <c:v>65.21</c:v>
                </c:pt>
                <c:pt idx="4">
                  <c:v>149.1</c:v>
                </c:pt>
              </c:numCache>
            </c:numRef>
          </c:val>
        </c:ser>
        <c:ser>
          <c:idx val="1"/>
          <c:order val="1"/>
          <c:tx>
            <c:strRef>
              <c:f>Sheet1!$C$1</c:f>
              <c:strCache>
                <c:ptCount val="1"/>
                <c:pt idx="0">
                  <c:v>2022年</c:v>
                </c:pt>
              </c:strCache>
            </c:strRef>
          </c:tx>
          <c:spPr>
            <a:solidFill>
              <a:schemeClr val="accent2"/>
            </a:solidFill>
            <a:ln>
              <a:noFill/>
            </a:ln>
            <a:effectLst/>
          </c:spPr>
          <c:invertIfNegative val="0"/>
          <c:dLbls>
            <c:delete val="1"/>
          </c:dLbls>
          <c:cat>
            <c:strRef>
              <c:f>Sheet1!$A$2:$A$6</c:f>
              <c:strCache>
                <c:ptCount val="5"/>
                <c:pt idx="0">
                  <c:v>一般公共服务支出</c:v>
                </c:pt>
                <c:pt idx="1">
                  <c:v>教育支出</c:v>
                </c:pt>
                <c:pt idx="2">
                  <c:v>社会保障和就业支出</c:v>
                </c:pt>
                <c:pt idx="3">
                  <c:v>住房保障支出</c:v>
                </c:pt>
                <c:pt idx="4">
                  <c:v>其他支出</c:v>
                </c:pt>
              </c:strCache>
            </c:strRef>
          </c:cat>
          <c:val>
            <c:numRef>
              <c:f>Sheet1!$C$2:$C$6</c:f>
              <c:numCache>
                <c:formatCode>General</c:formatCode>
                <c:ptCount val="5"/>
                <c:pt idx="0">
                  <c:v>12.76</c:v>
                </c:pt>
                <c:pt idx="1">
                  <c:v>1008.53</c:v>
                </c:pt>
                <c:pt idx="2">
                  <c:v>81.18</c:v>
                </c:pt>
                <c:pt idx="3">
                  <c:v>70.74</c:v>
                </c:pt>
                <c:pt idx="4">
                  <c:v>112.96</c:v>
                </c:pt>
              </c:numCache>
            </c:numRef>
          </c:val>
        </c:ser>
        <c:dLbls>
          <c:showLegendKey val="0"/>
          <c:showVal val="0"/>
          <c:showCatName val="0"/>
          <c:showSerName val="0"/>
          <c:showPercent val="0"/>
          <c:showBubbleSize val="0"/>
        </c:dLbls>
        <c:gapWidth val="219"/>
        <c:overlap val="-27"/>
        <c:axId val="-172443552"/>
        <c:axId val="-172442464"/>
      </c:barChart>
      <c:catAx>
        <c:axId val="-1724435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2464"/>
        <c:crosses val="autoZero"/>
        <c:auto val="1"/>
        <c:lblAlgn val="ctr"/>
        <c:lblOffset val="100"/>
        <c:noMultiLvlLbl val="0"/>
      </c:catAx>
      <c:valAx>
        <c:axId val="-172442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5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一般公共服务支出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2012999</c:v>
                </c:pt>
                <c:pt idx="1">
                  <c:v>201x</c:v>
                </c:pt>
              </c:strCache>
            </c:strRef>
          </c:cat>
          <c:val>
            <c:numRef>
              <c:f>Sheet1!$B$2:$B$3</c:f>
              <c:numCache>
                <c:formatCode>General</c:formatCode>
                <c:ptCount val="2"/>
                <c:pt idx="0">
                  <c:v>12.76</c:v>
                </c:pt>
                <c:pt idx="1">
                  <c:v>12.76</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教育支出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Sheet1!$A$2:$A$5</c:f>
              <c:strCache>
                <c:ptCount val="4"/>
                <c:pt idx="0">
                  <c:v>2050203</c:v>
                </c:pt>
                <c:pt idx="1">
                  <c:v>2050299</c:v>
                </c:pt>
                <c:pt idx="2">
                  <c:v>2050999</c:v>
                </c:pt>
                <c:pt idx="3">
                  <c:v>205x</c:v>
                </c:pt>
              </c:strCache>
            </c:strRef>
          </c:cat>
          <c:val>
            <c:numRef>
              <c:f>Sheet1!$B$2:$B$5</c:f>
              <c:numCache>
                <c:formatCode>General</c:formatCode>
                <c:ptCount val="4"/>
                <c:pt idx="0">
                  <c:v>965.29</c:v>
                </c:pt>
                <c:pt idx="1">
                  <c:v>42.3</c:v>
                </c:pt>
                <c:pt idx="2">
                  <c:v>0.95</c:v>
                </c:pt>
                <c:pt idx="3">
                  <c:v>1008.53</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社会保障和就业支出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2080505</c:v>
                </c:pt>
                <c:pt idx="1">
                  <c:v>208x</c:v>
                </c:pt>
              </c:strCache>
            </c:strRef>
          </c:cat>
          <c:val>
            <c:numRef>
              <c:f>Sheet1!$B$2:$B$3</c:f>
              <c:numCache>
                <c:formatCode>General</c:formatCode>
                <c:ptCount val="2"/>
                <c:pt idx="0">
                  <c:v>81.18</c:v>
                </c:pt>
                <c:pt idx="1">
                  <c:v>81.18</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住房保障支出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2210201</c:v>
                </c:pt>
                <c:pt idx="1">
                  <c:v>221x</c:v>
                </c:pt>
              </c:strCache>
            </c:strRef>
          </c:cat>
          <c:val>
            <c:numRef>
              <c:f>Sheet1!$B$2:$B$3</c:f>
              <c:numCache>
                <c:formatCode>General</c:formatCode>
                <c:ptCount val="2"/>
                <c:pt idx="0">
                  <c:v>70.74</c:v>
                </c:pt>
                <c:pt idx="1">
                  <c:v>70.74</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2299999</c:v>
                </c:pt>
                <c:pt idx="1">
                  <c:v>229x</c:v>
                </c:pt>
              </c:strCache>
            </c:strRef>
          </c:cat>
          <c:val>
            <c:numRef>
              <c:f>Sheet1!$B$2:$B$3</c:f>
              <c:numCache>
                <c:formatCode>General</c:formatCode>
                <c:ptCount val="2"/>
                <c:pt idx="0">
                  <c:v>112.96</c:v>
                </c:pt>
                <c:pt idx="1">
                  <c:v>112.96</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工资福利支出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Sheet1!$A$2:$A$14</c:f>
              <c:numCache>
                <c:formatCode>General</c:formatCode>
                <c:ptCount val="13"/>
                <c:pt idx="0">
                  <c:v>30101</c:v>
                </c:pt>
                <c:pt idx="1">
                  <c:v>30102</c:v>
                </c:pt>
                <c:pt idx="2">
                  <c:v>30103</c:v>
                </c:pt>
                <c:pt idx="3">
                  <c:v>30106</c:v>
                </c:pt>
                <c:pt idx="4">
                  <c:v>30107</c:v>
                </c:pt>
                <c:pt idx="5">
                  <c:v>30108</c:v>
                </c:pt>
                <c:pt idx="6">
                  <c:v>30109</c:v>
                </c:pt>
                <c:pt idx="7">
                  <c:v>30110</c:v>
                </c:pt>
                <c:pt idx="8">
                  <c:v>30111</c:v>
                </c:pt>
                <c:pt idx="9">
                  <c:v>30112</c:v>
                </c:pt>
                <c:pt idx="10">
                  <c:v>30113</c:v>
                </c:pt>
                <c:pt idx="11">
                  <c:v>30114</c:v>
                </c:pt>
                <c:pt idx="12">
                  <c:v>30199</c:v>
                </c:pt>
              </c:numCache>
            </c:numRef>
          </c:cat>
          <c:val>
            <c:numRef>
              <c:f>Sheet1!$B$2:$B$14</c:f>
              <c:numCache>
                <c:formatCode>General</c:formatCode>
                <c:ptCount val="13"/>
                <c:pt idx="0">
                  <c:v>419.65</c:v>
                </c:pt>
                <c:pt idx="1">
                  <c:v>49.08</c:v>
                </c:pt>
                <c:pt idx="2">
                  <c:v>37.66</c:v>
                </c:pt>
                <c:pt idx="3">
                  <c:v>0</c:v>
                </c:pt>
                <c:pt idx="4">
                  <c:v>134.79</c:v>
                </c:pt>
                <c:pt idx="5">
                  <c:v>86.91</c:v>
                </c:pt>
                <c:pt idx="6">
                  <c:v>0</c:v>
                </c:pt>
                <c:pt idx="7">
                  <c:v>44.59</c:v>
                </c:pt>
                <c:pt idx="8">
                  <c:v>0</c:v>
                </c:pt>
                <c:pt idx="9">
                  <c:v>5.02</c:v>
                </c:pt>
                <c:pt idx="10">
                  <c:v>70.74</c:v>
                </c:pt>
                <c:pt idx="11">
                  <c:v>0</c:v>
                </c:pt>
                <c:pt idx="12">
                  <c:v>1.23</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商品和服务支出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Sheet1!$A$2:$A$28</c:f>
              <c:numCache>
                <c:formatCode>General</c:formatCode>
                <c:ptCount val="27"/>
                <c:pt idx="0">
                  <c:v>30201</c:v>
                </c:pt>
                <c:pt idx="1">
                  <c:v>30202</c:v>
                </c:pt>
                <c:pt idx="2">
                  <c:v>30203</c:v>
                </c:pt>
                <c:pt idx="3">
                  <c:v>30204</c:v>
                </c:pt>
                <c:pt idx="4">
                  <c:v>30205</c:v>
                </c:pt>
                <c:pt idx="5">
                  <c:v>30206</c:v>
                </c:pt>
                <c:pt idx="6">
                  <c:v>30207</c:v>
                </c:pt>
                <c:pt idx="7">
                  <c:v>30208</c:v>
                </c:pt>
                <c:pt idx="8">
                  <c:v>30209</c:v>
                </c:pt>
                <c:pt idx="9">
                  <c:v>30211</c:v>
                </c:pt>
                <c:pt idx="10">
                  <c:v>30212</c:v>
                </c:pt>
                <c:pt idx="11">
                  <c:v>30213</c:v>
                </c:pt>
                <c:pt idx="12">
                  <c:v>30214</c:v>
                </c:pt>
                <c:pt idx="13">
                  <c:v>30215</c:v>
                </c:pt>
                <c:pt idx="14">
                  <c:v>30216</c:v>
                </c:pt>
                <c:pt idx="15">
                  <c:v>30217</c:v>
                </c:pt>
                <c:pt idx="16">
                  <c:v>30218</c:v>
                </c:pt>
                <c:pt idx="17">
                  <c:v>30224</c:v>
                </c:pt>
                <c:pt idx="18">
                  <c:v>30225</c:v>
                </c:pt>
                <c:pt idx="19">
                  <c:v>30226</c:v>
                </c:pt>
                <c:pt idx="20">
                  <c:v>30227</c:v>
                </c:pt>
                <c:pt idx="21">
                  <c:v>30228</c:v>
                </c:pt>
                <c:pt idx="22">
                  <c:v>30229</c:v>
                </c:pt>
                <c:pt idx="23">
                  <c:v>30231</c:v>
                </c:pt>
                <c:pt idx="24">
                  <c:v>30239</c:v>
                </c:pt>
                <c:pt idx="25">
                  <c:v>30240</c:v>
                </c:pt>
                <c:pt idx="26">
                  <c:v>30299</c:v>
                </c:pt>
              </c:numCache>
            </c:numRef>
          </c:cat>
          <c:val>
            <c:numRef>
              <c:f>Sheet1!$B$2:$B$28</c:f>
              <c:numCache>
                <c:formatCode>General</c:formatCode>
                <c:ptCount val="27"/>
                <c:pt idx="0">
                  <c:v>37.07</c:v>
                </c:pt>
                <c:pt idx="1">
                  <c:v>0</c:v>
                </c:pt>
                <c:pt idx="2">
                  <c:v>0</c:v>
                </c:pt>
                <c:pt idx="3">
                  <c:v>0</c:v>
                </c:pt>
                <c:pt idx="4">
                  <c:v>1.51</c:v>
                </c:pt>
                <c:pt idx="5">
                  <c:v>6.43</c:v>
                </c:pt>
                <c:pt idx="6">
                  <c:v>3.17</c:v>
                </c:pt>
                <c:pt idx="7">
                  <c:v>0</c:v>
                </c:pt>
                <c:pt idx="8">
                  <c:v>0</c:v>
                </c:pt>
                <c:pt idx="9">
                  <c:v>5.43</c:v>
                </c:pt>
                <c:pt idx="10">
                  <c:v>0</c:v>
                </c:pt>
                <c:pt idx="11">
                  <c:v>3.32</c:v>
                </c:pt>
                <c:pt idx="12">
                  <c:v>0</c:v>
                </c:pt>
                <c:pt idx="13">
                  <c:v>0</c:v>
                </c:pt>
                <c:pt idx="14">
                  <c:v>0</c:v>
                </c:pt>
                <c:pt idx="15">
                  <c:v>0</c:v>
                </c:pt>
                <c:pt idx="16">
                  <c:v>0</c:v>
                </c:pt>
                <c:pt idx="17">
                  <c:v>0</c:v>
                </c:pt>
                <c:pt idx="18">
                  <c:v>0</c:v>
                </c:pt>
                <c:pt idx="19">
                  <c:v>2.21</c:v>
                </c:pt>
                <c:pt idx="20">
                  <c:v>0</c:v>
                </c:pt>
                <c:pt idx="21">
                  <c:v>12.76</c:v>
                </c:pt>
                <c:pt idx="22">
                  <c:v>0</c:v>
                </c:pt>
                <c:pt idx="23">
                  <c:v>0</c:v>
                </c:pt>
                <c:pt idx="24">
                  <c:v>0</c:v>
                </c:pt>
                <c:pt idx="25">
                  <c:v>0</c:v>
                </c:pt>
                <c:pt idx="26">
                  <c:v>21.71</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30</Pages>
  <Words>6615</Words>
  <Characters>13844</Characters>
  <Lines>90</Lines>
  <Paragraphs>25</Paragraphs>
  <TotalTime>2</TotalTime>
  <ScaleCrop>false</ScaleCrop>
  <LinksUpToDate>false</LinksUpToDate>
  <CharactersWithSpaces>13937</CharactersWithSpaces>
  <Application>WPS Office_11.8.2.12089_F1E327BC-269C-435d-A152-05C5408002CA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2023-08-17T10:06:00Z</dcterms:created>
  <dc:creator>C D D</dc:creator>
  <cp:lastModifiedBy>Administrator</cp:lastModifiedBy>
  <dcterms:modified xsi:type="dcterms:W3CDTF">2023-11-28T09:52:31Z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2052-11.8.2.12089</vt:lpwstr>
  </property>
  <property fmtid="{D5CDD505-2E9C-101B-9397-08002B2CF9AE}" pid="3" name="ICV">
    <vt:lpwstr>843F27823027460BAAAF19DF60EFFF0C_13</vt:lpwstr>
  </property>
</Properties>
</file>