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sz w:val="52"/>
          <w:szCs w:val="52"/>
        </w:rPr>
      </w:pPr>
      <w:r>
        <w:rPr>
          <w:rFonts w:hint="eastAsia" w:ascii="黑体" w:hAnsi="黑体" w:eastAsia="黑体" w:cs="黑体"/>
          <w:b/>
          <w:bCs/>
          <w:sz w:val="52"/>
          <w:szCs w:val="52"/>
        </w:rPr>
        <w:t>环江毛南族自治县第二幼儿园2022年度部门决算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黑体" w:hAnsi="黑体" w:eastAsia="黑体" w:cs="仿宋"/>
          <w:sz w:val="36"/>
          <w:szCs w:val="36"/>
        </w:rPr>
      </w:pPr>
      <w:r>
        <w:rPr>
          <w:rFonts w:hint="eastAsia" w:ascii="仿宋" w:hAnsi="仿宋" w:eastAsia="仿宋" w:cs="仿宋"/>
          <w:sz w:val="32"/>
          <w:szCs w:val="32"/>
        </w:rPr>
        <w:t xml:space="preserve">                 </w:t>
      </w:r>
      <w:r>
        <w:rPr>
          <w:rFonts w:hint="eastAsia" w:ascii="仿宋" w:hAnsi="仿宋" w:eastAsia="仿宋" w:cs="仿宋"/>
          <w:sz w:val="36"/>
          <w:szCs w:val="36"/>
        </w:rPr>
        <w:t xml:space="preserve"> </w:t>
      </w:r>
      <w:r>
        <w:rPr>
          <w:rFonts w:hint="eastAsia" w:ascii="黑体" w:hAnsi="黑体" w:eastAsia="黑体" w:cs="仿宋"/>
          <w:sz w:val="36"/>
          <w:szCs w:val="36"/>
        </w:rPr>
        <w:t>单位负责人:黄琴</w:t>
      </w:r>
    </w:p>
    <w:p>
      <w:pPr>
        <w:jc w:val="center"/>
        <w:rPr>
          <w:rFonts w:ascii="黑体" w:hAnsi="黑体" w:eastAsia="黑体" w:cs="黑体"/>
          <w:b/>
          <w:bCs/>
          <w:sz w:val="36"/>
          <w:szCs w:val="36"/>
        </w:rPr>
      </w:pPr>
      <w:r>
        <w:rPr>
          <w:rFonts w:hint="eastAsia" w:ascii="黑体" w:hAnsi="黑体" w:eastAsia="黑体" w:cs="黑体"/>
          <w:b/>
          <w:bCs/>
          <w:sz w:val="36"/>
          <w:szCs w:val="36"/>
        </w:rPr>
        <w:t xml:space="preserve"> 2023年10月</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环江毛南族自治县第二幼儿园</w:t>
      </w:r>
      <w:r>
        <w:rPr>
          <w:rFonts w:hint="eastAsia" w:ascii="黑体" w:hAnsi="黑体" w:eastAsia="黑体" w:cs="黑体"/>
          <w:sz w:val="32"/>
          <w:szCs w:val="32"/>
        </w:rPr>
        <w:t>概况</w:t>
      </w:r>
    </w:p>
    <w:p>
      <w:pPr>
        <w:jc w:val="left"/>
        <w:rPr>
          <w:rFonts w:ascii="仿宋" w:hAnsi="仿宋" w:eastAsia="仿宋" w:cs="仿宋"/>
          <w:sz w:val="32"/>
          <w:szCs w:val="32"/>
        </w:rPr>
      </w:pPr>
      <w:r>
        <w:rPr>
          <w:rFonts w:hint="eastAsia" w:ascii="仿宋" w:hAnsi="仿宋" w:eastAsia="仿宋" w:cs="仿宋"/>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环江毛南族自治县第二幼儿园</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环江毛南族自治县第二幼儿园</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环江毛南族自治县第二幼儿园</w:t>
      </w:r>
      <w:r>
        <w:rPr>
          <w:rFonts w:hint="eastAsia" w:ascii="黑体" w:hAnsi="黑体" w:eastAsia="黑体" w:cs="黑体"/>
          <w:b/>
          <w:bCs/>
          <w:sz w:val="32"/>
          <w:szCs w:val="32"/>
        </w:rPr>
        <w:t>概况</w:t>
      </w:r>
    </w:p>
    <w:p>
      <w:pPr>
        <w:jc w:val="left"/>
        <w:rPr>
          <w:rFonts w:ascii="仿宋" w:hAnsi="仿宋" w:eastAsia="仿宋" w:cs="仿宋"/>
          <w:sz w:val="32"/>
          <w:szCs w:val="32"/>
        </w:rPr>
      </w:pPr>
      <w:r>
        <w:rPr>
          <w:rFonts w:hint="eastAsia" w:ascii="黑体" w:hAnsi="黑体" w:eastAsia="黑体" w:cs="黑体"/>
          <w:sz w:val="32"/>
          <w:szCs w:val="32"/>
        </w:rPr>
        <w:t>一、主要职能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一、环江毛南族自治县第二幼儿园的主要职能是:</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（一）贯彻执行党和国家的教育方针、政策和法律法规；拟订全园教育改革与发展规划并组织实施。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（二）编制本园教育事业发展规划并检查实施情况，向自治县人民政府和上级教育部门作出报告。</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（三）督促检查全园贯彻执行教育方针、政策、法令、法规和上级的各项规定；评估指导全园教育教学工作。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（四）负责推进幼儿教育均衡发展和促进教育公平。</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（五）负责全园人才队伍和教师队伍建设，包括园长岗位培训、后备干部队伍建设、教师学历教育、继续教育等。</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（六）负责组织全园做好学籍管理工作。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（七）按照中央关于全面推进素质教育要求，负责教育教学管理、教育教学改革及教育教学科学研究工作，检查指导全园实施素质教育工作，并组织推广先进的教育教学经验。</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（八）检查指导学校教育教学设备的装备、管理和使用工作。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（九）检查指导全园开展电化教育和信息化教学工作。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（十）负责全园教师初级专业技术职务资格的评审，中、高级专业技术职务资格的申报工作。按照管理权限对教师进行考核、聘任、奖惩、晋升等工作。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（十一）负责监督审计全园教育经费和教育基建经费拨付及教育附加费和教育费附加的征收、管理与使用工作。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（十二）负责指导全园学生资助管理工作。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（十三）负责语言文字和指导推广普通话工作。</w:t>
      </w:r>
    </w:p>
    <w:p>
      <w:pPr>
        <w:ind w:firstLine="640" w:firstLineChars="200"/>
        <w:jc w:val="left"/>
        <w:rPr>
          <w:rFonts w:ascii="仿宋" w:hAnsi="仿宋" w:eastAsia="仿宋" w:cs="仿宋"/>
          <w:sz w:val="32"/>
          <w:szCs w:val="32"/>
        </w:rPr>
      </w:pPr>
      <w:r>
        <w:rPr>
          <w:rFonts w:hint="eastAsia" w:ascii="Times New Roman" w:hAnsi="Times New Roman" w:eastAsia="仿宋_GB2312" w:cs="Times New Roman"/>
          <w:sz w:val="32"/>
          <w:szCs w:val="32"/>
        </w:rPr>
        <w:t>（十四）完成上级部门交办的其他工作。</w:t>
      </w:r>
    </w:p>
    <w:p>
      <w:pPr>
        <w:jc w:val="left"/>
        <w:rPr>
          <w:rFonts w:ascii="仿宋" w:hAnsi="仿宋" w:eastAsia="仿宋" w:cs="仿宋"/>
          <w:sz w:val="32"/>
          <w:szCs w:val="32"/>
        </w:rPr>
      </w:pPr>
      <w:r>
        <w:rPr>
          <w:rFonts w:hint="eastAsia" w:ascii="黑体" w:hAnsi="黑体" w:eastAsia="黑体" w:cs="黑体"/>
          <w:sz w:val="32"/>
          <w:szCs w:val="32"/>
        </w:rPr>
        <w:t>二、部门决算单位构成</w:t>
      </w:r>
    </w:p>
    <w:p>
      <w:pPr>
        <w:ind w:firstLine="640" w:firstLineChars="200"/>
        <w:jc w:val="left"/>
        <w:rPr>
          <w:rFonts w:ascii="仿宋" w:hAnsi="仿宋" w:eastAsia="仿宋" w:cs="仿宋"/>
          <w:sz w:val="32"/>
          <w:szCs w:val="32"/>
        </w:rPr>
      </w:pPr>
      <w:r>
        <w:rPr>
          <w:rFonts w:hint="eastAsia" w:ascii="Times New Roman" w:hAnsi="Times New Roman" w:eastAsia="仿宋_GB2312" w:cs="Times New Roman"/>
          <w:sz w:val="32"/>
          <w:szCs w:val="32"/>
        </w:rPr>
        <w:t>环江毛南族自治县第二幼儿园有四个内设机构，分别为：行政办公室、保教室、财务室、安全办。共有34名编制，其中8名实名制编制，26名教师控制数编制，单位自聘教职工46名，2名保安。</w:t>
      </w:r>
    </w:p>
    <w:p>
      <w:pPr>
        <w:spacing w:line="560" w:lineRule="exact"/>
        <w:ind w:firstLine="645"/>
        <w:rPr>
          <w:rFonts w:ascii="Times New Roman" w:hAnsi="Times New Roman" w:eastAsia="方正小标宋简体" w:cs="Times New Roman"/>
          <w:bCs/>
          <w:sz w:val="44"/>
          <w:szCs w:val="44"/>
        </w:rPr>
      </w:pPr>
    </w:p>
    <w:p>
      <w:pPr>
        <w:jc w:val="center"/>
        <w:rPr>
          <w:rFonts w:ascii="仿宋" w:hAnsi="仿宋" w:eastAsia="仿宋" w:cs="仿宋"/>
          <w:sz w:val="32"/>
          <w:szCs w:val="32"/>
        </w:rPr>
      </w:pPr>
    </w:p>
    <w:p>
      <w:pPr>
        <w:jc w:val="center"/>
        <w:rPr>
          <w:rFonts w:ascii="黑体" w:hAnsi="黑体" w:eastAsia="黑体" w:cs="黑体"/>
          <w:sz w:val="32"/>
          <w:szCs w:val="32"/>
        </w:rPr>
      </w:pPr>
    </w:p>
    <w:p>
      <w:pP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ind w:firstLine="1600" w:firstLineChars="500"/>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环江毛南族自治县第二幼儿园</w:t>
      </w:r>
      <w:r>
        <w:rPr>
          <w:rFonts w:hint="eastAsia" w:ascii="黑体" w:hAnsi="黑体" w:eastAsia="黑体" w:cs="黑体"/>
          <w:sz w:val="32"/>
          <w:szCs w:val="32"/>
        </w:rPr>
        <w:t>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rPr>
                <w:rFonts w:ascii="Arial" w:hAnsi="Arial" w:cs="Arial"/>
                <w:sz w:val="20"/>
                <w:szCs w:val="20"/>
              </w:rPr>
            </w:pPr>
          </w:p>
        </w:tc>
        <w:tc>
          <w:tcPr>
            <w:tcW w:w="2393" w:type="dxa"/>
            <w:tcBorders>
              <w:top w:val="nil"/>
              <w:left w:val="nil"/>
              <w:bottom w:val="nil"/>
              <w:right w:val="nil"/>
            </w:tcBorders>
            <w:shd w:val="clear" w:color="auto" w:fill="auto"/>
            <w:noWrap/>
            <w:vAlign w:val="bottom"/>
          </w:tcPr>
          <w:p>
            <w:pPr>
              <w:rPr>
                <w:rFonts w:ascii="Arial" w:hAnsi="Arial" w:cs="Arial"/>
                <w:sz w:val="20"/>
                <w:szCs w:val="20"/>
              </w:rPr>
            </w:pPr>
          </w:p>
        </w:tc>
        <w:tc>
          <w:tcPr>
            <w:tcW w:w="2231" w:type="dxa"/>
            <w:tcBorders>
              <w:top w:val="nil"/>
              <w:left w:val="nil"/>
              <w:bottom w:val="nil"/>
              <w:right w:val="nil"/>
            </w:tcBorders>
            <w:shd w:val="clear" w:color="auto" w:fill="auto"/>
            <w:noWrap/>
            <w:vAlign w:val="bottom"/>
          </w:tcPr>
          <w:p>
            <w:pPr>
              <w:rPr>
                <w:rFonts w:ascii="Arial" w:hAnsi="Arial" w:cs="Arial"/>
                <w:sz w:val="20"/>
                <w:szCs w:val="20"/>
              </w:rPr>
            </w:pPr>
          </w:p>
        </w:tc>
        <w:tc>
          <w:tcPr>
            <w:tcW w:w="2669" w:type="dxa"/>
            <w:tcBorders>
              <w:top w:val="nil"/>
              <w:left w:val="nil"/>
              <w:bottom w:val="nil"/>
              <w:right w:val="nil"/>
            </w:tcBorders>
            <w:shd w:val="clear" w:color="auto" w:fill="auto"/>
            <w:noWrap/>
            <w:vAlign w:val="bottom"/>
          </w:tcPr>
          <w:p>
            <w:pPr>
              <w:rPr>
                <w:rFonts w:ascii="Arial" w:hAnsi="Arial" w:cs="Arial"/>
                <w:sz w:val="20"/>
                <w:szCs w:val="20"/>
              </w:rPr>
            </w:pPr>
          </w:p>
        </w:tc>
        <w:tc>
          <w:tcPr>
            <w:tcW w:w="2202" w:type="dxa"/>
            <w:tcBorders>
              <w:top w:val="nil"/>
              <w:left w:val="nil"/>
              <w:bottom w:val="nil"/>
              <w:right w:val="nil"/>
            </w:tcBorders>
            <w:shd w:val="clear" w:color="auto" w:fill="auto"/>
            <w:noWrap/>
            <w:vAlign w:val="bottom"/>
          </w:tcPr>
          <w:p>
            <w:pPr>
              <w:rPr>
                <w:rFonts w:ascii="Arial" w:hAnsi="Arial" w:cs="Arial"/>
                <w:sz w:val="20"/>
                <w:szCs w:val="20"/>
              </w:rPr>
            </w:pPr>
          </w:p>
        </w:tc>
        <w:tc>
          <w:tcPr>
            <w:tcW w:w="1902"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2669"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2202"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902"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r>
    </w:tbl>
    <w:p>
      <w:pPr>
        <w:rPr>
          <w:rFonts w:ascii="宋体" w:hAnsi="宋体" w:eastAsia="宋体" w:cs="宋体"/>
          <w:kern w:val="0"/>
          <w:sz w:val="30"/>
          <w:szCs w:val="30"/>
        </w:rPr>
      </w:pPr>
      <w:r>
        <w:rPr>
          <w:rFonts w:hint="eastAsia" w:ascii="宋体" w:hAnsi="宋体" w:eastAsia="宋体" w:cs="宋体"/>
          <w:kern w:val="0"/>
          <w:sz w:val="30"/>
          <w:szCs w:val="30"/>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236" w:type="dxa"/>
            <w:tcBorders>
              <w:top w:val="nil"/>
              <w:left w:val="nil"/>
              <w:bottom w:val="nil"/>
              <w:right w:val="nil"/>
            </w:tcBorders>
            <w:shd w:val="clear" w:color="auto" w:fill="auto"/>
            <w:noWrap/>
            <w:vAlign w:val="bottom"/>
          </w:tcPr>
          <w:p>
            <w:pPr>
              <w:rPr>
                <w:rFonts w:ascii="Arial" w:hAnsi="Arial" w:cs="Arial"/>
                <w:sz w:val="20"/>
                <w:szCs w:val="20"/>
              </w:rPr>
            </w:pPr>
          </w:p>
        </w:tc>
        <w:tc>
          <w:tcPr>
            <w:tcW w:w="236" w:type="dxa"/>
            <w:tcBorders>
              <w:top w:val="nil"/>
              <w:left w:val="nil"/>
              <w:bottom w:val="nil"/>
              <w:right w:val="nil"/>
            </w:tcBorders>
            <w:shd w:val="clear" w:color="auto" w:fill="auto"/>
            <w:noWrap/>
            <w:vAlign w:val="bottom"/>
          </w:tcPr>
          <w:p>
            <w:pPr>
              <w:rPr>
                <w:rFonts w:ascii="Arial" w:hAnsi="Arial" w:cs="Arial"/>
                <w:sz w:val="20"/>
                <w:szCs w:val="20"/>
              </w:rPr>
            </w:pPr>
          </w:p>
        </w:tc>
        <w:tc>
          <w:tcPr>
            <w:tcW w:w="524" w:type="dxa"/>
            <w:tcBorders>
              <w:top w:val="nil"/>
              <w:left w:val="nil"/>
              <w:bottom w:val="nil"/>
              <w:right w:val="nil"/>
            </w:tcBorders>
            <w:shd w:val="clear" w:color="auto" w:fill="auto"/>
            <w:noWrap/>
            <w:vAlign w:val="bottom"/>
          </w:tcPr>
          <w:p>
            <w:pPr>
              <w:rPr>
                <w:rFonts w:ascii="Arial" w:hAnsi="Arial" w:cs="Arial"/>
                <w:sz w:val="20"/>
                <w:szCs w:val="20"/>
              </w:rPr>
            </w:pPr>
          </w:p>
        </w:tc>
        <w:tc>
          <w:tcPr>
            <w:tcW w:w="1520" w:type="dxa"/>
            <w:tcBorders>
              <w:top w:val="nil"/>
              <w:left w:val="nil"/>
              <w:bottom w:val="nil"/>
              <w:right w:val="nil"/>
            </w:tcBorders>
            <w:shd w:val="clear" w:color="auto" w:fill="auto"/>
            <w:noWrap/>
            <w:vAlign w:val="bottom"/>
          </w:tcPr>
          <w:p>
            <w:pPr>
              <w:rPr>
                <w:rFonts w:ascii="Arial" w:hAnsi="Arial" w:cs="Arial"/>
                <w:sz w:val="20"/>
                <w:szCs w:val="20"/>
              </w:rPr>
            </w:pPr>
          </w:p>
        </w:tc>
        <w:tc>
          <w:tcPr>
            <w:tcW w:w="1453" w:type="dxa"/>
            <w:tcBorders>
              <w:top w:val="nil"/>
              <w:left w:val="nil"/>
              <w:bottom w:val="nil"/>
              <w:right w:val="nil"/>
            </w:tcBorders>
            <w:shd w:val="clear" w:color="auto" w:fill="auto"/>
            <w:noWrap/>
            <w:vAlign w:val="bottom"/>
          </w:tcPr>
          <w:p>
            <w:pPr>
              <w:rPr>
                <w:rFonts w:ascii="Arial" w:hAnsi="Arial" w:cs="Arial"/>
                <w:sz w:val="20"/>
                <w:szCs w:val="20"/>
              </w:rPr>
            </w:pPr>
          </w:p>
        </w:tc>
        <w:tc>
          <w:tcPr>
            <w:tcW w:w="1373" w:type="dxa"/>
            <w:tcBorders>
              <w:top w:val="nil"/>
              <w:left w:val="nil"/>
              <w:bottom w:val="nil"/>
              <w:right w:val="nil"/>
            </w:tcBorders>
            <w:shd w:val="clear" w:color="auto" w:fill="auto"/>
            <w:noWrap/>
            <w:vAlign w:val="bottom"/>
          </w:tcPr>
          <w:p>
            <w:pPr>
              <w:rPr>
                <w:rFonts w:ascii="Arial" w:hAnsi="Arial" w:cs="Arial"/>
                <w:sz w:val="20"/>
                <w:szCs w:val="20"/>
              </w:rPr>
            </w:pPr>
          </w:p>
        </w:tc>
        <w:tc>
          <w:tcPr>
            <w:tcW w:w="1467" w:type="dxa"/>
            <w:tcBorders>
              <w:top w:val="nil"/>
              <w:left w:val="nil"/>
              <w:bottom w:val="nil"/>
              <w:right w:val="nil"/>
            </w:tcBorders>
            <w:shd w:val="clear" w:color="auto" w:fill="auto"/>
            <w:noWrap/>
            <w:vAlign w:val="bottom"/>
          </w:tcPr>
          <w:p>
            <w:pPr>
              <w:rPr>
                <w:rFonts w:ascii="Arial" w:hAnsi="Arial" w:cs="Arial"/>
                <w:sz w:val="20"/>
                <w:szCs w:val="20"/>
              </w:rPr>
            </w:pPr>
          </w:p>
        </w:tc>
        <w:tc>
          <w:tcPr>
            <w:tcW w:w="1480" w:type="dxa"/>
            <w:tcBorders>
              <w:top w:val="nil"/>
              <w:left w:val="nil"/>
              <w:bottom w:val="nil"/>
              <w:right w:val="nil"/>
            </w:tcBorders>
            <w:shd w:val="clear" w:color="auto" w:fill="auto"/>
            <w:noWrap/>
            <w:vAlign w:val="bottom"/>
          </w:tcPr>
          <w:p>
            <w:pPr>
              <w:rPr>
                <w:rFonts w:ascii="Arial" w:hAnsi="Arial" w:cs="Arial"/>
                <w:sz w:val="20"/>
                <w:szCs w:val="20"/>
              </w:rPr>
            </w:pPr>
          </w:p>
        </w:tc>
        <w:tc>
          <w:tcPr>
            <w:tcW w:w="27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1373"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467"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48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27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7</w:t>
            </w:r>
          </w:p>
        </w:tc>
      </w:tr>
      <w:tr>
        <w:tblPrEx>
          <w:tblCellMar>
            <w:top w:w="0" w:type="dxa"/>
            <w:left w:w="108" w:type="dxa"/>
            <w:bottom w:w="0" w:type="dxa"/>
            <w:right w:w="108" w:type="dxa"/>
          </w:tblCellMar>
        </w:tblPrEx>
        <w:trPr>
          <w:trHeight w:val="399"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445.33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445.33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375.98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375.98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5.13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5.13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表三：支出决算表</w:t>
      </w: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sz w:val="30"/>
                <w:szCs w:val="30"/>
              </w:rPr>
            </w:pPr>
            <w:r>
              <w:rPr>
                <w:rFonts w:hint="eastAsia" w:ascii="宋体" w:hAnsi="宋体" w:eastAsia="宋体" w:cs="宋体"/>
                <w:kern w:val="0"/>
                <w:sz w:val="32"/>
                <w:szCs w:val="32"/>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sz w:val="20"/>
                <w:szCs w:val="20"/>
              </w:rPr>
            </w:pPr>
          </w:p>
        </w:tc>
        <w:tc>
          <w:tcPr>
            <w:tcW w:w="237" w:type="dxa"/>
            <w:tcBorders>
              <w:top w:val="nil"/>
              <w:left w:val="nil"/>
              <w:bottom w:val="nil"/>
              <w:right w:val="nil"/>
            </w:tcBorders>
            <w:shd w:val="clear" w:color="auto" w:fill="auto"/>
            <w:noWrap/>
            <w:vAlign w:val="center"/>
          </w:tcPr>
          <w:p>
            <w:pPr>
              <w:rPr>
                <w:rFonts w:ascii="Arial" w:hAnsi="Arial" w:cs="Arial"/>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sz w:val="20"/>
                <w:szCs w:val="20"/>
              </w:rPr>
            </w:pPr>
          </w:p>
        </w:tc>
        <w:tc>
          <w:tcPr>
            <w:tcW w:w="2222" w:type="dxa"/>
            <w:tcBorders>
              <w:top w:val="nil"/>
              <w:left w:val="nil"/>
              <w:bottom w:val="nil"/>
              <w:right w:val="nil"/>
            </w:tcBorders>
            <w:shd w:val="clear" w:color="auto" w:fill="auto"/>
            <w:noWrap/>
            <w:vAlign w:val="center"/>
          </w:tcPr>
          <w:p>
            <w:pPr>
              <w:rPr>
                <w:rFonts w:ascii="Arial" w:hAnsi="Arial" w:cs="Arial"/>
                <w:sz w:val="20"/>
                <w:szCs w:val="20"/>
              </w:rPr>
            </w:pPr>
          </w:p>
        </w:tc>
        <w:tc>
          <w:tcPr>
            <w:tcW w:w="1627" w:type="dxa"/>
            <w:tcBorders>
              <w:top w:val="nil"/>
              <w:left w:val="nil"/>
              <w:bottom w:val="nil"/>
              <w:right w:val="nil"/>
            </w:tcBorders>
            <w:shd w:val="clear" w:color="auto" w:fill="auto"/>
            <w:noWrap/>
            <w:vAlign w:val="center"/>
          </w:tcPr>
          <w:p>
            <w:pPr>
              <w:rPr>
                <w:rFonts w:ascii="Arial" w:hAnsi="Arial" w:cs="Arial"/>
                <w:sz w:val="20"/>
                <w:szCs w:val="20"/>
              </w:rPr>
            </w:pPr>
          </w:p>
        </w:tc>
        <w:tc>
          <w:tcPr>
            <w:tcW w:w="1680" w:type="dxa"/>
            <w:tcBorders>
              <w:top w:val="nil"/>
              <w:left w:val="nil"/>
              <w:bottom w:val="nil"/>
              <w:right w:val="nil"/>
            </w:tcBorders>
            <w:shd w:val="clear" w:color="auto" w:fill="auto"/>
            <w:noWrap/>
            <w:vAlign w:val="center"/>
          </w:tcPr>
          <w:p>
            <w:pPr>
              <w:rPr>
                <w:rFonts w:ascii="Arial" w:hAnsi="Arial" w:cs="Arial"/>
                <w:sz w:val="20"/>
                <w:szCs w:val="20"/>
              </w:rPr>
            </w:pPr>
          </w:p>
        </w:tc>
        <w:tc>
          <w:tcPr>
            <w:tcW w:w="1760" w:type="dxa"/>
            <w:tcBorders>
              <w:top w:val="nil"/>
              <w:left w:val="nil"/>
              <w:bottom w:val="nil"/>
              <w:right w:val="nil"/>
            </w:tcBorders>
            <w:shd w:val="clear" w:color="auto" w:fill="auto"/>
            <w:noWrap/>
            <w:vAlign w:val="center"/>
          </w:tcPr>
          <w:p>
            <w:pPr>
              <w:rPr>
                <w:rFonts w:ascii="Arial" w:hAnsi="Arial" w:cs="Arial"/>
                <w:sz w:val="20"/>
                <w:szCs w:val="20"/>
              </w:rPr>
            </w:pPr>
          </w:p>
        </w:tc>
        <w:tc>
          <w:tcPr>
            <w:tcW w:w="1653" w:type="dxa"/>
            <w:tcBorders>
              <w:top w:val="nil"/>
              <w:left w:val="nil"/>
              <w:bottom w:val="nil"/>
              <w:right w:val="nil"/>
            </w:tcBorders>
            <w:shd w:val="clear" w:color="auto" w:fill="auto"/>
            <w:noWrap/>
            <w:vAlign w:val="center"/>
          </w:tcPr>
          <w:p>
            <w:pPr>
              <w:rPr>
                <w:rFonts w:ascii="Arial" w:hAnsi="Arial" w:cs="Arial"/>
                <w:sz w:val="20"/>
                <w:szCs w:val="20"/>
              </w:rPr>
            </w:pPr>
          </w:p>
        </w:tc>
        <w:tc>
          <w:tcPr>
            <w:tcW w:w="1654" w:type="dxa"/>
            <w:tcBorders>
              <w:top w:val="nil"/>
              <w:left w:val="nil"/>
              <w:bottom w:val="nil"/>
              <w:right w:val="nil"/>
            </w:tcBorders>
            <w:shd w:val="clear" w:color="auto" w:fill="auto"/>
            <w:noWrap/>
            <w:vAlign w:val="center"/>
          </w:tcPr>
          <w:p>
            <w:pPr>
              <w:rPr>
                <w:rFonts w:ascii="Arial" w:hAnsi="Arial" w:cs="Arial"/>
                <w:sz w:val="20"/>
                <w:szCs w:val="20"/>
              </w:rPr>
            </w:pPr>
          </w:p>
        </w:tc>
        <w:tc>
          <w:tcPr>
            <w:tcW w:w="1702"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sz w:val="20"/>
                <w:szCs w:val="20"/>
              </w:rPr>
            </w:pPr>
            <w:r>
              <w:rPr>
                <w:rFonts w:hint="eastAsia" w:ascii="宋体" w:hAnsi="宋体" w:eastAsia="宋体" w:cs="宋体"/>
                <w:kern w:val="0"/>
                <w:sz w:val="20"/>
                <w:szCs w:val="20"/>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1653" w:type="dxa"/>
            <w:tcBorders>
              <w:top w:val="nil"/>
              <w:left w:val="nil"/>
              <w:bottom w:val="single" w:color="auto" w:sz="4" w:space="0"/>
              <w:right w:val="nil"/>
            </w:tcBorders>
            <w:shd w:val="clear" w:color="auto" w:fill="auto"/>
            <w:noWrap/>
            <w:vAlign w:val="center"/>
          </w:tcPr>
          <w:p>
            <w:pPr>
              <w:rPr>
                <w:rFonts w:ascii="Arial" w:hAnsi="Arial" w:cs="Arial"/>
                <w:sz w:val="20"/>
                <w:szCs w:val="20"/>
              </w:rPr>
            </w:pPr>
          </w:p>
        </w:tc>
        <w:tc>
          <w:tcPr>
            <w:tcW w:w="1654" w:type="dxa"/>
            <w:tcBorders>
              <w:top w:val="nil"/>
              <w:left w:val="nil"/>
              <w:bottom w:val="single" w:color="auto" w:sz="4" w:space="0"/>
              <w:right w:val="nil"/>
            </w:tcBorders>
            <w:shd w:val="clear" w:color="auto" w:fill="auto"/>
            <w:noWrap/>
            <w:vAlign w:val="center"/>
          </w:tcPr>
          <w:p>
            <w:pPr>
              <w:rPr>
                <w:rFonts w:ascii="Arial" w:hAnsi="Arial" w:cs="Arial"/>
                <w:sz w:val="20"/>
                <w:szCs w:val="20"/>
              </w:rPr>
            </w:pPr>
          </w:p>
        </w:tc>
        <w:tc>
          <w:tcPr>
            <w:tcW w:w="1702"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ascii="宋体" w:hAnsi="宋体" w:eastAsia="宋体" w:cs="宋体"/>
                <w:b/>
                <w:bCs/>
                <w:sz w:val="22"/>
                <w:szCs w:val="22"/>
              </w:rPr>
              <w:t>445.33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ascii="宋体" w:hAnsi="宋体" w:eastAsia="宋体" w:cs="宋体"/>
                <w:b/>
                <w:bCs/>
                <w:sz w:val="22"/>
                <w:szCs w:val="22"/>
              </w:rPr>
              <w:t>190.57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254.75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ascii="宋体" w:hAnsi="宋体" w:eastAsia="宋体" w:cs="宋体"/>
                <w:b/>
                <w:bCs/>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141.31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239.80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141.31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239.80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375.98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141.04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234.95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5.13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4.86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18.82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18.82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18.82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13.79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13.79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13.79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14.21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14.95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14.21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14.95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ascii="宋体" w:hAnsi="宋体" w:eastAsia="宋体" w:cs="宋体"/>
                <w:kern w:val="0"/>
                <w:sz w:val="22"/>
                <w:szCs w:val="22"/>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14.21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14.95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注：本表反映部门本年度各项支出情况。</w:t>
            </w:r>
          </w:p>
        </w:tc>
      </w:tr>
    </w:tbl>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表四：财政拨款收入支出决算总表</w:t>
      </w:r>
    </w:p>
    <w:tbl>
      <w:tblPr>
        <w:tblStyle w:val="7"/>
        <w:tblW w:w="4966" w:type="pct"/>
        <w:tblInd w:w="0" w:type="dxa"/>
        <w:tblLayout w:type="fixed"/>
        <w:tblCellMar>
          <w:top w:w="0" w:type="dxa"/>
          <w:left w:w="108" w:type="dxa"/>
          <w:bottom w:w="0" w:type="dxa"/>
          <w:right w:w="108" w:type="dxa"/>
        </w:tblCellMar>
      </w:tblPr>
      <w:tblGrid>
        <w:gridCol w:w="2213"/>
        <w:gridCol w:w="786"/>
        <w:gridCol w:w="1306"/>
        <w:gridCol w:w="2359"/>
        <w:gridCol w:w="850"/>
        <w:gridCol w:w="1090"/>
        <w:gridCol w:w="1771"/>
        <w:gridCol w:w="1808"/>
        <w:gridCol w:w="189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sz w:val="20"/>
                <w:szCs w:val="20"/>
              </w:rPr>
            </w:pPr>
          </w:p>
        </w:tc>
        <w:tc>
          <w:tcPr>
            <w:tcW w:w="279" w:type="pct"/>
            <w:tcBorders>
              <w:top w:val="nil"/>
              <w:left w:val="nil"/>
              <w:bottom w:val="nil"/>
              <w:right w:val="nil"/>
            </w:tcBorders>
            <w:shd w:val="clear" w:color="auto" w:fill="auto"/>
            <w:noWrap/>
            <w:vAlign w:val="bottom"/>
          </w:tcPr>
          <w:p>
            <w:pPr>
              <w:rPr>
                <w:rFonts w:ascii="Arial" w:hAnsi="Arial" w:cs="Arial"/>
                <w:sz w:val="20"/>
                <w:szCs w:val="20"/>
              </w:rPr>
            </w:pPr>
          </w:p>
        </w:tc>
        <w:tc>
          <w:tcPr>
            <w:tcW w:w="464" w:type="pct"/>
            <w:tcBorders>
              <w:top w:val="nil"/>
              <w:left w:val="nil"/>
              <w:bottom w:val="nil"/>
              <w:right w:val="nil"/>
            </w:tcBorders>
            <w:shd w:val="clear" w:color="auto" w:fill="auto"/>
            <w:noWrap/>
            <w:vAlign w:val="bottom"/>
          </w:tcPr>
          <w:p>
            <w:pPr>
              <w:rPr>
                <w:rFonts w:ascii="Arial" w:hAnsi="Arial" w:cs="Arial"/>
                <w:sz w:val="20"/>
                <w:szCs w:val="20"/>
              </w:rPr>
            </w:pPr>
          </w:p>
        </w:tc>
        <w:tc>
          <w:tcPr>
            <w:tcW w:w="838" w:type="pct"/>
            <w:tcBorders>
              <w:top w:val="nil"/>
              <w:left w:val="nil"/>
              <w:bottom w:val="nil"/>
              <w:right w:val="nil"/>
            </w:tcBorders>
            <w:shd w:val="clear" w:color="auto" w:fill="auto"/>
            <w:noWrap/>
            <w:vAlign w:val="bottom"/>
          </w:tcPr>
          <w:p>
            <w:pPr>
              <w:rPr>
                <w:rFonts w:ascii="Arial" w:hAnsi="Arial" w:cs="Arial"/>
                <w:sz w:val="20"/>
                <w:szCs w:val="20"/>
              </w:rPr>
            </w:pPr>
          </w:p>
        </w:tc>
        <w:tc>
          <w:tcPr>
            <w:tcW w:w="302" w:type="pct"/>
            <w:tcBorders>
              <w:top w:val="nil"/>
              <w:left w:val="nil"/>
              <w:bottom w:val="nil"/>
              <w:right w:val="nil"/>
            </w:tcBorders>
            <w:shd w:val="clear" w:color="auto" w:fill="auto"/>
            <w:noWrap/>
            <w:vAlign w:val="bottom"/>
          </w:tcPr>
          <w:p>
            <w:pPr>
              <w:rPr>
                <w:rFonts w:ascii="Arial" w:hAnsi="Arial" w:cs="Arial"/>
                <w:sz w:val="20"/>
                <w:szCs w:val="20"/>
              </w:rPr>
            </w:pPr>
          </w:p>
        </w:tc>
        <w:tc>
          <w:tcPr>
            <w:tcW w:w="386" w:type="pct"/>
            <w:tcBorders>
              <w:top w:val="nil"/>
              <w:left w:val="nil"/>
              <w:bottom w:val="nil"/>
              <w:right w:val="nil"/>
            </w:tcBorders>
            <w:shd w:val="clear" w:color="auto" w:fill="auto"/>
            <w:noWrap/>
            <w:vAlign w:val="bottom"/>
          </w:tcPr>
          <w:p>
            <w:pPr>
              <w:rPr>
                <w:rFonts w:ascii="Arial" w:hAnsi="Arial" w:cs="Arial"/>
                <w:sz w:val="20"/>
                <w:szCs w:val="20"/>
              </w:rPr>
            </w:pPr>
          </w:p>
        </w:tc>
        <w:tc>
          <w:tcPr>
            <w:tcW w:w="629" w:type="pct"/>
            <w:tcBorders>
              <w:top w:val="nil"/>
              <w:left w:val="nil"/>
              <w:bottom w:val="nil"/>
              <w:right w:val="nil"/>
            </w:tcBorders>
            <w:shd w:val="clear" w:color="auto" w:fill="auto"/>
            <w:noWrap/>
            <w:vAlign w:val="bottom"/>
          </w:tcPr>
          <w:p>
            <w:pPr>
              <w:rPr>
                <w:rFonts w:ascii="Arial" w:hAnsi="Arial" w:cs="Arial"/>
                <w:sz w:val="20"/>
                <w:szCs w:val="20"/>
              </w:rPr>
            </w:pPr>
          </w:p>
        </w:tc>
        <w:tc>
          <w:tcPr>
            <w:tcW w:w="640" w:type="pct"/>
            <w:tcBorders>
              <w:top w:val="nil"/>
              <w:left w:val="nil"/>
              <w:bottom w:val="nil"/>
              <w:right w:val="nil"/>
            </w:tcBorders>
            <w:shd w:val="clear" w:color="auto" w:fill="auto"/>
            <w:noWrap/>
            <w:vAlign w:val="bottom"/>
          </w:tcPr>
          <w:p>
            <w:pPr>
              <w:rPr>
                <w:rFonts w:ascii="Arial" w:hAnsi="Arial" w:cs="Arial"/>
                <w:sz w:val="20"/>
                <w:szCs w:val="20"/>
              </w:rPr>
            </w:pPr>
          </w:p>
        </w:tc>
        <w:tc>
          <w:tcPr>
            <w:tcW w:w="67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629" w:type="pct"/>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640" w:type="pct"/>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67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2.44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381.11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381.11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18.82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18.82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13.79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13.79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29.16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29.16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445.33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r>
              <w:rPr>
                <w:rFonts w:ascii="宋体" w:hAnsi="宋体" w:eastAsia="宋体" w:cs="宋体"/>
                <w:sz w:val="22"/>
                <w:szCs w:val="22"/>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ascii="宋体" w:hAnsi="宋体" w:eastAsia="宋体" w:cs="宋体"/>
                <w:kern w:val="0"/>
                <w:sz w:val="22"/>
                <w:szCs w:val="22"/>
              </w:rPr>
              <w:t>445.33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445.33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tc>
        <w:tc>
          <w:tcPr>
            <w:tcW w:w="672" w:type="pct"/>
            <w:tcBorders>
              <w:top w:val="single" w:color="auto" w:sz="4" w:space="0"/>
              <w:left w:val="nil"/>
              <w:bottom w:val="nil"/>
              <w:right w:val="nil"/>
            </w:tcBorders>
            <w:shd w:val="clear" w:color="auto" w:fill="auto"/>
            <w:noWrap/>
            <w:vAlign w:val="center"/>
          </w:tcPr>
          <w:p>
            <w:pPr>
              <w:jc w:val="left"/>
              <w:rPr>
                <w:rFonts w:ascii="宋体" w:hAnsi="宋体" w:eastAsia="宋体" w:cs="宋体"/>
                <w:sz w:val="20"/>
                <w:szCs w:val="20"/>
              </w:rPr>
            </w:pPr>
          </w:p>
        </w:tc>
      </w:tr>
    </w:tbl>
    <w:p>
      <w:pPr>
        <w:rPr>
          <w:rFonts w:ascii="仿宋" w:hAnsi="仿宋" w:eastAsia="仿宋" w:cs="仿宋"/>
          <w:sz w:val="24"/>
        </w:rPr>
      </w:pPr>
      <w:r>
        <w:rPr>
          <w:rFonts w:hint="eastAsia" w:ascii="仿宋" w:hAnsi="仿宋" w:eastAsia="仿宋" w:cs="仿宋"/>
          <w:sz w:val="24"/>
        </w:rPr>
        <w:t>表五：一般公共预算财政拨款支出决算表</w:t>
      </w: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238" w:type="dxa"/>
            <w:tcBorders>
              <w:top w:val="nil"/>
              <w:left w:val="nil"/>
              <w:bottom w:val="nil"/>
              <w:right w:val="nil"/>
            </w:tcBorders>
            <w:shd w:val="clear" w:color="auto" w:fill="auto"/>
            <w:noWrap/>
            <w:vAlign w:val="bottom"/>
          </w:tcPr>
          <w:p>
            <w:pPr>
              <w:rPr>
                <w:rFonts w:ascii="Arial" w:hAnsi="Arial" w:cs="Arial"/>
                <w:sz w:val="20"/>
                <w:szCs w:val="20"/>
              </w:rPr>
            </w:pPr>
          </w:p>
        </w:tc>
        <w:tc>
          <w:tcPr>
            <w:tcW w:w="238" w:type="dxa"/>
            <w:tcBorders>
              <w:top w:val="nil"/>
              <w:left w:val="nil"/>
              <w:bottom w:val="nil"/>
              <w:right w:val="nil"/>
            </w:tcBorders>
            <w:shd w:val="clear" w:color="auto" w:fill="auto"/>
            <w:noWrap/>
            <w:vAlign w:val="bottom"/>
          </w:tcPr>
          <w:p>
            <w:pPr>
              <w:rPr>
                <w:rFonts w:ascii="Arial" w:hAnsi="Arial" w:cs="Arial"/>
                <w:sz w:val="20"/>
                <w:szCs w:val="20"/>
              </w:rPr>
            </w:pPr>
          </w:p>
        </w:tc>
        <w:tc>
          <w:tcPr>
            <w:tcW w:w="2052" w:type="dxa"/>
            <w:tcBorders>
              <w:top w:val="nil"/>
              <w:left w:val="nil"/>
              <w:bottom w:val="nil"/>
              <w:right w:val="nil"/>
            </w:tcBorders>
            <w:shd w:val="clear" w:color="auto" w:fill="auto"/>
            <w:noWrap/>
            <w:vAlign w:val="bottom"/>
          </w:tcPr>
          <w:p>
            <w:pPr>
              <w:rPr>
                <w:rFonts w:ascii="Arial" w:hAnsi="Arial" w:cs="Arial"/>
                <w:sz w:val="20"/>
                <w:szCs w:val="20"/>
              </w:rPr>
            </w:pPr>
          </w:p>
        </w:tc>
        <w:tc>
          <w:tcPr>
            <w:tcW w:w="3173" w:type="dxa"/>
            <w:tcBorders>
              <w:top w:val="nil"/>
              <w:left w:val="nil"/>
              <w:bottom w:val="nil"/>
              <w:right w:val="nil"/>
            </w:tcBorders>
            <w:shd w:val="clear" w:color="auto" w:fill="auto"/>
            <w:noWrap/>
            <w:vAlign w:val="bottom"/>
          </w:tcPr>
          <w:p>
            <w:pPr>
              <w:rPr>
                <w:rFonts w:ascii="Arial" w:hAnsi="Arial" w:cs="Arial"/>
                <w:sz w:val="20"/>
                <w:szCs w:val="20"/>
              </w:rPr>
            </w:pPr>
          </w:p>
        </w:tc>
        <w:tc>
          <w:tcPr>
            <w:tcW w:w="3107" w:type="dxa"/>
            <w:tcBorders>
              <w:top w:val="nil"/>
              <w:left w:val="nil"/>
              <w:bottom w:val="nil"/>
              <w:right w:val="nil"/>
            </w:tcBorders>
            <w:shd w:val="clear" w:color="auto" w:fill="auto"/>
            <w:noWrap/>
            <w:vAlign w:val="bottom"/>
          </w:tcPr>
          <w:p>
            <w:pPr>
              <w:rPr>
                <w:rFonts w:ascii="Arial" w:hAnsi="Arial" w:cs="Arial"/>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3107"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ascii="宋体" w:hAnsi="宋体" w:eastAsia="宋体" w:cs="宋体"/>
                <w:b/>
                <w:bCs/>
                <w:sz w:val="22"/>
                <w:szCs w:val="22"/>
              </w:rPr>
              <w:t>445.33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190.57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sz w:val="22"/>
                <w:szCs w:val="22"/>
              </w:rPr>
            </w:pPr>
            <w:r>
              <w:rPr>
                <w:rFonts w:hint="eastAsia" w:ascii="宋体" w:hAnsi="宋体" w:eastAsia="宋体" w:cs="宋体"/>
                <w:b/>
                <w:bCs/>
                <w:sz w:val="22"/>
                <w:szCs w:val="22"/>
              </w:rPr>
              <w:t>254.75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381.11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141.31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239.80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381.11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141.31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239.80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375.98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141.04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234.95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5.13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29.16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14.95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29.16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14.95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29.16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14.95</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sz w:val="20"/>
                <w:szCs w:val="20"/>
              </w:rPr>
            </w:pPr>
          </w:p>
        </w:tc>
        <w:tc>
          <w:tcPr>
            <w:tcW w:w="2371" w:type="dxa"/>
            <w:tcBorders>
              <w:top w:val="nil"/>
              <w:left w:val="nil"/>
              <w:bottom w:val="nil"/>
              <w:right w:val="nil"/>
            </w:tcBorders>
            <w:shd w:val="clear" w:color="auto" w:fill="auto"/>
            <w:noWrap/>
            <w:vAlign w:val="bottom"/>
          </w:tcPr>
          <w:p>
            <w:pPr>
              <w:rPr>
                <w:rFonts w:ascii="Arial" w:hAnsi="Arial" w:cs="Arial"/>
                <w:sz w:val="20"/>
                <w:szCs w:val="20"/>
              </w:rPr>
            </w:pPr>
          </w:p>
        </w:tc>
        <w:tc>
          <w:tcPr>
            <w:tcW w:w="1106" w:type="dxa"/>
            <w:tcBorders>
              <w:top w:val="nil"/>
              <w:left w:val="nil"/>
              <w:bottom w:val="nil"/>
              <w:right w:val="nil"/>
            </w:tcBorders>
            <w:shd w:val="clear" w:color="auto" w:fill="auto"/>
            <w:noWrap/>
            <w:vAlign w:val="bottom"/>
          </w:tcPr>
          <w:p>
            <w:pPr>
              <w:rPr>
                <w:rFonts w:ascii="Arial" w:hAnsi="Arial" w:cs="Arial"/>
                <w:sz w:val="20"/>
                <w:szCs w:val="20"/>
              </w:rPr>
            </w:pPr>
          </w:p>
        </w:tc>
        <w:tc>
          <w:tcPr>
            <w:tcW w:w="1280" w:type="dxa"/>
            <w:tcBorders>
              <w:top w:val="nil"/>
              <w:left w:val="nil"/>
              <w:bottom w:val="nil"/>
              <w:right w:val="nil"/>
            </w:tcBorders>
            <w:shd w:val="clear" w:color="auto" w:fill="auto"/>
            <w:noWrap/>
            <w:vAlign w:val="bottom"/>
          </w:tcPr>
          <w:p>
            <w:pPr>
              <w:rPr>
                <w:rFonts w:ascii="Arial" w:hAnsi="Arial" w:cs="Arial"/>
                <w:sz w:val="20"/>
                <w:szCs w:val="20"/>
              </w:rPr>
            </w:pPr>
          </w:p>
        </w:tc>
        <w:tc>
          <w:tcPr>
            <w:tcW w:w="2347" w:type="dxa"/>
            <w:tcBorders>
              <w:top w:val="nil"/>
              <w:left w:val="nil"/>
              <w:bottom w:val="nil"/>
              <w:right w:val="nil"/>
            </w:tcBorders>
            <w:shd w:val="clear" w:color="auto" w:fill="auto"/>
            <w:noWrap/>
            <w:vAlign w:val="bottom"/>
          </w:tcPr>
          <w:p>
            <w:pPr>
              <w:rPr>
                <w:rFonts w:ascii="Arial" w:hAnsi="Arial" w:cs="Arial"/>
                <w:sz w:val="20"/>
                <w:szCs w:val="20"/>
              </w:rPr>
            </w:pPr>
          </w:p>
        </w:tc>
        <w:tc>
          <w:tcPr>
            <w:tcW w:w="1160" w:type="dxa"/>
            <w:tcBorders>
              <w:top w:val="nil"/>
              <w:left w:val="nil"/>
              <w:bottom w:val="nil"/>
              <w:right w:val="nil"/>
            </w:tcBorders>
            <w:shd w:val="clear" w:color="auto" w:fill="auto"/>
            <w:noWrap/>
            <w:vAlign w:val="bottom"/>
          </w:tcPr>
          <w:p>
            <w:pPr>
              <w:rPr>
                <w:rFonts w:ascii="Arial" w:hAnsi="Arial" w:cs="Arial"/>
                <w:sz w:val="20"/>
                <w:szCs w:val="20"/>
              </w:rPr>
            </w:pPr>
          </w:p>
        </w:tc>
        <w:tc>
          <w:tcPr>
            <w:tcW w:w="1173" w:type="dxa"/>
            <w:tcBorders>
              <w:top w:val="nil"/>
              <w:left w:val="nil"/>
              <w:bottom w:val="nil"/>
              <w:right w:val="nil"/>
            </w:tcBorders>
            <w:shd w:val="clear" w:color="auto" w:fill="auto"/>
            <w:noWrap/>
            <w:vAlign w:val="bottom"/>
          </w:tcPr>
          <w:p>
            <w:pPr>
              <w:rPr>
                <w:rFonts w:ascii="Arial" w:hAnsi="Arial" w:cs="Arial"/>
                <w:sz w:val="20"/>
                <w:szCs w:val="20"/>
              </w:rPr>
            </w:pPr>
          </w:p>
        </w:tc>
        <w:tc>
          <w:tcPr>
            <w:tcW w:w="2147" w:type="dxa"/>
            <w:tcBorders>
              <w:top w:val="nil"/>
              <w:left w:val="nil"/>
              <w:bottom w:val="nil"/>
              <w:right w:val="nil"/>
            </w:tcBorders>
            <w:shd w:val="clear" w:color="auto" w:fill="auto"/>
            <w:noWrap/>
            <w:vAlign w:val="bottom"/>
          </w:tcPr>
          <w:p>
            <w:pPr>
              <w:rPr>
                <w:rFonts w:ascii="Arial" w:hAnsi="Arial" w:cs="Arial"/>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116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科目编码</w:t>
            </w:r>
          </w:p>
          <w:p>
            <w:pPr>
              <w:widowControl/>
              <w:jc w:val="center"/>
              <w:textAlignment w:val="center"/>
              <w:rPr>
                <w:rFonts w:ascii="宋体" w:hAnsi="宋体" w:eastAsia="宋体" w:cs="宋体"/>
                <w:sz w:val="22"/>
                <w:szCs w:val="22"/>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78.79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4.81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25.41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32.94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20.16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11.13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13.79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2.44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r>
              <w:rPr>
                <w:rFonts w:ascii="宋体" w:hAnsi="宋体" w:eastAsia="宋体" w:cs="宋体"/>
                <w:kern w:val="0"/>
                <w:sz w:val="22"/>
                <w:szCs w:val="22"/>
              </w:rPr>
              <w:t>人员经费合计</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sz w:val="22"/>
                <w:szCs w:val="22"/>
              </w:rPr>
            </w:pPr>
            <w:bookmarkStart w:id="0" w:name="OLE_LINK4"/>
            <w:bookmarkEnd w:id="0"/>
            <w:bookmarkStart w:id="1" w:name="OLE_LINK3"/>
            <w:bookmarkEnd w:id="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188.13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r>
              <w:rPr>
                <w:rFonts w:ascii="宋体" w:hAnsi="宋体" w:eastAsia="宋体" w:cs="宋体"/>
                <w:kern w:val="0"/>
                <w:sz w:val="22"/>
                <w:szCs w:val="22"/>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sz w:val="22"/>
                <w:szCs w:val="22"/>
              </w:rPr>
            </w:pPr>
            <w:r>
              <w:rPr>
                <w:rFonts w:ascii="宋体" w:hAnsi="宋体" w:eastAsia="宋体" w:cs="宋体"/>
                <w:kern w:val="0"/>
                <w:sz w:val="22"/>
                <w:szCs w:val="22"/>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2.44</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注：本表反映部门本年度一般公共预算财政拨款基本支出明细情况。</w:t>
            </w: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sz w:val="20"/>
                <w:szCs w:val="20"/>
              </w:rPr>
            </w:pPr>
          </w:p>
        </w:tc>
        <w:tc>
          <w:tcPr>
            <w:tcW w:w="240" w:type="dxa"/>
            <w:tcBorders>
              <w:top w:val="nil"/>
              <w:left w:val="nil"/>
              <w:bottom w:val="nil"/>
              <w:right w:val="nil"/>
            </w:tcBorders>
            <w:shd w:val="clear" w:color="auto" w:fill="auto"/>
            <w:noWrap/>
            <w:vAlign w:val="bottom"/>
          </w:tcPr>
          <w:p>
            <w:pPr>
              <w:rPr>
                <w:rFonts w:ascii="Arial" w:hAnsi="Arial" w:cs="Arial"/>
                <w:sz w:val="20"/>
                <w:szCs w:val="20"/>
              </w:rPr>
            </w:pPr>
          </w:p>
        </w:tc>
        <w:tc>
          <w:tcPr>
            <w:tcW w:w="236" w:type="dxa"/>
            <w:tcBorders>
              <w:top w:val="nil"/>
              <w:left w:val="nil"/>
              <w:bottom w:val="nil"/>
              <w:right w:val="nil"/>
            </w:tcBorders>
            <w:shd w:val="clear" w:color="auto" w:fill="auto"/>
            <w:noWrap/>
            <w:vAlign w:val="bottom"/>
          </w:tcPr>
          <w:p>
            <w:pPr>
              <w:rPr>
                <w:rFonts w:ascii="Arial" w:hAnsi="Arial" w:cs="Arial"/>
                <w:sz w:val="20"/>
                <w:szCs w:val="20"/>
              </w:rPr>
            </w:pPr>
          </w:p>
        </w:tc>
        <w:tc>
          <w:tcPr>
            <w:tcW w:w="1625" w:type="dxa"/>
            <w:tcBorders>
              <w:top w:val="nil"/>
              <w:left w:val="nil"/>
              <w:bottom w:val="nil"/>
              <w:right w:val="nil"/>
            </w:tcBorders>
            <w:shd w:val="clear" w:color="auto" w:fill="auto"/>
            <w:noWrap/>
            <w:vAlign w:val="bottom"/>
          </w:tcPr>
          <w:p>
            <w:pPr>
              <w:rPr>
                <w:rFonts w:ascii="Arial" w:hAnsi="Arial" w:cs="Arial"/>
                <w:sz w:val="20"/>
                <w:szCs w:val="20"/>
              </w:rPr>
            </w:pPr>
          </w:p>
        </w:tc>
        <w:tc>
          <w:tcPr>
            <w:tcW w:w="1973" w:type="dxa"/>
            <w:tcBorders>
              <w:top w:val="nil"/>
              <w:left w:val="nil"/>
              <w:bottom w:val="nil"/>
              <w:right w:val="nil"/>
            </w:tcBorders>
            <w:shd w:val="clear" w:color="auto" w:fill="auto"/>
            <w:noWrap/>
            <w:vAlign w:val="bottom"/>
          </w:tcPr>
          <w:p>
            <w:pPr>
              <w:rPr>
                <w:rFonts w:ascii="Arial" w:hAnsi="Arial" w:cs="Arial"/>
                <w:sz w:val="20"/>
                <w:szCs w:val="20"/>
              </w:rPr>
            </w:pPr>
          </w:p>
        </w:tc>
        <w:tc>
          <w:tcPr>
            <w:tcW w:w="1653" w:type="dxa"/>
            <w:tcBorders>
              <w:top w:val="nil"/>
              <w:left w:val="nil"/>
              <w:bottom w:val="nil"/>
              <w:right w:val="nil"/>
            </w:tcBorders>
            <w:shd w:val="clear" w:color="auto" w:fill="auto"/>
            <w:noWrap/>
            <w:vAlign w:val="bottom"/>
          </w:tcPr>
          <w:p>
            <w:pPr>
              <w:rPr>
                <w:rFonts w:ascii="Arial" w:hAnsi="Arial" w:cs="Arial"/>
                <w:sz w:val="20"/>
                <w:szCs w:val="20"/>
              </w:rPr>
            </w:pPr>
          </w:p>
        </w:tc>
        <w:tc>
          <w:tcPr>
            <w:tcW w:w="1600" w:type="dxa"/>
            <w:tcBorders>
              <w:top w:val="nil"/>
              <w:left w:val="nil"/>
              <w:bottom w:val="nil"/>
              <w:right w:val="nil"/>
            </w:tcBorders>
            <w:shd w:val="clear" w:color="auto" w:fill="auto"/>
            <w:noWrap/>
            <w:vAlign w:val="bottom"/>
          </w:tcPr>
          <w:p>
            <w:pPr>
              <w:rPr>
                <w:rFonts w:ascii="Arial" w:hAnsi="Arial" w:cs="Arial"/>
                <w:sz w:val="20"/>
                <w:szCs w:val="20"/>
              </w:rPr>
            </w:pPr>
          </w:p>
        </w:tc>
        <w:tc>
          <w:tcPr>
            <w:tcW w:w="1680" w:type="dxa"/>
            <w:tcBorders>
              <w:top w:val="nil"/>
              <w:left w:val="nil"/>
              <w:bottom w:val="nil"/>
              <w:right w:val="nil"/>
            </w:tcBorders>
            <w:shd w:val="clear" w:color="auto" w:fill="auto"/>
            <w:noWrap/>
            <w:vAlign w:val="bottom"/>
          </w:tcPr>
          <w:p>
            <w:pPr>
              <w:rPr>
                <w:rFonts w:ascii="Arial" w:hAnsi="Arial" w:cs="Arial"/>
                <w:sz w:val="20"/>
                <w:szCs w:val="20"/>
              </w:rPr>
            </w:pPr>
          </w:p>
        </w:tc>
        <w:tc>
          <w:tcPr>
            <w:tcW w:w="1730" w:type="dxa"/>
            <w:tcBorders>
              <w:top w:val="nil"/>
              <w:left w:val="nil"/>
              <w:bottom w:val="nil"/>
              <w:right w:val="nil"/>
            </w:tcBorders>
            <w:shd w:val="clear" w:color="auto" w:fill="auto"/>
            <w:noWrap/>
            <w:vAlign w:val="bottom"/>
          </w:tcPr>
          <w:p>
            <w:pPr>
              <w:rPr>
                <w:rFonts w:ascii="Arial" w:hAnsi="Arial" w:cs="Arial"/>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168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sz w:val="22"/>
                <w:szCs w:val="22"/>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sz w:val="22"/>
                <w:szCs w:val="22"/>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注：本表反映部门本年度政府性基金预算财政拨款收入、支出及结转和结余情况。</w:t>
            </w:r>
          </w:p>
          <w:p>
            <w:pPr>
              <w:rPr>
                <w:rFonts w:ascii="宋体" w:hAnsi="宋体" w:eastAsia="宋体" w:cs="宋体"/>
                <w:kern w:val="0"/>
                <w:sz w:val="22"/>
                <w:szCs w:val="22"/>
              </w:rPr>
            </w:pPr>
            <w:r>
              <w:rPr>
                <w:rFonts w:hint="eastAsia" w:ascii="宋体" w:hAnsi="宋体" w:eastAsia="宋体" w:cs="宋体"/>
                <w:szCs w:val="21"/>
              </w:rPr>
              <w:t>本部门</w:t>
            </w:r>
            <w:r>
              <w:rPr>
                <w:rFonts w:ascii="Times New Roman" w:hAnsi="Times New Roman" w:eastAsia="宋体" w:cs="Times New Roman"/>
                <w:szCs w:val="21"/>
              </w:rPr>
              <w:t>2022</w:t>
            </w:r>
            <w:r>
              <w:rPr>
                <w:rFonts w:hint="eastAsia" w:ascii="宋体" w:hAnsi="宋体" w:eastAsia="宋体" w:cs="宋体"/>
                <w:szCs w:val="21"/>
              </w:rPr>
              <w:t>年度没有政府性基金预算财政拨款收入，也没有政府性基金预算财政拨款安排的支出，故本表无数据”。</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285" w:type="dxa"/>
            <w:tcBorders>
              <w:top w:val="nil"/>
              <w:left w:val="nil"/>
              <w:bottom w:val="nil"/>
              <w:right w:val="nil"/>
            </w:tcBorders>
            <w:shd w:val="clear" w:color="auto" w:fill="auto"/>
            <w:noWrap/>
            <w:vAlign w:val="bottom"/>
          </w:tcPr>
          <w:p>
            <w:pPr>
              <w:rPr>
                <w:rFonts w:ascii="Arial" w:hAnsi="Arial" w:cs="Arial"/>
                <w:sz w:val="20"/>
                <w:szCs w:val="20"/>
              </w:rPr>
            </w:pPr>
          </w:p>
        </w:tc>
        <w:tc>
          <w:tcPr>
            <w:tcW w:w="363" w:type="dxa"/>
            <w:tcBorders>
              <w:top w:val="nil"/>
              <w:left w:val="nil"/>
              <w:bottom w:val="nil"/>
              <w:right w:val="nil"/>
            </w:tcBorders>
            <w:shd w:val="clear" w:color="auto" w:fill="auto"/>
            <w:noWrap/>
            <w:vAlign w:val="bottom"/>
          </w:tcPr>
          <w:p>
            <w:pPr>
              <w:rPr>
                <w:rFonts w:ascii="Arial" w:hAnsi="Arial" w:cs="Arial"/>
                <w:sz w:val="20"/>
                <w:szCs w:val="20"/>
              </w:rPr>
            </w:pPr>
          </w:p>
        </w:tc>
        <w:tc>
          <w:tcPr>
            <w:tcW w:w="1960" w:type="dxa"/>
            <w:tcBorders>
              <w:top w:val="nil"/>
              <w:left w:val="nil"/>
              <w:bottom w:val="nil"/>
              <w:right w:val="nil"/>
            </w:tcBorders>
            <w:shd w:val="clear" w:color="auto" w:fill="auto"/>
            <w:noWrap/>
            <w:vAlign w:val="bottom"/>
          </w:tcPr>
          <w:p>
            <w:pPr>
              <w:rPr>
                <w:rFonts w:ascii="Arial" w:hAnsi="Arial" w:cs="Arial"/>
                <w:sz w:val="20"/>
                <w:szCs w:val="20"/>
              </w:rPr>
            </w:pPr>
          </w:p>
        </w:tc>
        <w:tc>
          <w:tcPr>
            <w:tcW w:w="2993" w:type="dxa"/>
            <w:tcBorders>
              <w:top w:val="nil"/>
              <w:left w:val="nil"/>
              <w:bottom w:val="nil"/>
              <w:right w:val="nil"/>
            </w:tcBorders>
            <w:shd w:val="clear" w:color="auto" w:fill="auto"/>
            <w:noWrap/>
            <w:vAlign w:val="bottom"/>
          </w:tcPr>
          <w:p>
            <w:pPr>
              <w:rPr>
                <w:rFonts w:ascii="Arial" w:hAnsi="Arial" w:cs="Arial"/>
                <w:sz w:val="20"/>
                <w:szCs w:val="20"/>
              </w:rPr>
            </w:pPr>
          </w:p>
        </w:tc>
        <w:tc>
          <w:tcPr>
            <w:tcW w:w="3135" w:type="dxa"/>
            <w:tcBorders>
              <w:top w:val="nil"/>
              <w:left w:val="nil"/>
              <w:bottom w:val="nil"/>
              <w:right w:val="nil"/>
            </w:tcBorders>
            <w:shd w:val="clear" w:color="auto" w:fill="auto"/>
            <w:noWrap/>
            <w:vAlign w:val="bottom"/>
          </w:tcPr>
          <w:p>
            <w:pPr>
              <w:rPr>
                <w:rFonts w:ascii="Arial" w:hAnsi="Arial" w:cs="Arial"/>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3135" w:type="dxa"/>
            <w:tcBorders>
              <w:top w:val="nil"/>
              <w:left w:val="nil"/>
              <w:bottom w:val="nil"/>
              <w:right w:val="nil"/>
            </w:tcBorders>
            <w:shd w:val="clear" w:color="auto" w:fill="auto"/>
            <w:noWrap/>
            <w:vAlign w:val="bottom"/>
          </w:tcPr>
          <w:p>
            <w:pPr>
              <w:rPr>
                <w:rFonts w:ascii="Arial" w:hAnsi="Arial" w:cs="Arial"/>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sz w:val="22"/>
                <w:szCs w:val="22"/>
              </w:rPr>
            </w:pPr>
            <w:r>
              <w:rPr>
                <w:rFonts w:hint="eastAsia" w:ascii="宋体" w:hAnsi="宋体" w:eastAsia="宋体" w:cs="宋体"/>
                <w:b/>
                <w:bCs/>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r>
    </w:tbl>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注：本表反映部门本年度国有资本经营预算财政拨款支出情况。</w:t>
      </w:r>
    </w:p>
    <w:p>
      <w:pPr>
        <w:widowControl/>
        <w:jc w:val="left"/>
        <w:textAlignment w:val="center"/>
        <w:rPr>
          <w:rFonts w:ascii="宋体" w:hAnsi="宋体" w:eastAsia="宋体" w:cs="宋体"/>
          <w:kern w:val="0"/>
          <w:sz w:val="22"/>
          <w:szCs w:val="22"/>
        </w:rPr>
      </w:pPr>
      <w:r>
        <w:rPr>
          <w:rFonts w:hint="eastAsia" w:ascii="宋体" w:hAnsi="宋体" w:eastAsia="宋体" w:cs="宋体"/>
          <w:szCs w:val="21"/>
        </w:rPr>
        <w:t>本部门</w:t>
      </w:r>
      <w:r>
        <w:rPr>
          <w:rFonts w:ascii="Times New Roman" w:hAnsi="Times New Roman" w:eastAsia="宋体" w:cs="Times New Roman"/>
          <w:szCs w:val="21"/>
        </w:rPr>
        <w:t>2022</w:t>
      </w:r>
      <w:r>
        <w:rPr>
          <w:rFonts w:hint="eastAsia" w:ascii="宋体" w:hAnsi="宋体" w:eastAsia="宋体" w:cs="宋体"/>
          <w:szCs w:val="21"/>
        </w:rPr>
        <w:t>年度没有国有资本经营预算财政拨款收入，也没有国有资本经营预算财政拨款安排的支出，故本表无数据</w:t>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p>
            <w:pPr>
              <w:widowControl/>
              <w:jc w:val="left"/>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kern w:val="0"/>
                <w:sz w:val="30"/>
                <w:szCs w:val="30"/>
              </w:rPr>
            </w:pPr>
          </w:p>
          <w:p>
            <w:pPr>
              <w:widowControl/>
              <w:jc w:val="center"/>
              <w:textAlignment w:val="bottom"/>
              <w:rPr>
                <w:rFonts w:ascii="宋体" w:hAnsi="宋体" w:eastAsia="宋体" w:cs="宋体"/>
                <w:sz w:val="30"/>
                <w:szCs w:val="30"/>
              </w:rPr>
            </w:pPr>
            <w:r>
              <w:rPr>
                <w:rFonts w:hint="eastAsia" w:ascii="宋体" w:hAnsi="宋体" w:eastAsia="宋体" w:cs="宋体"/>
                <w:kern w:val="0"/>
                <w:sz w:val="32"/>
                <w:szCs w:val="32"/>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sz w:val="20"/>
                <w:szCs w:val="20"/>
              </w:rPr>
            </w:pPr>
          </w:p>
        </w:tc>
        <w:tc>
          <w:tcPr>
            <w:tcW w:w="1425" w:type="dxa"/>
            <w:tcBorders>
              <w:top w:val="nil"/>
              <w:left w:val="nil"/>
              <w:bottom w:val="nil"/>
              <w:right w:val="nil"/>
            </w:tcBorders>
            <w:shd w:val="clear" w:color="auto" w:fill="auto"/>
            <w:noWrap/>
            <w:vAlign w:val="bottom"/>
          </w:tcPr>
          <w:p>
            <w:pPr>
              <w:rPr>
                <w:rFonts w:ascii="Arial" w:hAnsi="Arial" w:cs="Arial"/>
                <w:sz w:val="20"/>
                <w:szCs w:val="20"/>
              </w:rPr>
            </w:pPr>
          </w:p>
        </w:tc>
        <w:tc>
          <w:tcPr>
            <w:tcW w:w="1094" w:type="dxa"/>
            <w:tcBorders>
              <w:top w:val="nil"/>
              <w:left w:val="nil"/>
              <w:bottom w:val="nil"/>
              <w:right w:val="nil"/>
            </w:tcBorders>
            <w:shd w:val="clear" w:color="auto" w:fill="auto"/>
            <w:noWrap/>
            <w:vAlign w:val="bottom"/>
          </w:tcPr>
          <w:p>
            <w:pPr>
              <w:rPr>
                <w:rFonts w:ascii="Arial" w:hAnsi="Arial" w:cs="Arial"/>
                <w:sz w:val="20"/>
                <w:szCs w:val="20"/>
              </w:rPr>
            </w:pPr>
          </w:p>
        </w:tc>
        <w:tc>
          <w:tcPr>
            <w:tcW w:w="1159" w:type="dxa"/>
            <w:tcBorders>
              <w:top w:val="nil"/>
              <w:left w:val="nil"/>
              <w:bottom w:val="nil"/>
              <w:right w:val="nil"/>
            </w:tcBorders>
            <w:shd w:val="clear" w:color="auto" w:fill="auto"/>
            <w:noWrap/>
            <w:vAlign w:val="bottom"/>
          </w:tcPr>
          <w:p>
            <w:pPr>
              <w:rPr>
                <w:rFonts w:ascii="Arial" w:hAnsi="Arial" w:cs="Arial"/>
                <w:sz w:val="20"/>
                <w:szCs w:val="20"/>
              </w:rPr>
            </w:pPr>
          </w:p>
        </w:tc>
        <w:tc>
          <w:tcPr>
            <w:tcW w:w="1133" w:type="dxa"/>
            <w:tcBorders>
              <w:top w:val="nil"/>
              <w:left w:val="nil"/>
              <w:bottom w:val="nil"/>
              <w:right w:val="nil"/>
            </w:tcBorders>
            <w:shd w:val="clear" w:color="auto" w:fill="auto"/>
            <w:noWrap/>
            <w:vAlign w:val="bottom"/>
          </w:tcPr>
          <w:p>
            <w:pPr>
              <w:rPr>
                <w:rFonts w:ascii="Arial" w:hAnsi="Arial" w:cs="Arial"/>
                <w:sz w:val="20"/>
                <w:szCs w:val="20"/>
              </w:rPr>
            </w:pPr>
          </w:p>
        </w:tc>
        <w:tc>
          <w:tcPr>
            <w:tcW w:w="1040" w:type="dxa"/>
            <w:tcBorders>
              <w:top w:val="nil"/>
              <w:left w:val="nil"/>
              <w:bottom w:val="nil"/>
              <w:right w:val="nil"/>
            </w:tcBorders>
            <w:shd w:val="clear" w:color="auto" w:fill="auto"/>
            <w:noWrap/>
            <w:vAlign w:val="bottom"/>
          </w:tcPr>
          <w:p>
            <w:pPr>
              <w:rPr>
                <w:rFonts w:ascii="Arial" w:hAnsi="Arial" w:cs="Arial"/>
                <w:sz w:val="20"/>
                <w:szCs w:val="20"/>
              </w:rPr>
            </w:pPr>
          </w:p>
        </w:tc>
        <w:tc>
          <w:tcPr>
            <w:tcW w:w="1066" w:type="dxa"/>
            <w:tcBorders>
              <w:top w:val="nil"/>
              <w:left w:val="nil"/>
              <w:bottom w:val="nil"/>
              <w:right w:val="nil"/>
            </w:tcBorders>
            <w:shd w:val="clear" w:color="auto" w:fill="auto"/>
            <w:noWrap/>
            <w:vAlign w:val="bottom"/>
          </w:tcPr>
          <w:p>
            <w:pPr>
              <w:rPr>
                <w:rFonts w:ascii="Arial" w:hAnsi="Arial" w:cs="Arial"/>
                <w:sz w:val="20"/>
                <w:szCs w:val="20"/>
              </w:rPr>
            </w:pPr>
          </w:p>
        </w:tc>
        <w:tc>
          <w:tcPr>
            <w:tcW w:w="1161" w:type="dxa"/>
            <w:tcBorders>
              <w:top w:val="nil"/>
              <w:left w:val="nil"/>
              <w:bottom w:val="nil"/>
              <w:right w:val="nil"/>
            </w:tcBorders>
            <w:shd w:val="clear" w:color="auto" w:fill="auto"/>
            <w:noWrap/>
            <w:vAlign w:val="bottom"/>
          </w:tcPr>
          <w:p>
            <w:pPr>
              <w:rPr>
                <w:rFonts w:ascii="Arial" w:hAnsi="Arial" w:cs="Arial"/>
                <w:sz w:val="20"/>
                <w:szCs w:val="20"/>
              </w:rPr>
            </w:pPr>
          </w:p>
        </w:tc>
        <w:tc>
          <w:tcPr>
            <w:tcW w:w="1053" w:type="dxa"/>
            <w:tcBorders>
              <w:top w:val="nil"/>
              <w:left w:val="nil"/>
              <w:bottom w:val="nil"/>
              <w:right w:val="nil"/>
            </w:tcBorders>
            <w:shd w:val="clear" w:color="auto" w:fill="auto"/>
            <w:noWrap/>
            <w:vAlign w:val="bottom"/>
          </w:tcPr>
          <w:p>
            <w:pPr>
              <w:rPr>
                <w:rFonts w:ascii="Arial" w:hAnsi="Arial" w:cs="Arial"/>
                <w:sz w:val="20"/>
                <w:szCs w:val="20"/>
              </w:rPr>
            </w:pPr>
          </w:p>
        </w:tc>
        <w:tc>
          <w:tcPr>
            <w:tcW w:w="1148" w:type="dxa"/>
            <w:tcBorders>
              <w:top w:val="nil"/>
              <w:left w:val="nil"/>
              <w:bottom w:val="nil"/>
              <w:right w:val="nil"/>
            </w:tcBorders>
            <w:shd w:val="clear" w:color="auto" w:fill="auto"/>
            <w:noWrap/>
            <w:vAlign w:val="bottom"/>
          </w:tcPr>
          <w:p>
            <w:pPr>
              <w:rPr>
                <w:rFonts w:ascii="Arial" w:hAnsi="Arial" w:cs="Arial"/>
                <w:sz w:val="20"/>
                <w:szCs w:val="20"/>
              </w:rPr>
            </w:pPr>
          </w:p>
        </w:tc>
        <w:tc>
          <w:tcPr>
            <w:tcW w:w="1133" w:type="dxa"/>
            <w:tcBorders>
              <w:top w:val="nil"/>
              <w:left w:val="nil"/>
              <w:bottom w:val="nil"/>
              <w:right w:val="nil"/>
            </w:tcBorders>
            <w:shd w:val="clear" w:color="auto" w:fill="auto"/>
            <w:noWrap/>
            <w:vAlign w:val="bottom"/>
          </w:tcPr>
          <w:p>
            <w:pPr>
              <w:rPr>
                <w:rFonts w:ascii="Arial" w:hAnsi="Arial" w:cs="Arial"/>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sz w:val="20"/>
                <w:szCs w:val="20"/>
              </w:rPr>
            </w:pPr>
            <w:r>
              <w:rPr>
                <w:rFonts w:hint="eastAsia" w:ascii="宋体" w:hAnsi="宋体" w:eastAsia="宋体" w:cs="宋体"/>
                <w:kern w:val="0"/>
                <w:sz w:val="20"/>
                <w:szCs w:val="20"/>
              </w:rPr>
              <w:t>部门：</w:t>
            </w:r>
            <w:r>
              <w:rPr>
                <w:rFonts w:ascii="宋体" w:hAnsi="宋体" w:eastAsia="宋体" w:cs="宋体"/>
                <w:sz w:val="20"/>
              </w:rPr>
              <w:t>环江毛南族自治县第二幼儿园</w:t>
            </w:r>
          </w:p>
        </w:tc>
        <w:tc>
          <w:tcPr>
            <w:tcW w:w="1066" w:type="dxa"/>
            <w:tcBorders>
              <w:top w:val="nil"/>
              <w:left w:val="nil"/>
              <w:bottom w:val="nil"/>
              <w:right w:val="nil"/>
            </w:tcBorders>
            <w:shd w:val="clear" w:color="auto" w:fill="auto"/>
            <w:noWrap/>
            <w:vAlign w:val="bottom"/>
          </w:tcPr>
          <w:p>
            <w:pPr>
              <w:rPr>
                <w:rFonts w:ascii="Arial" w:hAnsi="Arial" w:cs="Arial"/>
                <w:sz w:val="20"/>
                <w:szCs w:val="20"/>
              </w:rPr>
            </w:pPr>
          </w:p>
        </w:tc>
        <w:tc>
          <w:tcPr>
            <w:tcW w:w="1161" w:type="dxa"/>
            <w:tcBorders>
              <w:top w:val="nil"/>
              <w:left w:val="nil"/>
              <w:bottom w:val="nil"/>
              <w:right w:val="nil"/>
            </w:tcBorders>
            <w:shd w:val="clear" w:color="auto" w:fill="auto"/>
            <w:noWrap/>
            <w:vAlign w:val="bottom"/>
          </w:tcPr>
          <w:p>
            <w:pPr>
              <w:rPr>
                <w:rFonts w:ascii="Arial" w:hAnsi="Arial" w:cs="Arial"/>
                <w:sz w:val="20"/>
                <w:szCs w:val="20"/>
              </w:rPr>
            </w:pPr>
          </w:p>
        </w:tc>
        <w:tc>
          <w:tcPr>
            <w:tcW w:w="1053" w:type="dxa"/>
            <w:tcBorders>
              <w:top w:val="nil"/>
              <w:left w:val="nil"/>
              <w:bottom w:val="nil"/>
              <w:right w:val="nil"/>
            </w:tcBorders>
            <w:shd w:val="clear" w:color="auto" w:fill="auto"/>
            <w:noWrap/>
            <w:vAlign w:val="bottom"/>
          </w:tcPr>
          <w:p>
            <w:pPr>
              <w:rPr>
                <w:rFonts w:ascii="Arial" w:hAnsi="Arial" w:cs="Arial"/>
                <w:sz w:val="20"/>
                <w:szCs w:val="20"/>
              </w:rPr>
            </w:pPr>
          </w:p>
        </w:tc>
        <w:tc>
          <w:tcPr>
            <w:tcW w:w="1148" w:type="dxa"/>
            <w:tcBorders>
              <w:top w:val="nil"/>
              <w:left w:val="nil"/>
              <w:bottom w:val="nil"/>
              <w:right w:val="nil"/>
            </w:tcBorders>
            <w:shd w:val="clear" w:color="auto" w:fill="auto"/>
            <w:noWrap/>
            <w:vAlign w:val="bottom"/>
          </w:tcPr>
          <w:p>
            <w:pPr>
              <w:rPr>
                <w:rFonts w:ascii="Arial" w:hAnsi="Arial" w:cs="Arial"/>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1</w:t>
            </w:r>
          </w:p>
          <w:p>
            <w:pPr>
              <w:widowControl/>
              <w:jc w:val="center"/>
              <w:textAlignment w:val="center"/>
              <w:rPr>
                <w:rFonts w:ascii="宋体" w:hAnsi="宋体" w:eastAsia="宋体" w:cs="宋体"/>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ascii="宋体" w:hAnsi="宋体" w:eastAsia="宋体" w:cs="宋体"/>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 w:val="22"/>
                <w:szCs w:val="22"/>
              </w:rPr>
            </w:pPr>
            <w:r>
              <w:rPr>
                <w:rFonts w:hint="eastAsia" w:ascii="宋体" w:hAnsi="宋体" w:eastAsia="宋体" w:cs="宋体"/>
                <w:kern w:val="0"/>
                <w:sz w:val="22"/>
                <w:szCs w:val="22"/>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2"/>
                <w:szCs w:val="22"/>
              </w:rPr>
            </w:pPr>
            <w:r>
              <w:rPr>
                <w:rFonts w:hint="eastAsia" w:ascii="宋体" w:hAnsi="宋体" w:eastAsia="宋体" w:cs="宋体"/>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kern w:val="0"/>
                <w:sz w:val="22"/>
                <w:szCs w:val="22"/>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textAlignment w:val="center"/>
              <w:rPr>
                <w:rFonts w:ascii="宋体" w:hAnsi="宋体" w:eastAsia="宋体" w:cs="宋体"/>
                <w:kern w:val="0"/>
                <w:sz w:val="22"/>
                <w:szCs w:val="22"/>
              </w:rPr>
            </w:pPr>
            <w:r>
              <w:rPr>
                <w:rFonts w:hint="eastAsia" w:ascii="宋体" w:hAnsi="宋体" w:eastAsia="宋体" w:cs="宋体"/>
                <w:szCs w:val="21"/>
              </w:rPr>
              <w:t>本部门</w:t>
            </w:r>
            <w:r>
              <w:rPr>
                <w:rFonts w:ascii="Times New Roman" w:hAnsi="Times New Roman" w:eastAsia="宋体" w:cs="Times New Roman"/>
                <w:szCs w:val="21"/>
              </w:rPr>
              <w:t>2022</w:t>
            </w:r>
            <w:r>
              <w:rPr>
                <w:rFonts w:hint="eastAsia" w:ascii="宋体" w:hAnsi="宋体" w:eastAsia="宋体" w:cs="宋体"/>
                <w:szCs w:val="21"/>
              </w:rPr>
              <w:t xml:space="preserve">年度没有财政拨款“三公”经费收入，也没有财政拨款“三公”经费安排的支出，故本表无数据 </w:t>
            </w:r>
          </w:p>
        </w:tc>
      </w:tr>
    </w:tbl>
    <w:p>
      <w:pPr>
        <w:ind w:firstLine="420"/>
        <w:jc w:val="left"/>
        <w:rPr>
          <w:rFonts w:ascii="仿宋" w:hAnsi="仿宋" w:eastAsia="仿宋" w:cs="仿宋"/>
          <w:sz w:val="24"/>
        </w:rPr>
        <w:sectPr>
          <w:pgSz w:w="16838" w:h="11906" w:orient="landscape"/>
          <w:pgMar w:top="1418" w:right="1440" w:bottom="1418"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环江毛南族自治县第二幼儿园</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445.33</w:t>
      </w:r>
      <w:r>
        <w:rPr>
          <w:rFonts w:hint="eastAsia" w:ascii="仿宋" w:hAnsi="仿宋" w:eastAsia="仿宋" w:cs="仿宋"/>
          <w:sz w:val="32"/>
          <w:szCs w:val="32"/>
        </w:rPr>
        <w:t>万元，较2021年度决算数</w:t>
      </w:r>
      <w:r>
        <w:rPr>
          <w:rFonts w:ascii="仿宋" w:hAnsi="仿宋" w:eastAsia="仿宋" w:cs="仿宋"/>
          <w:sz w:val="32"/>
        </w:rPr>
        <w:t>增加96.35</w:t>
      </w:r>
      <w:r>
        <w:rPr>
          <w:rFonts w:hint="eastAsia" w:ascii="仿宋" w:hAnsi="仿宋" w:eastAsia="仿宋" w:cs="仿宋"/>
          <w:sz w:val="32"/>
          <w:szCs w:val="32"/>
        </w:rPr>
        <w:t>万元，</w:t>
      </w:r>
      <w:r>
        <w:rPr>
          <w:rFonts w:ascii="仿宋" w:hAnsi="仿宋" w:eastAsia="仿宋" w:cs="仿宋"/>
          <w:sz w:val="32"/>
        </w:rPr>
        <w:t>增长27.61%</w:t>
      </w:r>
      <w:r>
        <w:rPr>
          <w:rFonts w:hint="eastAsia" w:ascii="仿宋" w:hAnsi="仿宋" w:eastAsia="仿宋" w:cs="仿宋"/>
          <w:sz w:val="32"/>
          <w:szCs w:val="32"/>
        </w:rPr>
        <w:t>，其中本年收入</w:t>
      </w:r>
      <w:r>
        <w:rPr>
          <w:rFonts w:ascii="仿宋" w:hAnsi="仿宋" w:eastAsia="仿宋" w:cs="仿宋"/>
          <w:sz w:val="32"/>
        </w:rPr>
        <w:t>445.33</w:t>
      </w:r>
      <w:r>
        <w:rPr>
          <w:rFonts w:hint="eastAsia" w:ascii="仿宋" w:hAnsi="仿宋" w:eastAsia="仿宋" w:cs="仿宋"/>
          <w:sz w:val="32"/>
          <w:szCs w:val="32"/>
        </w:rPr>
        <w:t>万元。收入具体情况如下。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1.一般公共预算财政拨款收入</w:t>
      </w:r>
      <w:r>
        <w:rPr>
          <w:rFonts w:ascii="仿宋" w:hAnsi="仿宋" w:eastAsia="仿宋" w:cs="仿宋"/>
          <w:sz w:val="32"/>
        </w:rPr>
        <w:t>445.33</w:t>
      </w:r>
      <w:r>
        <w:rPr>
          <w:rFonts w:hint="eastAsia" w:ascii="仿宋" w:hAnsi="仿宋" w:eastAsia="仿宋" w:cs="仿宋"/>
          <w:sz w:val="32"/>
          <w:szCs w:val="32"/>
        </w:rPr>
        <w:t>万元，为环江毛南族自治县本级财政当年拨付的资金。较2021年度决算数</w:t>
      </w:r>
      <w:r>
        <w:rPr>
          <w:rFonts w:ascii="仿宋" w:hAnsi="仿宋" w:eastAsia="仿宋" w:cs="仿宋"/>
          <w:sz w:val="32"/>
        </w:rPr>
        <w:t>增加131.44</w:t>
      </w:r>
      <w:r>
        <w:rPr>
          <w:rFonts w:hint="eastAsia" w:ascii="仿宋" w:hAnsi="仿宋" w:eastAsia="仿宋" w:cs="仿宋"/>
          <w:sz w:val="32"/>
          <w:szCs w:val="32"/>
        </w:rPr>
        <w:t>万元，</w:t>
      </w:r>
      <w:r>
        <w:rPr>
          <w:rFonts w:ascii="仿宋" w:hAnsi="仿宋" w:eastAsia="仿宋" w:cs="仿宋"/>
          <w:sz w:val="32"/>
        </w:rPr>
        <w:t>增长41.87%</w:t>
      </w:r>
      <w:r>
        <w:rPr>
          <w:rFonts w:hint="eastAsia" w:ascii="仿宋" w:hAnsi="仿宋" w:eastAsia="仿宋" w:cs="仿宋"/>
          <w:sz w:val="32"/>
          <w:szCs w:val="32"/>
        </w:rPr>
        <w:t>，主要原因：本部门2</w:t>
      </w:r>
      <w:r>
        <w:rPr>
          <w:rFonts w:ascii="仿宋" w:hAnsi="仿宋" w:eastAsia="仿宋" w:cs="仿宋"/>
          <w:sz w:val="32"/>
          <w:szCs w:val="32"/>
        </w:rPr>
        <w:t>022</w:t>
      </w:r>
      <w:r>
        <w:rPr>
          <w:rFonts w:hint="eastAsia" w:ascii="仿宋" w:hAnsi="仿宋" w:eastAsia="仿宋" w:cs="仿宋"/>
          <w:sz w:val="32"/>
          <w:szCs w:val="32"/>
        </w:rPr>
        <w:t>年度新公招8名教师控制数；2</w:t>
      </w:r>
      <w:r>
        <w:rPr>
          <w:rFonts w:ascii="仿宋" w:hAnsi="仿宋" w:eastAsia="仿宋" w:cs="仿宋"/>
          <w:sz w:val="32"/>
          <w:szCs w:val="32"/>
        </w:rPr>
        <w:t>022</w:t>
      </w:r>
      <w:r>
        <w:rPr>
          <w:rFonts w:hint="eastAsia" w:ascii="仿宋" w:hAnsi="仿宋" w:eastAsia="仿宋" w:cs="仿宋"/>
          <w:sz w:val="32"/>
          <w:szCs w:val="32"/>
        </w:rPr>
        <w:t>年度调整工资标准。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2.政府性基金预算财政拨款收入</w:t>
      </w:r>
      <w:r>
        <w:rPr>
          <w:rFonts w:ascii="仿宋" w:hAnsi="仿宋" w:eastAsia="仿宋" w:cs="仿宋"/>
          <w:sz w:val="32"/>
        </w:rPr>
        <w:t>0.00</w:t>
      </w:r>
      <w:r>
        <w:rPr>
          <w:rFonts w:hint="eastAsia" w:ascii="仿宋" w:hAnsi="仿宋" w:eastAsia="仿宋" w:cs="仿宋"/>
          <w:sz w:val="32"/>
          <w:szCs w:val="32"/>
        </w:rPr>
        <w:t>万元，为环江毛南族自治县本级财政当年拨付的资金。较2021年度决算数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w:t>
      </w:r>
      <w:r>
        <w:rPr>
          <w:rFonts w:hint="eastAsia" w:ascii="仿宋" w:hAnsi="仿宋" w:eastAsia="仿宋" w:cs="Times New Roman"/>
          <w:sz w:val="32"/>
          <w:szCs w:val="32"/>
        </w:rPr>
        <w:t>本单位2022年没有政府性基金预算财政拨款资金收入。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3.国有资本经营预算财政拨款收入</w:t>
      </w:r>
      <w:r>
        <w:rPr>
          <w:rFonts w:ascii="仿宋" w:hAnsi="仿宋" w:eastAsia="仿宋" w:cs="仿宋"/>
          <w:sz w:val="32"/>
        </w:rPr>
        <w:t>0.00</w:t>
      </w:r>
      <w:r>
        <w:rPr>
          <w:rFonts w:hint="eastAsia" w:ascii="仿宋" w:hAnsi="仿宋" w:eastAsia="仿宋" w:cs="仿宋"/>
          <w:sz w:val="32"/>
          <w:szCs w:val="32"/>
        </w:rPr>
        <w:t>万元。为环江毛南族自治县本级财政当年拨付的资金。较2021年度决算数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，主要原因是：本单位2022年度无国有资本经营预算财政拨款收入。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4.上级补助收入</w:t>
      </w:r>
      <w:r>
        <w:rPr>
          <w:rFonts w:ascii="仿宋" w:hAnsi="仿宋" w:eastAsia="仿宋" w:cs="仿宋"/>
          <w:sz w:val="32"/>
        </w:rPr>
        <w:t>0.00</w:t>
      </w:r>
      <w:r>
        <w:rPr>
          <w:rFonts w:hint="eastAsia" w:ascii="仿宋" w:hAnsi="仿宋" w:eastAsia="仿宋" w:cs="仿宋"/>
          <w:sz w:val="32"/>
          <w:szCs w:val="32"/>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，主要原因是：本单位没有上级补助收入。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5.事业收入</w:t>
      </w:r>
      <w:r>
        <w:rPr>
          <w:rFonts w:ascii="仿宋" w:hAnsi="仿宋" w:eastAsia="仿宋" w:cs="仿宋"/>
          <w:sz w:val="32"/>
        </w:rPr>
        <w:t>0.00</w:t>
      </w:r>
      <w:r>
        <w:rPr>
          <w:rFonts w:hint="eastAsia" w:ascii="仿宋" w:hAnsi="仿宋" w:eastAsia="仿宋" w:cs="仿宋"/>
          <w:sz w:val="32"/>
          <w:szCs w:val="32"/>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，主要原因是：本单位没有事业收入。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6.经营收入0.00万,为事业单位在业务活动之外开展非独立核算经营活动取得的收入。较2021年度决算数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，主要原因是：本单位没有经营性收入。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7.附属单位上缴收入</w:t>
      </w:r>
      <w:r>
        <w:rPr>
          <w:rFonts w:ascii="仿宋" w:hAnsi="仿宋" w:eastAsia="仿宋" w:cs="仿宋"/>
          <w:sz w:val="32"/>
        </w:rPr>
        <w:t>0.00</w:t>
      </w:r>
      <w:r>
        <w:rPr>
          <w:rFonts w:hint="eastAsia" w:ascii="仿宋" w:hAnsi="仿宋" w:eastAsia="仿宋" w:cs="仿宋"/>
          <w:sz w:val="32"/>
          <w:szCs w:val="32"/>
        </w:rPr>
        <w:t>万元。较2021年度决算数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，主要原因是：本单位无附属单位上缴收入。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8.其他收入</w:t>
      </w:r>
      <w:r>
        <w:rPr>
          <w:rFonts w:ascii="仿宋" w:hAnsi="仿宋" w:eastAsia="仿宋" w:cs="仿宋"/>
          <w:sz w:val="32"/>
        </w:rPr>
        <w:t>0.00</w:t>
      </w:r>
      <w:r>
        <w:rPr>
          <w:rFonts w:hint="eastAsia" w:ascii="仿宋" w:hAnsi="仿宋" w:eastAsia="仿宋" w:cs="仿宋"/>
          <w:sz w:val="32"/>
          <w:szCs w:val="32"/>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，主要原因是：本单位没有其他收入。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9.使用非财政拨款结余</w:t>
      </w:r>
      <w:r>
        <w:rPr>
          <w:rFonts w:ascii="仿宋" w:hAnsi="仿宋" w:eastAsia="仿宋" w:cs="仿宋"/>
          <w:sz w:val="32"/>
        </w:rPr>
        <w:t>0.00</w:t>
      </w:r>
      <w:r>
        <w:rPr>
          <w:rFonts w:hint="eastAsia" w:ascii="仿宋" w:hAnsi="仿宋" w:eastAsia="仿宋" w:cs="仿宋"/>
          <w:sz w:val="32"/>
          <w:szCs w:val="32"/>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，主要原因是：本单位没有非财政拨款结余。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10.上年结转和结余</w:t>
      </w:r>
      <w:r>
        <w:rPr>
          <w:rFonts w:ascii="仿宋" w:hAnsi="仿宋" w:eastAsia="仿宋" w:cs="仿宋"/>
          <w:sz w:val="32"/>
        </w:rPr>
        <w:t>0.00</w:t>
      </w:r>
      <w:r>
        <w:rPr>
          <w:rFonts w:hint="eastAsia" w:ascii="仿宋" w:hAnsi="仿宋" w:eastAsia="仿宋" w:cs="仿宋"/>
          <w:sz w:val="32"/>
          <w:szCs w:val="32"/>
        </w:rPr>
        <w:t>万元，为以前年度支出预算因客观条件变化未执行完毕、结转到本年度按有关规定继续使用的资金。较2021年度决算数</w:t>
      </w:r>
      <w:r>
        <w:rPr>
          <w:rFonts w:ascii="仿宋" w:hAnsi="仿宋" w:eastAsia="仿宋" w:cs="仿宋"/>
          <w:sz w:val="32"/>
        </w:rPr>
        <w:t>减少35.09</w:t>
      </w:r>
      <w:r>
        <w:rPr>
          <w:rFonts w:hint="eastAsia" w:ascii="仿宋" w:hAnsi="仿宋" w:eastAsia="仿宋" w:cs="仿宋"/>
          <w:sz w:val="32"/>
          <w:szCs w:val="32"/>
        </w:rPr>
        <w:t>万元，</w:t>
      </w:r>
      <w:r>
        <w:rPr>
          <w:rFonts w:ascii="仿宋" w:hAnsi="仿宋" w:eastAsia="仿宋" w:cs="仿宋"/>
          <w:sz w:val="32"/>
        </w:rPr>
        <w:t>下降100.00%</w:t>
      </w:r>
      <w:r>
        <w:rPr>
          <w:rFonts w:hint="eastAsia" w:ascii="仿宋" w:hAnsi="仿宋" w:eastAsia="仿宋" w:cs="仿宋"/>
          <w:sz w:val="32"/>
          <w:szCs w:val="32"/>
        </w:rPr>
        <w:t>，主要原因：部分项目已在本年执行完毕，不需要结转至下年继续执行。</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76190" cy="3270885"/>
            <wp:effectExtent l="4445" t="4445" r="5715" b="203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445.33</w:t>
      </w:r>
      <w:r>
        <w:rPr>
          <w:rFonts w:hint="eastAsia" w:ascii="仿宋" w:hAnsi="仿宋" w:eastAsia="仿宋" w:cs="仿宋"/>
          <w:sz w:val="32"/>
          <w:szCs w:val="32"/>
        </w:rPr>
        <w:t>万元，其中本年支出</w:t>
      </w:r>
      <w:r>
        <w:rPr>
          <w:rFonts w:ascii="仿宋" w:hAnsi="仿宋" w:eastAsia="仿宋" w:cs="仿宋"/>
          <w:sz w:val="32"/>
        </w:rPr>
        <w:t>445.33</w:t>
      </w:r>
      <w:r>
        <w:rPr>
          <w:rFonts w:hint="eastAsia" w:ascii="仿宋" w:hAnsi="仿宋" w:eastAsia="仿宋" w:cs="仿宋"/>
          <w:sz w:val="32"/>
          <w:szCs w:val="32"/>
        </w:rPr>
        <w:t>万元，较2021年度决算数</w:t>
      </w:r>
      <w:r>
        <w:rPr>
          <w:rFonts w:ascii="仿宋" w:hAnsi="仿宋" w:eastAsia="仿宋" w:cs="仿宋"/>
          <w:sz w:val="32"/>
        </w:rPr>
        <w:t>增加96.35</w:t>
      </w:r>
      <w:r>
        <w:rPr>
          <w:rFonts w:hint="eastAsia" w:ascii="仿宋" w:hAnsi="仿宋" w:eastAsia="仿宋" w:cs="仿宋"/>
          <w:sz w:val="32"/>
          <w:szCs w:val="32"/>
        </w:rPr>
        <w:t>万元，</w:t>
      </w:r>
      <w:r>
        <w:rPr>
          <w:rFonts w:ascii="仿宋" w:hAnsi="仿宋" w:eastAsia="仿宋" w:cs="仿宋"/>
          <w:sz w:val="32"/>
        </w:rPr>
        <w:t>增长27.61%</w:t>
      </w:r>
      <w:r>
        <w:rPr>
          <w:rFonts w:hint="eastAsia" w:ascii="仿宋" w:hAnsi="仿宋" w:eastAsia="仿宋" w:cs="仿宋"/>
          <w:sz w:val="32"/>
          <w:szCs w:val="32"/>
        </w:rPr>
        <w:t>。支出具体情况如下：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rPr>
        <w:t>一般公共服务支出（201</w:t>
      </w:r>
      <w:r>
        <w:rPr>
          <w:rFonts w:ascii="Calibri" w:hAnsi="Calibri" w:eastAsia="宋体" w:cs="Times New Roman"/>
        </w:rPr>
        <w:t xml:space="preserve"> </w:t>
      </w:r>
      <w:r>
        <w:rPr>
          <w:rFonts w:hint="eastAsia" w:ascii="仿宋" w:hAnsi="仿宋" w:eastAsia="仿宋" w:cs="仿宋"/>
          <w:sz w:val="32"/>
          <w:szCs w:val="32"/>
        </w:rPr>
        <w:t>类）2.44万元：主要用于：教职工工会活动费。较2021年度决算数增加2.44万元，增长100%，主要原因是：本部门2</w:t>
      </w:r>
      <w:r>
        <w:rPr>
          <w:rFonts w:ascii="仿宋" w:hAnsi="仿宋" w:eastAsia="仿宋" w:cs="仿宋"/>
          <w:sz w:val="32"/>
          <w:szCs w:val="32"/>
        </w:rPr>
        <w:t>022</w:t>
      </w:r>
      <w:r>
        <w:rPr>
          <w:rFonts w:hint="eastAsia" w:ascii="仿宋" w:hAnsi="仿宋" w:eastAsia="仿宋" w:cs="仿宋"/>
          <w:sz w:val="32"/>
          <w:szCs w:val="32"/>
        </w:rPr>
        <w:t>年度新公招8名教师控制数。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z w:val="32"/>
          <w:szCs w:val="32"/>
        </w:rPr>
        <w:t>教育支出（205</w:t>
      </w:r>
      <w:r>
        <w:rPr>
          <w:rFonts w:ascii="Calibri" w:hAnsi="Calibri" w:eastAsia="宋体" w:cs="Times New Roman"/>
        </w:rPr>
        <w:t xml:space="preserve"> </w:t>
      </w:r>
      <w:r>
        <w:rPr>
          <w:rFonts w:hint="eastAsia" w:ascii="仿宋" w:hAnsi="仿宋" w:eastAsia="仿宋" w:cs="仿宋"/>
          <w:sz w:val="32"/>
          <w:szCs w:val="32"/>
        </w:rPr>
        <w:t>类）381.11万元：主要用于：人员基本工资，商品服务支出。。较2021年度决算数增加85.18万元，增长28.78%，主要原因是：本部门2</w:t>
      </w:r>
      <w:r>
        <w:rPr>
          <w:rFonts w:ascii="仿宋" w:hAnsi="仿宋" w:eastAsia="仿宋" w:cs="仿宋"/>
          <w:sz w:val="32"/>
          <w:szCs w:val="32"/>
        </w:rPr>
        <w:t>022</w:t>
      </w:r>
      <w:r>
        <w:rPr>
          <w:rFonts w:hint="eastAsia" w:ascii="仿宋" w:hAnsi="仿宋" w:eastAsia="仿宋" w:cs="仿宋"/>
          <w:sz w:val="32"/>
          <w:szCs w:val="32"/>
        </w:rPr>
        <w:t>年度新公招8名教师控制数；2</w:t>
      </w:r>
      <w:r>
        <w:rPr>
          <w:rFonts w:ascii="仿宋" w:hAnsi="仿宋" w:eastAsia="仿宋" w:cs="仿宋"/>
          <w:sz w:val="32"/>
          <w:szCs w:val="32"/>
        </w:rPr>
        <w:t>022</w:t>
      </w:r>
      <w:r>
        <w:rPr>
          <w:rFonts w:hint="eastAsia" w:ascii="仿宋" w:hAnsi="仿宋" w:eastAsia="仿宋" w:cs="仿宋"/>
          <w:sz w:val="32"/>
          <w:szCs w:val="32"/>
        </w:rPr>
        <w:t>年度调整工资标准。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z w:val="32"/>
          <w:szCs w:val="32"/>
        </w:rPr>
        <w:t>社会保障和就业支出（208</w:t>
      </w:r>
      <w:r>
        <w:rPr>
          <w:rFonts w:ascii="Calibri" w:hAnsi="Calibri" w:eastAsia="宋体" w:cs="Times New Roman"/>
        </w:rPr>
        <w:t xml:space="preserve"> </w:t>
      </w:r>
      <w:r>
        <w:rPr>
          <w:rFonts w:hint="eastAsia" w:ascii="仿宋" w:hAnsi="仿宋" w:eastAsia="仿宋" w:cs="仿宋"/>
          <w:sz w:val="32"/>
          <w:szCs w:val="32"/>
        </w:rPr>
        <w:t>类）18.82万元：主要用于：本单位2</w:t>
      </w:r>
      <w:r>
        <w:rPr>
          <w:rFonts w:ascii="仿宋" w:hAnsi="仿宋" w:eastAsia="仿宋" w:cs="仿宋"/>
          <w:sz w:val="32"/>
          <w:szCs w:val="32"/>
        </w:rPr>
        <w:t>022</w:t>
      </w:r>
      <w:r>
        <w:rPr>
          <w:rFonts w:hint="eastAsia" w:ascii="仿宋" w:hAnsi="仿宋" w:eastAsia="仿宋" w:cs="仿宋"/>
          <w:sz w:val="32"/>
          <w:szCs w:val="32"/>
        </w:rPr>
        <w:t>年度教职工基本养老保险缴费支出。较2021年度决算数增加2.15万元，增长12.90%，主要原因是：本部门2022年度新增8名公招教师控制数；2022年度调整缴费基数。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z w:val="32"/>
          <w:szCs w:val="32"/>
        </w:rPr>
        <w:t>住房保障支出（221</w:t>
      </w:r>
      <w:r>
        <w:rPr>
          <w:rFonts w:ascii="Calibri" w:hAnsi="Calibri" w:eastAsia="宋体" w:cs="Times New Roman"/>
        </w:rPr>
        <w:t xml:space="preserve"> </w:t>
      </w:r>
      <w:r>
        <w:rPr>
          <w:rFonts w:hint="eastAsia" w:ascii="仿宋" w:hAnsi="仿宋" w:eastAsia="仿宋" w:cs="仿宋"/>
          <w:sz w:val="32"/>
          <w:szCs w:val="32"/>
        </w:rPr>
        <w:t>类）13.79万元：主要用于：本部门2</w:t>
      </w:r>
      <w:r>
        <w:rPr>
          <w:rFonts w:ascii="仿宋" w:hAnsi="仿宋" w:eastAsia="仿宋" w:cs="仿宋"/>
          <w:sz w:val="32"/>
          <w:szCs w:val="32"/>
        </w:rPr>
        <w:t>022</w:t>
      </w:r>
      <w:r>
        <w:rPr>
          <w:rFonts w:hint="eastAsia" w:ascii="仿宋" w:hAnsi="仿宋" w:eastAsia="仿宋" w:cs="仿宋"/>
          <w:sz w:val="32"/>
          <w:szCs w:val="32"/>
        </w:rPr>
        <w:t>年度教职工住房公积金支出。较2021年度决算数增加4.89万元，增长54.94%，主要原因是：本部门2022年度新增6名公招教师控制数；2022年度调整缴费基数。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z w:val="32"/>
          <w:szCs w:val="32"/>
        </w:rPr>
        <w:t>其他支出（229</w:t>
      </w:r>
      <w:r>
        <w:rPr>
          <w:rFonts w:ascii="Calibri" w:hAnsi="Calibri" w:eastAsia="宋体" w:cs="Times New Roman"/>
        </w:rPr>
        <w:t xml:space="preserve"> </w:t>
      </w:r>
      <w:r>
        <w:rPr>
          <w:rFonts w:hint="eastAsia" w:ascii="仿宋" w:hAnsi="仿宋" w:eastAsia="仿宋" w:cs="仿宋"/>
          <w:sz w:val="32"/>
          <w:szCs w:val="32"/>
        </w:rPr>
        <w:t>类）29.16万元：主要用于：其他工资福利支出。较2021年度决算数增加1.68万元，增长6.11%，主要原因是：本部门2022年度新增8名公招教师控制数。</w:t>
      </w:r>
    </w:p>
    <w:p>
      <w:pPr>
        <w:ind w:firstLine="620" w:firstLineChars="200"/>
        <w:jc w:val="left"/>
        <w:rPr>
          <w:rFonts w:ascii="仿宋" w:hAnsi="仿宋" w:eastAsia="仿宋_GB2312" w:cs="仿宋"/>
          <w:sz w:val="32"/>
          <w:szCs w:val="32"/>
        </w:rPr>
      </w:pPr>
      <w:r>
        <w:rPr>
          <w:rFonts w:ascii="仿宋_GB2312" w:hAnsi="微软雅黑" w:eastAsia="仿宋_GB2312" w:cs="仿宋_GB2312"/>
          <w:sz w:val="31"/>
          <w:szCs w:val="31"/>
          <w:shd w:val="clear" w:color="auto" w:fill="FFFFFF"/>
        </w:rPr>
        <w:t>结余分配</w:t>
      </w:r>
      <w:r>
        <w:rPr>
          <w:rFonts w:hint="eastAsia" w:ascii="仿宋_GB2312" w:hAnsi="微软雅黑" w:eastAsia="仿宋_GB2312" w:cs="仿宋_GB2312"/>
          <w:sz w:val="31"/>
          <w:szCs w:val="31"/>
          <w:shd w:val="clear" w:color="auto" w:fill="FFFFFF"/>
        </w:rPr>
        <w:t>0.00</w:t>
      </w:r>
      <w:r>
        <w:rPr>
          <w:rFonts w:ascii="仿宋_GB2312" w:hAnsi="微软雅黑" w:eastAsia="仿宋_GB2312" w:cs="仿宋_GB2312"/>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sz w:val="31"/>
          <w:szCs w:val="31"/>
          <w:shd w:val="clear" w:color="auto" w:fill="FFFFFF"/>
        </w:rPr>
        <w:t>1</w:t>
      </w:r>
      <w:r>
        <w:rPr>
          <w:rFonts w:ascii="仿宋_GB2312" w:hAnsi="微软雅黑" w:eastAsia="仿宋_GB2312" w:cs="仿宋_GB2312"/>
          <w:sz w:val="31"/>
          <w:szCs w:val="31"/>
          <w:shd w:val="clear" w:color="auto" w:fill="FFFFFF"/>
        </w:rPr>
        <w:t>年决算</w:t>
      </w:r>
      <w:r>
        <w:rPr>
          <w:rFonts w:hint="eastAsia" w:ascii="仿宋_GB2312" w:hAnsi="微软雅黑" w:eastAsia="仿宋_GB2312" w:cs="仿宋_GB2312"/>
          <w:sz w:val="31"/>
          <w:szCs w:val="31"/>
          <w:shd w:val="clear" w:color="auto" w:fill="FFFFFF"/>
        </w:rPr>
        <w:t>0.00</w:t>
      </w:r>
      <w:r>
        <w:rPr>
          <w:rFonts w:ascii="仿宋_GB2312" w:hAnsi="微软雅黑" w:eastAsia="仿宋_GB2312" w:cs="仿宋_GB2312"/>
          <w:sz w:val="31"/>
          <w:szCs w:val="31"/>
          <w:shd w:val="clear" w:color="auto" w:fill="FFFFFF"/>
        </w:rPr>
        <w:t>万元</w:t>
      </w:r>
      <w:r>
        <w:rPr>
          <w:rFonts w:hint="eastAsia" w:ascii="仿宋_GB2312" w:hAnsi="微软雅黑" w:eastAsia="仿宋_GB2312" w:cs="仿宋_GB2312"/>
          <w:sz w:val="31"/>
          <w:szCs w:val="31"/>
          <w:shd w:val="clear" w:color="auto" w:fill="FFFFFF"/>
        </w:rPr>
        <w:t>,增加0.00</w:t>
      </w:r>
      <w:r>
        <w:rPr>
          <w:rFonts w:ascii="仿宋_GB2312" w:hAnsi="微软雅黑" w:eastAsia="仿宋_GB2312" w:cs="仿宋_GB2312"/>
          <w:sz w:val="31"/>
          <w:szCs w:val="31"/>
          <w:shd w:val="clear" w:color="auto" w:fill="FFFFFF"/>
        </w:rPr>
        <w:t>万元，</w:t>
      </w:r>
      <w:r>
        <w:rPr>
          <w:rFonts w:hint="eastAsia" w:ascii="仿宋_GB2312" w:hAnsi="微软雅黑" w:eastAsia="仿宋_GB2312" w:cs="仿宋_GB2312"/>
          <w:sz w:val="31"/>
          <w:szCs w:val="31"/>
          <w:shd w:val="clear" w:color="auto" w:fill="FFFFFF"/>
        </w:rPr>
        <w:t>增长0%</w:t>
      </w:r>
      <w:r>
        <w:rPr>
          <w:rFonts w:ascii="仿宋_GB2312" w:hAnsi="微软雅黑" w:eastAsia="仿宋_GB2312" w:cs="仿宋_GB2312"/>
          <w:sz w:val="31"/>
          <w:szCs w:val="31"/>
          <w:shd w:val="clear" w:color="auto" w:fill="FFFFFF"/>
        </w:rPr>
        <w:t>，主要原因是</w:t>
      </w:r>
      <w:r>
        <w:rPr>
          <w:rFonts w:hint="eastAsia" w:ascii="仿宋" w:hAnsi="仿宋" w:eastAsia="仿宋" w:cs="仿宋"/>
          <w:sz w:val="32"/>
          <w:szCs w:val="32"/>
        </w:rPr>
        <w:t>：本部门2</w:t>
      </w:r>
      <w:r>
        <w:rPr>
          <w:rFonts w:ascii="仿宋" w:hAnsi="仿宋" w:eastAsia="仿宋" w:cs="仿宋"/>
          <w:sz w:val="32"/>
          <w:szCs w:val="32"/>
        </w:rPr>
        <w:t>022</w:t>
      </w:r>
      <w:r>
        <w:rPr>
          <w:rFonts w:hint="eastAsia" w:ascii="仿宋" w:hAnsi="仿宋" w:eastAsia="仿宋" w:cs="仿宋"/>
          <w:sz w:val="32"/>
          <w:szCs w:val="32"/>
        </w:rPr>
        <w:t>年度无结余分配资金。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万元，为本年度或以前年度预算安排、因客观条件发生变化无法按原计划实施，需要延迟到以后年度按有关规定继续使用的资金。较2021年度决算数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，主要原因是：本部门2022年度无结余分配资金。</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022600"/>
            <wp:effectExtent l="4445" t="4445" r="5715"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2" w:name="OLE_LINK1"/>
      <w:r>
        <w:rPr>
          <w:rFonts w:hint="eastAsia" w:ascii="黑体" w:hAnsi="黑体" w:eastAsia="黑体" w:cs="黑体"/>
          <w:sz w:val="32"/>
          <w:szCs w:val="32"/>
        </w:rPr>
        <w:t>一般公共预算财政拨款支出决算情况</w:t>
      </w:r>
      <w:bookmarkEnd w:id="2"/>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环江毛南族自治县第二幼儿园2022年度一般公共预算财政拨款支出</w:t>
      </w:r>
      <w:r>
        <w:rPr>
          <w:rFonts w:ascii="仿宋" w:hAnsi="仿宋" w:eastAsia="仿宋" w:cs="仿宋"/>
          <w:sz w:val="32"/>
        </w:rPr>
        <w:t>445.33</w:t>
      </w:r>
      <w:r>
        <w:rPr>
          <w:rFonts w:hint="eastAsia" w:ascii="仿宋" w:hAnsi="仿宋" w:eastAsia="仿宋" w:cs="仿宋"/>
          <w:sz w:val="32"/>
          <w:szCs w:val="32"/>
        </w:rPr>
        <w:t>万元，较2021年度决算数</w:t>
      </w:r>
      <w:r>
        <w:rPr>
          <w:rFonts w:ascii="仿宋" w:hAnsi="仿宋" w:eastAsia="仿宋" w:cs="仿宋"/>
          <w:sz w:val="32"/>
        </w:rPr>
        <w:t>增加96.35</w:t>
      </w:r>
      <w:r>
        <w:rPr>
          <w:rFonts w:hint="eastAsia" w:ascii="仿宋" w:hAnsi="仿宋" w:eastAsia="仿宋" w:cs="仿宋"/>
          <w:sz w:val="32"/>
          <w:szCs w:val="32"/>
        </w:rPr>
        <w:t>万元，</w:t>
      </w:r>
      <w:r>
        <w:rPr>
          <w:rFonts w:ascii="仿宋" w:hAnsi="仿宋" w:eastAsia="仿宋" w:cs="仿宋"/>
          <w:sz w:val="32"/>
        </w:rPr>
        <w:t>增长27.61%</w:t>
      </w:r>
      <w:r>
        <w:rPr>
          <w:rFonts w:hint="eastAsia" w:ascii="仿宋" w:hAnsi="仿宋" w:eastAsia="仿宋" w:cs="仿宋"/>
          <w:sz w:val="32"/>
          <w:szCs w:val="32"/>
        </w:rPr>
        <w:t>。其中：基本支出</w:t>
      </w:r>
      <w:r>
        <w:rPr>
          <w:rFonts w:ascii="仿宋" w:hAnsi="仿宋" w:eastAsia="仿宋" w:cs="仿宋"/>
          <w:sz w:val="32"/>
        </w:rPr>
        <w:t>190.57</w:t>
      </w:r>
      <w:r>
        <w:rPr>
          <w:rFonts w:hint="eastAsia" w:ascii="仿宋" w:hAnsi="仿宋" w:eastAsia="仿宋" w:cs="仿宋"/>
          <w:sz w:val="32"/>
          <w:szCs w:val="32"/>
        </w:rPr>
        <w:t>万元，项目支出</w:t>
      </w:r>
      <w:r>
        <w:rPr>
          <w:rFonts w:ascii="仿宋" w:hAnsi="仿宋" w:eastAsia="仿宋" w:cs="仿宋"/>
          <w:sz w:val="32"/>
        </w:rPr>
        <w:t>254.75</w:t>
      </w:r>
      <w:r>
        <w:rPr>
          <w:rFonts w:hint="eastAsia" w:ascii="仿宋" w:hAnsi="仿宋" w:eastAsia="仿宋" w:cs="仿宋"/>
          <w:sz w:val="32"/>
          <w:szCs w:val="32"/>
        </w:rPr>
        <w:t>万元。</w:t>
      </w:r>
    </w:p>
    <w:p>
      <w:pPr>
        <w:ind w:firstLine="640" w:firstLineChars="200"/>
        <w:jc w:val="left"/>
        <w:rPr>
          <w:rFonts w:ascii="仿宋" w:hAnsi="仿宋" w:eastAsia="仿宋"/>
          <w:sz w:val="32"/>
          <w:szCs w:val="32"/>
        </w:rPr>
      </w:pPr>
      <w:r>
        <w:rPr>
          <w:rFonts w:hint="eastAsia" w:ascii="仿宋" w:hAnsi="仿宋" w:eastAsia="仿宋" w:cs="仿宋"/>
          <w:sz w:val="32"/>
          <w:szCs w:val="32"/>
        </w:rPr>
        <w:t>环江毛南族自治县第二幼儿园2022 年度一般公共预算财政拨款支出年初预算为</w:t>
      </w:r>
      <w:r>
        <w:rPr>
          <w:rFonts w:ascii="仿宋" w:hAnsi="仿宋" w:eastAsia="仿宋" w:cs="仿宋"/>
          <w:sz w:val="32"/>
        </w:rPr>
        <w:t>348.76</w:t>
      </w:r>
      <w:r>
        <w:rPr>
          <w:rFonts w:hint="eastAsia" w:ascii="仿宋" w:hAnsi="仿宋" w:eastAsia="仿宋" w:cs="仿宋"/>
          <w:sz w:val="32"/>
          <w:szCs w:val="32"/>
        </w:rPr>
        <w:t>万元，支出决算为</w:t>
      </w:r>
      <w:r>
        <w:rPr>
          <w:rFonts w:ascii="仿宋" w:hAnsi="仿宋" w:eastAsia="仿宋" w:cs="仿宋"/>
          <w:sz w:val="32"/>
        </w:rPr>
        <w:t>445.33</w:t>
      </w:r>
      <w:r>
        <w:rPr>
          <w:rFonts w:hint="eastAsia" w:ascii="仿宋" w:hAnsi="仿宋" w:eastAsia="仿宋" w:cs="仿宋"/>
          <w:sz w:val="32"/>
          <w:szCs w:val="32"/>
        </w:rPr>
        <w:t>万元，完成年初预算的</w:t>
      </w:r>
      <w:r>
        <w:rPr>
          <w:rFonts w:ascii="仿宋" w:hAnsi="仿宋" w:eastAsia="仿宋" w:cs="仿宋"/>
          <w:sz w:val="32"/>
        </w:rPr>
        <w:t>127.69%</w:t>
      </w:r>
      <w:r>
        <w:rPr>
          <w:rFonts w:hint="eastAsia" w:ascii="仿宋" w:hAnsi="仿宋" w:eastAsia="仿宋" w:cs="仿宋"/>
          <w:sz w:val="32"/>
          <w:szCs w:val="32"/>
        </w:rPr>
        <w:t>。</w:t>
      </w:r>
      <w:bookmarkStart w:id="3" w:name="OLE_LINK2"/>
      <w:bookmarkEnd w:id="3"/>
    </w:p>
    <w:p>
      <w:pPr>
        <w:numPr>
          <w:ilvl w:val="0"/>
          <w:numId w:val="1"/>
        </w:numPr>
        <w:jc w:val="left"/>
        <w:rPr>
          <w:rFonts w:eastAsia="仿宋"/>
        </w:rPr>
      </w:pP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2.44</w:t>
      </w:r>
      <w:r>
        <w:rPr>
          <w:rFonts w:hint="eastAsia" w:ascii="仿宋" w:hAnsi="仿宋" w:eastAsia="仿宋"/>
          <w:sz w:val="32"/>
          <w:szCs w:val="32"/>
        </w:rPr>
        <w:t>万元，支出决算为</w:t>
      </w:r>
      <w:r>
        <w:rPr>
          <w:rFonts w:ascii="仿宋" w:hAnsi="仿宋" w:eastAsia="仿宋"/>
          <w:sz w:val="32"/>
          <w:szCs w:val="32"/>
        </w:rPr>
        <w:t>2.44</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。预决算存有差异原因是：</w:t>
      </w:r>
      <w:r>
        <w:rPr>
          <w:rFonts w:hint="eastAsia" w:ascii="仿宋" w:hAnsi="仿宋" w:eastAsia="仿宋" w:cs="仿宋"/>
          <w:sz w:val="32"/>
          <w:szCs w:val="32"/>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教职工工会活动费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Cs w:val="21"/>
              </w:rPr>
            </w:pPr>
            <w:r>
              <w:rPr>
                <w:rFonts w:hint="eastAsia" w:ascii="仿宋" w:hAnsi="仿宋" w:eastAsia="仿宋" w:cs="仿宋"/>
                <w:szCs w:val="21"/>
              </w:rPr>
              <w:t>无差异</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1"/>
        </w:numPr>
        <w:jc w:val="left"/>
        <w:rPr>
          <w:rFonts w:eastAsia="仿宋"/>
        </w:rPr>
      </w:pP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312.16</w:t>
      </w:r>
      <w:r>
        <w:rPr>
          <w:rFonts w:hint="eastAsia" w:ascii="仿宋" w:hAnsi="仿宋" w:eastAsia="仿宋"/>
          <w:sz w:val="32"/>
          <w:szCs w:val="32"/>
        </w:rPr>
        <w:t>万元，支出决算为</w:t>
      </w:r>
      <w:r>
        <w:rPr>
          <w:rFonts w:ascii="仿宋" w:hAnsi="仿宋" w:eastAsia="仿宋"/>
          <w:sz w:val="32"/>
          <w:szCs w:val="32"/>
        </w:rPr>
        <w:t>381.11</w:t>
      </w:r>
      <w:r>
        <w:rPr>
          <w:rFonts w:hint="eastAsia" w:ascii="仿宋" w:hAnsi="仿宋" w:eastAsia="仿宋"/>
          <w:sz w:val="32"/>
          <w:szCs w:val="32"/>
        </w:rPr>
        <w:t>万元，完成年初预算的</w:t>
      </w:r>
      <w:r>
        <w:rPr>
          <w:rFonts w:ascii="仿宋" w:hAnsi="仿宋" w:eastAsia="仿宋"/>
          <w:sz w:val="32"/>
          <w:szCs w:val="32"/>
        </w:rPr>
        <w:t>122.09%</w:t>
      </w:r>
      <w:r>
        <w:rPr>
          <w:rFonts w:hint="eastAsia" w:ascii="仿宋" w:hAnsi="仿宋" w:eastAsia="仿宋"/>
          <w:sz w:val="32"/>
          <w:szCs w:val="32"/>
        </w:rPr>
        <w:t>。预决算存有差异原因是：</w:t>
      </w:r>
      <w:r>
        <w:rPr>
          <w:rFonts w:hint="eastAsia" w:ascii="仿宋" w:hAnsi="仿宋" w:eastAsia="仿宋" w:cs="仿宋"/>
          <w:sz w:val="32"/>
          <w:szCs w:val="32"/>
        </w:rPr>
        <w:t>人员增加，调整工资标准。</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312.16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375.98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120.44%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人员增加，调整工资标准。</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5.13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民办幼儿园人员工资福利支出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312.16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381.11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2272665"/>
            <wp:effectExtent l="4445" t="4445" r="16510" b="889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1"/>
        </w:numPr>
        <w:jc w:val="left"/>
        <w:rPr>
          <w:rFonts w:eastAsia="仿宋"/>
        </w:rPr>
      </w:pPr>
      <w:r>
        <w:rPr>
          <w:rFonts w:hint="eastAsia" w:ascii="仿宋" w:hAnsi="仿宋" w:eastAsia="仿宋"/>
          <w:sz w:val="32"/>
          <w:szCs w:val="32"/>
        </w:rPr>
        <w:t>社会保障和就业支出</w:t>
      </w:r>
      <w:r>
        <w:rPr>
          <w:rFonts w:ascii="仿宋" w:hAnsi="仿宋" w:eastAsia="仿宋"/>
          <w:sz w:val="32"/>
        </w:rPr>
        <w:t>（208</w:t>
      </w:r>
      <w:r>
        <w:rPr>
          <w:rFonts w:hint="eastAsia" w:ascii="仿宋" w:hAnsi="仿宋" w:eastAsia="仿宋"/>
          <w:sz w:val="32"/>
          <w:szCs w:val="32"/>
        </w:rPr>
        <w:t>类）年初预算为</w:t>
      </w:r>
      <w:r>
        <w:rPr>
          <w:rFonts w:ascii="仿宋" w:hAnsi="仿宋" w:eastAsia="仿宋"/>
          <w:sz w:val="32"/>
          <w:szCs w:val="32"/>
        </w:rPr>
        <w:t>19.52</w:t>
      </w:r>
      <w:r>
        <w:rPr>
          <w:rFonts w:hint="eastAsia" w:ascii="仿宋" w:hAnsi="仿宋" w:eastAsia="仿宋"/>
          <w:sz w:val="32"/>
          <w:szCs w:val="32"/>
        </w:rPr>
        <w:t>万元，支出决算为</w:t>
      </w:r>
      <w:r>
        <w:rPr>
          <w:rFonts w:ascii="仿宋" w:hAnsi="仿宋" w:eastAsia="仿宋"/>
          <w:sz w:val="32"/>
          <w:szCs w:val="32"/>
        </w:rPr>
        <w:t>18.82</w:t>
      </w:r>
      <w:r>
        <w:rPr>
          <w:rFonts w:hint="eastAsia" w:ascii="仿宋" w:hAnsi="仿宋" w:eastAsia="仿宋"/>
          <w:sz w:val="32"/>
          <w:szCs w:val="32"/>
        </w:rPr>
        <w:t>万元，完成年初预算的</w:t>
      </w:r>
      <w:r>
        <w:rPr>
          <w:rFonts w:ascii="仿宋" w:hAnsi="仿宋" w:eastAsia="仿宋"/>
          <w:sz w:val="32"/>
          <w:szCs w:val="32"/>
        </w:rPr>
        <w:t>96.41%</w:t>
      </w:r>
      <w:r>
        <w:rPr>
          <w:rFonts w:hint="eastAsia" w:ascii="仿宋" w:hAnsi="仿宋" w:eastAsia="仿宋"/>
          <w:sz w:val="32"/>
          <w:szCs w:val="32"/>
        </w:rPr>
        <w:t>。预决算存有差异原因是：</w:t>
      </w:r>
      <w:r>
        <w:rPr>
          <w:rFonts w:hint="eastAsia" w:ascii="仿宋" w:hAnsi="仿宋" w:eastAsia="仿宋" w:cs="仿宋"/>
          <w:sz w:val="32"/>
          <w:szCs w:val="32"/>
        </w:rPr>
        <w:t>年初预算缴费基数偏高。</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19.52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18.82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96.41%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教职工基本养老保险缴费支出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年初预算缴费基数偏高</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19.52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18.82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2673350"/>
            <wp:effectExtent l="4445" t="4445" r="16510" b="8255"/>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eastAsia="仿宋"/>
        </w:rPr>
      </w:pP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ascii="仿宋" w:hAnsi="仿宋" w:eastAsia="仿宋"/>
          <w:sz w:val="32"/>
          <w:szCs w:val="32"/>
        </w:rPr>
        <w:t>14.64</w:t>
      </w:r>
      <w:r>
        <w:rPr>
          <w:rFonts w:hint="eastAsia" w:ascii="仿宋" w:hAnsi="仿宋" w:eastAsia="仿宋"/>
          <w:sz w:val="32"/>
          <w:szCs w:val="32"/>
        </w:rPr>
        <w:t>万元，支出决算为</w:t>
      </w:r>
      <w:r>
        <w:rPr>
          <w:rFonts w:ascii="仿宋" w:hAnsi="仿宋" w:eastAsia="仿宋"/>
          <w:sz w:val="32"/>
          <w:szCs w:val="32"/>
        </w:rPr>
        <w:t>13.79</w:t>
      </w:r>
      <w:r>
        <w:rPr>
          <w:rFonts w:hint="eastAsia" w:ascii="仿宋" w:hAnsi="仿宋" w:eastAsia="仿宋"/>
          <w:sz w:val="32"/>
          <w:szCs w:val="32"/>
        </w:rPr>
        <w:t>万元，完成年初预算的</w:t>
      </w:r>
      <w:r>
        <w:rPr>
          <w:rFonts w:ascii="仿宋" w:hAnsi="仿宋" w:eastAsia="仿宋"/>
          <w:sz w:val="32"/>
          <w:szCs w:val="32"/>
        </w:rPr>
        <w:t>94.19%</w:t>
      </w:r>
      <w:r>
        <w:rPr>
          <w:rFonts w:hint="eastAsia" w:ascii="仿宋" w:hAnsi="仿宋" w:eastAsia="仿宋"/>
          <w:sz w:val="32"/>
          <w:szCs w:val="32"/>
        </w:rPr>
        <w:t>。预决算存有差异原因是：</w:t>
      </w:r>
      <w:r>
        <w:rPr>
          <w:rFonts w:hint="eastAsia" w:ascii="仿宋" w:hAnsi="仿宋" w:eastAsia="仿宋" w:cs="仿宋"/>
          <w:sz w:val="32"/>
          <w:szCs w:val="32"/>
        </w:rPr>
        <w:t>年初预算缴费基数偏高。</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14.64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94.19%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教职工住房公积金支出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年初预算缴费基数偏高</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14.64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1"/>
        </w:numPr>
        <w:jc w:val="left"/>
        <w:rPr>
          <w:rFonts w:eastAsia="仿宋"/>
        </w:rPr>
      </w:pP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万元，支出决算为</w:t>
      </w:r>
      <w:r>
        <w:rPr>
          <w:rFonts w:ascii="仿宋" w:hAnsi="仿宋" w:eastAsia="仿宋"/>
          <w:sz w:val="32"/>
          <w:szCs w:val="32"/>
        </w:rPr>
        <w:t>29.16</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。预决算存有差异原因是：无差异</w:t>
      </w:r>
      <w:r>
        <w:rPr>
          <w:rFonts w:hint="eastAsia" w:ascii="仿宋" w:hAnsi="仿宋" w:eastAsia="仿宋" w:cs="仿宋"/>
          <w:sz w:val="32"/>
          <w:szCs w:val="32"/>
        </w:rPr>
        <w:t>。</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29.16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其他工资福利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29.16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环江毛南族自治县第二幼儿园2022年度一般公共预算财政拨款基本支出</w:t>
      </w:r>
      <w:r>
        <w:rPr>
          <w:rFonts w:ascii="仿宋" w:hAnsi="仿宋" w:eastAsia="仿宋" w:cs="仿宋"/>
          <w:sz w:val="32"/>
        </w:rPr>
        <w:t>190.57</w:t>
      </w:r>
      <w:r>
        <w:rPr>
          <w:rFonts w:hint="eastAsia" w:ascii="仿宋" w:hAnsi="仿宋" w:eastAsia="仿宋" w:cs="仿宋"/>
          <w:sz w:val="32"/>
          <w:szCs w:val="32"/>
        </w:rPr>
        <w:t>万元，</w:t>
      </w:r>
      <w:r>
        <w:rPr>
          <w:rFonts w:ascii="仿宋_GB2312" w:hAnsi="微软雅黑" w:eastAsia="仿宋_GB2312" w:cs="仿宋_GB2312"/>
          <w:sz w:val="31"/>
          <w:szCs w:val="31"/>
          <w:shd w:val="clear" w:color="auto" w:fill="FFFFFF"/>
        </w:rPr>
        <w:t>其中：人员经费支出</w:t>
      </w:r>
      <w:r>
        <w:rPr>
          <w:rFonts w:hint="eastAsia" w:ascii="仿宋" w:hAnsi="仿宋" w:eastAsia="仿宋" w:cs="仿宋"/>
          <w:sz w:val="32"/>
          <w:szCs w:val="32"/>
        </w:rPr>
        <w:t>188.13</w:t>
      </w:r>
      <w:r>
        <w:rPr>
          <w:rFonts w:ascii="仿宋_GB2312" w:hAnsi="微软雅黑" w:eastAsia="仿宋_GB2312" w:cs="仿宋_GB2312"/>
          <w:sz w:val="31"/>
          <w:szCs w:val="31"/>
          <w:shd w:val="clear" w:color="auto" w:fill="FFFFFF"/>
        </w:rPr>
        <w:t>万元，公用经费支出</w:t>
      </w:r>
      <w:r>
        <w:rPr>
          <w:rFonts w:hint="eastAsia" w:ascii="仿宋" w:hAnsi="仿宋" w:eastAsia="仿宋" w:cs="仿宋"/>
          <w:sz w:val="32"/>
          <w:szCs w:val="32"/>
        </w:rPr>
        <w:t>2.44</w:t>
      </w:r>
      <w:r>
        <w:rPr>
          <w:rFonts w:ascii="仿宋_GB2312" w:hAnsi="微软雅黑" w:eastAsia="仿宋_GB2312" w:cs="仿宋_GB2312"/>
          <w:sz w:val="31"/>
          <w:szCs w:val="31"/>
          <w:shd w:val="clear" w:color="auto" w:fill="FFFFFF"/>
        </w:rPr>
        <w:t>万元，</w:t>
      </w:r>
      <w:r>
        <w:rPr>
          <w:rFonts w:hint="eastAsia" w:ascii="仿宋" w:hAnsi="仿宋" w:eastAsia="仿宋" w:cs="仿宋"/>
          <w:sz w:val="32"/>
          <w:szCs w:val="32"/>
        </w:rPr>
        <w:t>支出具体情况如下：</w:t>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工资福利支出</w:t>
      </w:r>
      <w:r>
        <w:rPr>
          <w:rFonts w:ascii="仿宋" w:hAnsi="仿宋" w:eastAsia="仿宋" w:cs="仿宋"/>
          <w:sz w:val="32"/>
        </w:rPr>
        <w:t>188.13万元，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127.18%</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主要原因是：本部门2022年度新公招8名教师控制数；2022年度调整工资标准；职工五险一金基数调整。</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30101基本工资78.79万元，30102津贴补贴4.81万元，30103奖金25.41万元，30107绩效工资32.94万元，30108机关事业单位基本养老保险缴费20.16万元，30110职工基本医疗保险缴费11.13万元，30112其他社会保障缴费1.10万元，30113住房公积金13.79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商品和服务支出</w:t>
      </w:r>
      <w:r>
        <w:rPr>
          <w:rFonts w:ascii="仿宋" w:hAnsi="仿宋" w:eastAsia="仿宋" w:cs="仿宋"/>
          <w:sz w:val="32"/>
        </w:rPr>
        <w:t>2.44万元，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100%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主要原因是：无差异。</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：30228工会经费2.44万元。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rFonts w:ascii="仿宋" w:hAnsi="仿宋" w:eastAsia="仿宋" w:cs="仿宋"/>
          <w:sz w:val="32"/>
          <w:szCs w:val="32"/>
        </w:rPr>
      </w:pPr>
    </w:p>
    <w:p>
      <w:pPr>
        <w:numPr>
          <w:ilvl w:val="0"/>
          <w:numId w:val="2"/>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主要原因是：本单位无对个人和家庭的补助。</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444115"/>
            <wp:effectExtent l="4445" t="4445" r="16510" b="8890"/>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主要原因是：无债务利息及费用支出。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rPr>
          <w:rFonts w:ascii="仿宋" w:hAnsi="仿宋" w:eastAsia="仿宋" w:cs="仿宋"/>
          <w:sz w:val="32"/>
          <w:szCs w:val="32"/>
        </w:rPr>
      </w:pPr>
    </w:p>
    <w:p>
      <w:pPr>
        <w:numPr>
          <w:ilvl w:val="0"/>
          <w:numId w:val="2"/>
        </w:numPr>
        <w:jc w:val="left"/>
        <w:rPr>
          <w:rFonts w:ascii="仿宋" w:hAnsi="仿宋" w:eastAsia="仿宋" w:cs="仿宋"/>
          <w:sz w:val="32"/>
          <w:szCs w:val="32"/>
        </w:rPr>
      </w:pPr>
      <w:r>
        <w:rPr>
          <w:rFonts w:hint="eastAsia" w:ascii="仿宋" w:hAnsi="仿宋" w:eastAsia="仿宋" w:cs="仿宋"/>
          <w:sz w:val="32"/>
          <w:szCs w:val="32"/>
        </w:rPr>
        <w:t>资本性支出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主要原因是：无资本性支出。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806065"/>
            <wp:effectExtent l="4445" t="4445" r="16510" b="889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主要原因是：无其他支出。</w:t>
      </w:r>
    </w:p>
    <w:p>
      <w:pPr>
        <w:numPr>
          <w:ilvl w:val="0"/>
          <w:numId w:val="0"/>
        </w:numPr>
        <w:ind w:left="420" w:leftChars="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环江毛南族自治县第二幼儿园2022年度政府性基金支出</w:t>
      </w:r>
      <w:r>
        <w:rPr>
          <w:rFonts w:ascii="仿宋" w:hAnsi="仿宋" w:eastAsia="仿宋" w:cs="仿宋"/>
          <w:sz w:val="32"/>
          <w:szCs w:val="32"/>
        </w:rPr>
        <w:t>0.00</w:t>
      </w:r>
      <w:r>
        <w:rPr>
          <w:rFonts w:hint="eastAsia" w:ascii="仿宋" w:hAnsi="仿宋" w:eastAsia="仿宋" w:cs="仿宋"/>
          <w:sz w:val="32"/>
          <w:szCs w:val="32"/>
        </w:rPr>
        <w:t>万元，较2021年度决算数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环江毛南族自治县第二幼儿园2022年度政府性基金支出年初预算为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_GB2312" w:hAnsi="Times New Roman" w:eastAsia="仿宋_GB2312" w:cs="Times New Roman"/>
          <w:sz w:val="32"/>
          <w:szCs w:val="32"/>
        </w:rPr>
        <w:t>环江毛南族自治县第二幼儿园</w:t>
      </w:r>
      <w:r>
        <w:rPr>
          <w:rFonts w:ascii="仿宋_GB2312" w:hAnsi="仿宋_GB2312" w:eastAsia="仿宋_GB2312" w:cs="仿宋_GB2312"/>
          <w:sz w:val="32"/>
        </w:rPr>
        <w:t>没有政府性基金收入，也没有政府性基金收入安排的支出</w:t>
      </w:r>
      <w:r>
        <w:rPr>
          <w:rFonts w:hint="eastAsia" w:ascii="仿宋_GB2312" w:hAnsi="Times New Roman" w:eastAsia="仿宋_GB2312" w:cs="Times New Roman"/>
          <w:sz w:val="32"/>
          <w:szCs w:val="32"/>
        </w:rPr>
        <w:t>。</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环江毛南族自治县第二幼儿园2022年度国有资本经营预算支出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环江毛南族自治县第二幼儿园2022 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bookmarkStart w:id="4" w:name="PO_part3A5B1C1DiffReason1"/>
      <w:r>
        <w:rPr>
          <w:rFonts w:hint="eastAsia" w:ascii="仿宋_GB2312" w:hAnsi="Times New Roman" w:eastAsia="仿宋_GB2312" w:cs="Times New Roman"/>
          <w:sz w:val="32"/>
          <w:szCs w:val="32"/>
        </w:rPr>
        <w:t>环江毛南族自治县第二幼儿园</w:t>
      </w:r>
      <w:r>
        <w:rPr>
          <w:rFonts w:ascii="仿宋_GB2312" w:hAnsi="仿宋_GB2312" w:eastAsia="仿宋_GB2312" w:cs="仿宋_GB2312"/>
          <w:sz w:val="32"/>
        </w:rPr>
        <w:t>没有国有资本经营预算收入，也没有国有资本经营预算收入</w:t>
      </w:r>
      <w:r>
        <w:rPr>
          <w:rFonts w:hint="eastAsia" w:ascii="仿宋_GB2312" w:hAnsi="Times New Roman" w:eastAsia="仿宋_GB2312" w:cs="Times New Roman"/>
          <w:sz w:val="32"/>
          <w:szCs w:val="32"/>
        </w:rPr>
        <w:t>安排的支出。</w:t>
      </w:r>
      <w:bookmarkEnd w:id="4"/>
    </w:p>
    <w:p>
      <w:pPr>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万元，主要原因是：无财政拨款安排的“三公”经费支出。其中：因公出国（境）费支出决算</w:t>
      </w:r>
      <w:r>
        <w:rPr>
          <w:rFonts w:ascii="仿宋" w:hAnsi="仿宋" w:eastAsia="仿宋" w:cs="仿宋"/>
          <w:sz w:val="32"/>
          <w:szCs w:val="32"/>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（一）因公出国（境）费支出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 xml:space="preserve"> 万元。原因是：本单位</w:t>
      </w:r>
      <w:r>
        <w:rPr>
          <w:rFonts w:hint="eastAsia" w:ascii="仿宋_GB2312" w:hAnsi="Times New Roman" w:eastAsia="仿宋_GB2312" w:cs="Times New Roman"/>
          <w:sz w:val="32"/>
          <w:szCs w:val="32"/>
        </w:rPr>
        <w:t>无因公出国（境）费支出。</w:t>
      </w:r>
      <w:r>
        <w:rPr>
          <w:rFonts w:hint="eastAsia" w:ascii="仿宋" w:hAnsi="仿宋" w:eastAsia="仿宋" w:cs="仿宋"/>
          <w:sz w:val="32"/>
          <w:szCs w:val="32"/>
        </w:rPr>
        <w:t>全年因公出国（境）团组共计</w:t>
      </w:r>
      <w:r>
        <w:rPr>
          <w:rFonts w:ascii="仿宋" w:hAnsi="仿宋" w:eastAsia="仿宋" w:cs="仿宋"/>
          <w:sz w:val="32"/>
          <w:szCs w:val="32"/>
        </w:rPr>
        <w:t>0</w:t>
      </w:r>
      <w:r>
        <w:rPr>
          <w:rFonts w:hint="eastAsia" w:ascii="仿宋" w:hAnsi="仿宋" w:eastAsia="仿宋" w:cs="仿宋"/>
          <w:sz w:val="32"/>
          <w:szCs w:val="32"/>
        </w:rPr>
        <w:t>个，累计</w:t>
      </w:r>
      <w:r>
        <w:rPr>
          <w:rFonts w:ascii="仿宋" w:hAnsi="仿宋" w:eastAsia="仿宋" w:cs="仿宋"/>
          <w:sz w:val="32"/>
          <w:szCs w:val="32"/>
        </w:rPr>
        <w:t>0</w:t>
      </w:r>
      <w:r>
        <w:rPr>
          <w:rFonts w:hint="eastAsia" w:ascii="仿宋" w:hAnsi="仿宋" w:eastAsia="仿宋" w:cs="仿宋"/>
          <w:sz w:val="32"/>
          <w:szCs w:val="32"/>
        </w:rPr>
        <w:t>人次。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（二）公务用车购置及运行维护费</w:t>
      </w:r>
      <w:r>
        <w:rPr>
          <w:rFonts w:ascii="仿宋" w:hAnsi="仿宋" w:eastAsia="仿宋" w:cs="仿宋"/>
          <w:sz w:val="32"/>
        </w:rPr>
        <w:t>0.00</w:t>
      </w:r>
      <w:r>
        <w:rPr>
          <w:rFonts w:hint="eastAsia" w:ascii="仿宋" w:hAnsi="仿宋" w:eastAsia="仿宋" w:cs="仿宋"/>
          <w:sz w:val="32"/>
          <w:szCs w:val="32"/>
        </w:rPr>
        <w:t>万元。其中：公务用车购置支出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 xml:space="preserve"> 万元。主要原因是</w:t>
      </w:r>
      <w:bookmarkStart w:id="5" w:name="PO_part3A6B2IncReason1"/>
      <w:r>
        <w:rPr>
          <w:rFonts w:hint="eastAsia" w:ascii="仿宋" w:hAnsi="仿宋" w:eastAsia="仿宋" w:cs="仿宋"/>
          <w:sz w:val="32"/>
          <w:szCs w:val="32"/>
        </w:rPr>
        <w:t>本部门无公务用车购置</w:t>
      </w:r>
      <w:bookmarkEnd w:id="5"/>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公务用车运行维护支出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万元。主要原因是：本部门无公务用车。2022年，</w:t>
      </w:r>
      <w:r>
        <w:rPr>
          <w:rFonts w:hint="eastAsia" w:ascii="仿宋" w:hAnsi="仿宋" w:eastAsia="仿宋" w:cs="仿宋"/>
          <w:sz w:val="32"/>
          <w:lang w:val="en-US" w:eastAsia="zh-CN"/>
        </w:rPr>
        <w:t>本单位</w:t>
      </w:r>
      <w:bookmarkStart w:id="7" w:name="_GoBack"/>
      <w:bookmarkEnd w:id="7"/>
      <w:r>
        <w:rPr>
          <w:rFonts w:hint="eastAsia" w:ascii="仿宋" w:hAnsi="仿宋" w:eastAsia="仿宋" w:cs="仿宋"/>
          <w:sz w:val="32"/>
          <w:szCs w:val="32"/>
        </w:rPr>
        <w:t>开支财政拨款的公务用车保有量为</w:t>
      </w:r>
      <w:r>
        <w:rPr>
          <w:rFonts w:ascii="仿宋" w:hAnsi="仿宋" w:eastAsia="仿宋" w:cs="仿宋"/>
          <w:sz w:val="32"/>
        </w:rPr>
        <w:t>0</w:t>
      </w:r>
      <w:r>
        <w:rPr>
          <w:rFonts w:hint="eastAsia" w:ascii="仿宋" w:hAnsi="仿宋" w:eastAsia="仿宋" w:cs="仿宋"/>
          <w:sz w:val="32"/>
          <w:szCs w:val="32"/>
        </w:rPr>
        <w:t>辆，全年运行费支出</w:t>
      </w:r>
      <w:r>
        <w:rPr>
          <w:rFonts w:ascii="仿宋" w:hAnsi="仿宋" w:eastAsia="仿宋" w:cs="仿宋"/>
          <w:sz w:val="32"/>
        </w:rPr>
        <w:t>0.00</w:t>
      </w:r>
      <w:r>
        <w:rPr>
          <w:rFonts w:hint="eastAsia" w:ascii="仿宋" w:hAnsi="仿宋" w:eastAsia="仿宋" w:cs="仿宋"/>
          <w:sz w:val="32"/>
          <w:szCs w:val="32"/>
        </w:rPr>
        <w:t>万元，平均每辆0万元。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（三）公务接待费支出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 比上年</w:t>
      </w:r>
      <w:r>
        <w:rPr>
          <w:rFonts w:ascii="仿宋" w:hAnsi="仿宋" w:eastAsia="仿宋" w:cs="仿宋"/>
          <w:sz w:val="32"/>
          <w:szCs w:val="32"/>
        </w:rPr>
        <w:t>增加0.00</w:t>
      </w:r>
      <w:r>
        <w:rPr>
          <w:rFonts w:hint="eastAsia" w:ascii="仿宋" w:hAnsi="仿宋" w:eastAsia="仿宋" w:cs="仿宋"/>
          <w:sz w:val="32"/>
          <w:szCs w:val="32"/>
        </w:rPr>
        <w:t>万元，主要原因是：本单位无公务接待。国内公务接待批次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次，国（境）外公务接待批次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w:t>
      </w:r>
    </w:p>
    <w:p>
      <w:pPr>
        <w:jc w:val="left"/>
        <w:rPr>
          <w:rFonts w:ascii="仿宋" w:hAnsi="仿宋" w:eastAsia="仿宋" w:cs="仿宋"/>
          <w:sz w:val="32"/>
          <w:szCs w:val="32"/>
        </w:rPr>
      </w:pPr>
      <w:r>
        <w:rPr>
          <w:rFonts w:hint="eastAsia" w:ascii="黑体" w:hAnsi="黑体" w:eastAsia="黑体" w:cs="黑体"/>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w:t>
      </w:r>
      <w:r>
        <w:rPr>
          <w:rFonts w:hint="eastAsia" w:ascii="仿宋" w:hAnsi="仿宋" w:eastAsia="仿宋" w:cs="仿宋"/>
          <w:sz w:val="32"/>
          <w:szCs w:val="32"/>
          <w:highlight w:val="none"/>
        </w:rPr>
        <w:t>比年初预算数</w:t>
      </w:r>
      <w:r>
        <w:rPr>
          <w:rFonts w:ascii="仿宋" w:hAnsi="仿宋" w:eastAsia="仿宋" w:cs="仿宋"/>
          <w:sz w:val="32"/>
          <w:szCs w:val="32"/>
          <w:highlight w:val="none"/>
        </w:rPr>
        <w:t>减少</w:t>
      </w:r>
      <w:r>
        <w:rPr>
          <w:rFonts w:hint="default" w:ascii="仿宋" w:hAnsi="仿宋" w:eastAsia="仿宋" w:cs="仿宋"/>
          <w:sz w:val="32"/>
          <w:szCs w:val="32"/>
          <w:highlight w:val="none"/>
          <w:lang w:val="e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default" w:ascii="仿宋" w:hAnsi="仿宋" w:eastAsia="仿宋" w:cs="仿宋"/>
          <w:sz w:val="32"/>
          <w:szCs w:val="32"/>
          <w:highlight w:val="none"/>
          <w:lang w:val="e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sz w:val="32"/>
          <w:szCs w:val="32"/>
        </w:rPr>
        <w:t>元，</w:t>
      </w:r>
      <w:r>
        <w:rPr>
          <w:rFonts w:ascii="仿宋" w:hAnsi="仿宋" w:eastAsia="仿宋" w:cs="仿宋"/>
          <w:sz w:val="32"/>
          <w:szCs w:val="32"/>
        </w:rPr>
        <w:t>增长0%</w:t>
      </w:r>
      <w:r>
        <w:rPr>
          <w:rFonts w:hint="eastAsia" w:ascii="仿宋" w:hAnsi="仿宋" w:eastAsia="仿宋" w:cs="仿宋"/>
          <w:sz w:val="32"/>
          <w:szCs w:val="32"/>
        </w:rPr>
        <w:t>。原因是：本部门2</w:t>
      </w:r>
      <w:r>
        <w:rPr>
          <w:rFonts w:ascii="仿宋" w:hAnsi="仿宋" w:eastAsia="仿宋" w:cs="仿宋"/>
          <w:sz w:val="32"/>
          <w:szCs w:val="32"/>
        </w:rPr>
        <w:t>022</w:t>
      </w:r>
      <w:r>
        <w:rPr>
          <w:rFonts w:hint="eastAsia" w:ascii="仿宋" w:hAnsi="仿宋" w:eastAsia="仿宋" w:cs="仿宋"/>
          <w:sz w:val="32"/>
          <w:szCs w:val="32"/>
        </w:rPr>
        <w:t>年度无机关运行经费支出。</w:t>
      </w:r>
    </w:p>
    <w:p>
      <w:pPr>
        <w:jc w:val="left"/>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jc w:val="left"/>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台（套）；单位价值100万元以上专用设备台（套）。</w:t>
      </w:r>
    </w:p>
    <w:p>
      <w:pPr>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财政预算管理要求，本部门组织对2022年度一般公共预算项目支出全面开展绩效自评。其中，一等项目13个，二等项目2个，共涉及资金246.4万元，占一般公共预算项目支出总额的80.53%。组织对2022年度等0个政府性基金预算项目支出开展绩效自评，共涉及资金0万元，占政府性基金预算项目支出总额的0%。组织对2022年度等0个国有资本经营预算项目支出开展绩效自评，共涉及资金0万元，占国有资本经营预算项目支出总额的0%。</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组织对“学前生均公用经费”等</w:t>
      </w:r>
      <w:r>
        <w:rPr>
          <w:rFonts w:ascii="仿宋" w:hAnsi="仿宋" w:eastAsia="仿宋" w:cs="仿宋"/>
          <w:sz w:val="32"/>
          <w:szCs w:val="32"/>
        </w:rPr>
        <w:t>1</w:t>
      </w:r>
      <w:r>
        <w:rPr>
          <w:rFonts w:hint="eastAsia" w:ascii="仿宋" w:hAnsi="仿宋" w:eastAsia="仿宋" w:cs="仿宋"/>
          <w:sz w:val="32"/>
          <w:szCs w:val="32"/>
        </w:rPr>
        <w:t>5个项目进行了部门评价，涉及一般公共预算支出246.4万元，政府性基金预算支出</w:t>
      </w:r>
      <w:r>
        <w:rPr>
          <w:rFonts w:ascii="仿宋" w:hAnsi="仿宋" w:eastAsia="仿宋" w:cs="仿宋"/>
          <w:sz w:val="32"/>
          <w:szCs w:val="32"/>
        </w:rPr>
        <w:t>0</w:t>
      </w:r>
      <w:r>
        <w:rPr>
          <w:rFonts w:hint="eastAsia" w:ascii="仿宋" w:hAnsi="仿宋" w:eastAsia="仿宋" w:cs="仿宋"/>
          <w:sz w:val="32"/>
          <w:szCs w:val="32"/>
        </w:rPr>
        <w:t>万元，国有资本经营预算支出</w:t>
      </w:r>
      <w:r>
        <w:rPr>
          <w:rFonts w:ascii="仿宋" w:hAnsi="仿宋" w:eastAsia="仿宋" w:cs="仿宋"/>
          <w:sz w:val="32"/>
          <w:szCs w:val="32"/>
        </w:rPr>
        <w:t>0</w:t>
      </w:r>
      <w:r>
        <w:rPr>
          <w:rFonts w:hint="eastAsia" w:ascii="仿宋" w:hAnsi="仿宋" w:eastAsia="仿宋" w:cs="仿宋"/>
          <w:sz w:val="32"/>
          <w:szCs w:val="32"/>
        </w:rPr>
        <w:t>万元。从评价情况来看，本部门推进预算支出绩效评价管理,提高资金使用效率。按时完成各个项目年度绩效目标，提高服务对象的满意度。</w:t>
      </w:r>
    </w:p>
    <w:p>
      <w:pPr>
        <w:jc w:val="left"/>
        <w:rPr>
          <w:rFonts w:ascii="仿宋" w:hAnsi="仿宋" w:eastAsia="仿宋" w:cs="仿宋"/>
          <w:sz w:val="32"/>
          <w:szCs w:val="32"/>
        </w:rPr>
      </w:pPr>
      <w:r>
        <w:rPr>
          <w:rFonts w:hint="eastAsia" w:ascii="仿宋" w:hAnsi="仿宋" w:eastAsia="仿宋" w:cs="仿宋"/>
          <w:sz w:val="32"/>
          <w:szCs w:val="32"/>
        </w:rPr>
        <w:t>从评价情况来看，我单位绩效管理情况较为理想，达到了年初设定的各项绩效目标。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本单位开展整体支出绩效评价试点，涉及一般公共预算支出246.4万元，政府性基金预算支出0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2.部门决算中项目绩效自评结果（必填）。</w:t>
      </w:r>
    </w:p>
    <w:p>
      <w:pPr>
        <w:jc w:val="left"/>
        <w:rPr>
          <w:rFonts w:ascii="仿宋" w:hAnsi="仿宋" w:eastAsia="仿宋" w:cs="仿宋"/>
          <w:sz w:val="32"/>
          <w:szCs w:val="32"/>
        </w:rPr>
      </w:pPr>
      <w:r>
        <w:rPr>
          <w:rFonts w:hint="eastAsia" w:ascii="仿宋" w:hAnsi="仿宋" w:eastAsia="仿宋" w:cs="仿宋"/>
          <w:sz w:val="32"/>
          <w:szCs w:val="32"/>
        </w:rPr>
        <w:t>我部门根据年初设定的绩效目标，</w:t>
      </w:r>
      <w:bookmarkStart w:id="6" w:name="_Hlk151217930"/>
      <w:r>
        <w:rPr>
          <w:rFonts w:hint="eastAsia" w:ascii="仿宋" w:hAnsi="仿宋" w:eastAsia="仿宋" w:cs="仿宋"/>
          <w:sz w:val="32"/>
          <w:szCs w:val="32"/>
        </w:rPr>
        <w:t>伙食补助、全县校长绩效工资、普惠幼儿园奖补县本级奖补资金、教师节经费、奖励性补贴这五个项目都能按时完成支付，自评得分均为100分。学前生均公用经费项目自评得分为</w:t>
      </w:r>
      <w:r>
        <w:rPr>
          <w:rFonts w:ascii="仿宋" w:hAnsi="仿宋" w:eastAsia="仿宋" w:cs="仿宋"/>
          <w:sz w:val="32"/>
          <w:szCs w:val="32"/>
        </w:rPr>
        <w:t>97.48</w:t>
      </w:r>
      <w:r>
        <w:rPr>
          <w:rFonts w:hint="eastAsia" w:ascii="仿宋" w:hAnsi="仿宋" w:eastAsia="仿宋" w:cs="仿宋"/>
          <w:sz w:val="32"/>
          <w:szCs w:val="32"/>
        </w:rPr>
        <w:t>分。发现的主要问题及原因：部分报账材料未能及时整理。下一步改进措施：及时整理报账材料，完成年度资金进度安排。学前教育免保教费县本级补助资金项目自评得分为</w:t>
      </w:r>
      <w:r>
        <w:rPr>
          <w:rFonts w:ascii="仿宋" w:hAnsi="仿宋" w:eastAsia="仿宋" w:cs="仿宋"/>
          <w:sz w:val="32"/>
          <w:szCs w:val="32"/>
        </w:rPr>
        <w:t>94.49</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普惠性民办幼儿园奖补中央补助资金项目自评得分为</w:t>
      </w:r>
      <w:r>
        <w:rPr>
          <w:rFonts w:ascii="仿宋" w:hAnsi="仿宋" w:eastAsia="仿宋" w:cs="仿宋"/>
          <w:sz w:val="32"/>
          <w:szCs w:val="32"/>
        </w:rPr>
        <w:t>99.71</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分。发现的主要问题及原因：辖区内普惠性民办幼儿园未能及时整理报账材料。下一步改进措施：一是做好民办幼儿园整理报账材料的培训；二是加快资金进度安排。学前教育保育费项目自评得分为</w:t>
      </w:r>
      <w:r>
        <w:rPr>
          <w:rFonts w:ascii="仿宋" w:hAnsi="仿宋" w:eastAsia="仿宋" w:cs="仿宋"/>
          <w:sz w:val="32"/>
          <w:szCs w:val="32"/>
        </w:rPr>
        <w:t>99.85</w:t>
      </w:r>
      <w:r>
        <w:rPr>
          <w:rFonts w:hint="eastAsia" w:ascii="仿宋" w:hAnsi="仿宋" w:eastAsia="仿宋" w:cs="仿宋"/>
          <w:sz w:val="32"/>
          <w:szCs w:val="32"/>
        </w:rPr>
        <w:t>。发现的主要问题及原因：部分报账材料未能及时整理。下一步改进措施：及时整理报账材料，完成年度资金进度安排。班主任津贴项目自评得分为</w:t>
      </w:r>
      <w:r>
        <w:rPr>
          <w:rFonts w:ascii="仿宋" w:hAnsi="仿宋" w:eastAsia="仿宋" w:cs="仿宋"/>
          <w:sz w:val="32"/>
          <w:szCs w:val="32"/>
        </w:rPr>
        <w:t>90</w:t>
      </w:r>
      <w:r>
        <w:rPr>
          <w:rFonts w:hint="eastAsia" w:ascii="仿宋" w:hAnsi="仿宋" w:eastAsia="仿宋" w:cs="仿宋"/>
          <w:sz w:val="32"/>
          <w:szCs w:val="32"/>
        </w:rPr>
        <w:t>分。发现的主要问题及原因：下半年的班主任津贴未能及时支付。下一步改进措施：及时整理材料，按时完成全年进度。学前教育免除保教育费自治区补助资金项目自评得分为</w:t>
      </w:r>
      <w:r>
        <w:rPr>
          <w:rFonts w:ascii="仿宋" w:hAnsi="仿宋" w:eastAsia="仿宋" w:cs="仿宋"/>
          <w:sz w:val="32"/>
          <w:szCs w:val="32"/>
        </w:rPr>
        <w:t>95.46</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学前教育免除保教费中央补助资金项目自评得分为</w:t>
      </w:r>
      <w:r>
        <w:rPr>
          <w:rFonts w:ascii="仿宋" w:hAnsi="仿宋" w:eastAsia="仿宋" w:cs="仿宋"/>
          <w:sz w:val="32"/>
          <w:szCs w:val="32"/>
        </w:rPr>
        <w:t>94.92</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分。发现的主要问题及原因：辖区内普惠性民办幼儿园未能及时整理报账材料。下一步改进措施：一是做好民办幼儿园整理报账材料的培训；二是加快资金进度安排。学前教育质量提升资金项目自评得分为</w:t>
      </w:r>
      <w:r>
        <w:rPr>
          <w:rFonts w:ascii="仿宋" w:hAnsi="仿宋" w:eastAsia="仿宋" w:cs="仿宋"/>
          <w:sz w:val="32"/>
          <w:szCs w:val="32"/>
        </w:rPr>
        <w:t>81.2</w:t>
      </w:r>
      <w:r>
        <w:rPr>
          <w:rFonts w:hint="eastAsia" w:ascii="仿宋" w:hAnsi="仿宋" w:eastAsia="仿宋" w:cs="仿宋"/>
          <w:sz w:val="32"/>
          <w:szCs w:val="32"/>
        </w:rPr>
        <w:t>分。发现的主要问题及原因：部分报账材料未能及时整理。下一步改进措施：及时整理报账材料，完成年度资金进度安排。普惠性民办幼儿园奖补自治区补助资金项目自评得分为</w:t>
      </w:r>
      <w:r>
        <w:rPr>
          <w:rFonts w:ascii="仿宋" w:hAnsi="仿宋" w:eastAsia="仿宋" w:cs="仿宋"/>
          <w:sz w:val="32"/>
          <w:szCs w:val="32"/>
        </w:rPr>
        <w:t>80</w:t>
      </w:r>
      <w:r>
        <w:rPr>
          <w:rFonts w:hint="eastAsia" w:ascii="仿宋" w:hAnsi="仿宋" w:eastAsia="仿宋" w:cs="仿宋"/>
          <w:sz w:val="32"/>
          <w:szCs w:val="32"/>
        </w:rPr>
        <w:t>分。发现的主要问题及原因：一是辖区内普惠性民办幼儿园金童幼儿园未能及时整理报账材料,二是金童年幼儿园下半年已经停办。下一步改进措施：一是做好民办幼儿园整理报账材料的培训；二是加快资金进度安排。环江县第二幼儿园2022年年初预算经费(保育教育费)项目自评得分为</w:t>
      </w:r>
      <w:r>
        <w:rPr>
          <w:rFonts w:ascii="仿宋" w:hAnsi="仿宋" w:eastAsia="仿宋" w:cs="仿宋"/>
          <w:sz w:val="32"/>
          <w:szCs w:val="32"/>
        </w:rPr>
        <w:t>96.68</w:t>
      </w:r>
      <w:r>
        <w:rPr>
          <w:rFonts w:hint="eastAsia" w:ascii="仿宋" w:hAnsi="仿宋" w:eastAsia="仿宋" w:cs="仿宋"/>
          <w:sz w:val="32"/>
          <w:szCs w:val="32"/>
        </w:rPr>
        <w:t>。发现的主要问题及原因：部分报账材料未能及时整理。下一步改进措施：及时整理报账材料，完成年度资金进度安排。</w:t>
      </w:r>
      <w:bookmarkEnd w:id="6"/>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环江毛南族自治县财政部门当年拨付的资金。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418" w:bottom="1440" w:left="1418"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FiOTZkYjkwN2Q1MTBhY2U1NDI3ZmEwNzcyMDM4OGMifQ=="/>
  </w:docVars>
  <w:rsids>
    <w:rsidRoot w:val="637D7558"/>
    <w:rsid w:val="00002C84"/>
    <w:rsid w:val="00022149"/>
    <w:rsid w:val="00047F6C"/>
    <w:rsid w:val="00093C26"/>
    <w:rsid w:val="00094B91"/>
    <w:rsid w:val="000B06D8"/>
    <w:rsid w:val="000D1958"/>
    <w:rsid w:val="000E5855"/>
    <w:rsid w:val="000F465F"/>
    <w:rsid w:val="00105933"/>
    <w:rsid w:val="001418A5"/>
    <w:rsid w:val="00146888"/>
    <w:rsid w:val="00147D40"/>
    <w:rsid w:val="00156EF2"/>
    <w:rsid w:val="0018314C"/>
    <w:rsid w:val="001909DC"/>
    <w:rsid w:val="001D7B97"/>
    <w:rsid w:val="00210E20"/>
    <w:rsid w:val="00223F38"/>
    <w:rsid w:val="00233613"/>
    <w:rsid w:val="00253597"/>
    <w:rsid w:val="00254DBE"/>
    <w:rsid w:val="00255BDE"/>
    <w:rsid w:val="00275CAB"/>
    <w:rsid w:val="0028709C"/>
    <w:rsid w:val="0029328F"/>
    <w:rsid w:val="002B2731"/>
    <w:rsid w:val="00317203"/>
    <w:rsid w:val="00335F91"/>
    <w:rsid w:val="00382867"/>
    <w:rsid w:val="003A4973"/>
    <w:rsid w:val="003C1C96"/>
    <w:rsid w:val="003C69F8"/>
    <w:rsid w:val="003E40BA"/>
    <w:rsid w:val="003E7165"/>
    <w:rsid w:val="0041579D"/>
    <w:rsid w:val="00417C52"/>
    <w:rsid w:val="00427074"/>
    <w:rsid w:val="00434D04"/>
    <w:rsid w:val="004C4D73"/>
    <w:rsid w:val="004D7D0E"/>
    <w:rsid w:val="005234F5"/>
    <w:rsid w:val="00531745"/>
    <w:rsid w:val="00574196"/>
    <w:rsid w:val="005B2552"/>
    <w:rsid w:val="005C34CD"/>
    <w:rsid w:val="005F46D9"/>
    <w:rsid w:val="005F778E"/>
    <w:rsid w:val="006123AD"/>
    <w:rsid w:val="006148F3"/>
    <w:rsid w:val="00645B83"/>
    <w:rsid w:val="0066173C"/>
    <w:rsid w:val="0069493C"/>
    <w:rsid w:val="006972BA"/>
    <w:rsid w:val="006C030D"/>
    <w:rsid w:val="006D677A"/>
    <w:rsid w:val="006F1F8A"/>
    <w:rsid w:val="00707C70"/>
    <w:rsid w:val="007640BB"/>
    <w:rsid w:val="00771953"/>
    <w:rsid w:val="00776E0B"/>
    <w:rsid w:val="007A0641"/>
    <w:rsid w:val="007B326F"/>
    <w:rsid w:val="007C52E7"/>
    <w:rsid w:val="007C54EA"/>
    <w:rsid w:val="007C776D"/>
    <w:rsid w:val="007C7EE5"/>
    <w:rsid w:val="007D7CE3"/>
    <w:rsid w:val="007E2F6C"/>
    <w:rsid w:val="007E4AD4"/>
    <w:rsid w:val="00817C69"/>
    <w:rsid w:val="00823A94"/>
    <w:rsid w:val="00824151"/>
    <w:rsid w:val="008315A9"/>
    <w:rsid w:val="00834354"/>
    <w:rsid w:val="00857E1F"/>
    <w:rsid w:val="008F1B95"/>
    <w:rsid w:val="008F4AE2"/>
    <w:rsid w:val="008F6882"/>
    <w:rsid w:val="00926DDF"/>
    <w:rsid w:val="00934C72"/>
    <w:rsid w:val="00946CCF"/>
    <w:rsid w:val="0097721B"/>
    <w:rsid w:val="009831F8"/>
    <w:rsid w:val="009B3E00"/>
    <w:rsid w:val="009D1667"/>
    <w:rsid w:val="009F7C5A"/>
    <w:rsid w:val="00A07CCE"/>
    <w:rsid w:val="00A11F99"/>
    <w:rsid w:val="00A27624"/>
    <w:rsid w:val="00A354CF"/>
    <w:rsid w:val="00A358E6"/>
    <w:rsid w:val="00A85B26"/>
    <w:rsid w:val="00A924D1"/>
    <w:rsid w:val="00AA78EE"/>
    <w:rsid w:val="00AA7E40"/>
    <w:rsid w:val="00AB53E1"/>
    <w:rsid w:val="00AE3F4D"/>
    <w:rsid w:val="00AE5F66"/>
    <w:rsid w:val="00B07A0B"/>
    <w:rsid w:val="00B22F28"/>
    <w:rsid w:val="00B37453"/>
    <w:rsid w:val="00B450B5"/>
    <w:rsid w:val="00B45479"/>
    <w:rsid w:val="00B60171"/>
    <w:rsid w:val="00B837AC"/>
    <w:rsid w:val="00BA5669"/>
    <w:rsid w:val="00BB4FB8"/>
    <w:rsid w:val="00BD315D"/>
    <w:rsid w:val="00C02FF7"/>
    <w:rsid w:val="00C3279E"/>
    <w:rsid w:val="00C34857"/>
    <w:rsid w:val="00C530F6"/>
    <w:rsid w:val="00C7313F"/>
    <w:rsid w:val="00CA2E26"/>
    <w:rsid w:val="00CF3BB3"/>
    <w:rsid w:val="00D00918"/>
    <w:rsid w:val="00D14326"/>
    <w:rsid w:val="00D212C0"/>
    <w:rsid w:val="00D24B91"/>
    <w:rsid w:val="00D772CC"/>
    <w:rsid w:val="00D84F30"/>
    <w:rsid w:val="00D878A6"/>
    <w:rsid w:val="00DE74BD"/>
    <w:rsid w:val="00DE7D07"/>
    <w:rsid w:val="00E249E4"/>
    <w:rsid w:val="00E73576"/>
    <w:rsid w:val="00EB7822"/>
    <w:rsid w:val="00EC50A9"/>
    <w:rsid w:val="00ED04DB"/>
    <w:rsid w:val="00ED2849"/>
    <w:rsid w:val="00F112F6"/>
    <w:rsid w:val="00F21455"/>
    <w:rsid w:val="00F42674"/>
    <w:rsid w:val="00F51E9A"/>
    <w:rsid w:val="00F5354B"/>
    <w:rsid w:val="00F94229"/>
    <w:rsid w:val="00F95135"/>
    <w:rsid w:val="00F9658C"/>
    <w:rsid w:val="00F978FD"/>
    <w:rsid w:val="00FA738E"/>
    <w:rsid w:val="00FC438B"/>
    <w:rsid w:val="00FF4566"/>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65F7B0D"/>
    <w:rsid w:val="17E92249"/>
    <w:rsid w:val="18D304F1"/>
    <w:rsid w:val="19F32577"/>
    <w:rsid w:val="19F45B80"/>
    <w:rsid w:val="1B0C078D"/>
    <w:rsid w:val="1B102525"/>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AAC4293"/>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9D01DD"/>
    <w:rsid w:val="78E257C5"/>
    <w:rsid w:val="794B35BE"/>
    <w:rsid w:val="7B0A3A31"/>
    <w:rsid w:val="7B3360ED"/>
    <w:rsid w:val="7BDF037E"/>
    <w:rsid w:val="7BF50948"/>
    <w:rsid w:val="7CE66A78"/>
    <w:rsid w:val="7D23564C"/>
    <w:rsid w:val="7D4B74A6"/>
    <w:rsid w:val="7D5E062D"/>
    <w:rsid w:val="7DF76CD8"/>
    <w:rsid w:val="7F695C26"/>
    <w:rsid w:val="7FCF62D3"/>
    <w:rsid w:val="D747F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445.33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263098752"/>
        <c:axId val="263100288"/>
      </c:barChart>
      <c:catAx>
        <c:axId val="263098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100288"/>
        <c:crosses val="autoZero"/>
        <c:auto val="1"/>
        <c:lblAlgn val="ctr"/>
        <c:lblOffset val="100"/>
        <c:noMultiLvlLbl val="0"/>
      </c:catAx>
      <c:valAx>
        <c:axId val="2631002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098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267773824"/>
        <c:axId val="267775360"/>
      </c:barChart>
      <c:catAx>
        <c:axId val="2677738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775360"/>
        <c:crosses val="autoZero"/>
        <c:auto val="1"/>
        <c:lblAlgn val="ctr"/>
        <c:lblOffset val="100"/>
        <c:noMultiLvlLbl val="0"/>
      </c:catAx>
      <c:valAx>
        <c:axId val="267775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773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267914624"/>
        <c:axId val="267924608"/>
      </c:barChart>
      <c:catAx>
        <c:axId val="2679146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24608"/>
        <c:crosses val="autoZero"/>
        <c:auto val="1"/>
        <c:lblAlgn val="ctr"/>
        <c:lblOffset val="100"/>
        <c:noMultiLvlLbl val="0"/>
      </c:catAx>
      <c:valAx>
        <c:axId val="267924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14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267932800"/>
        <c:axId val="267934336"/>
      </c:barChart>
      <c:catAx>
        <c:axId val="2679328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34336"/>
        <c:crosses val="autoZero"/>
        <c:auto val="1"/>
        <c:lblAlgn val="ctr"/>
        <c:lblOffset val="100"/>
        <c:noMultiLvlLbl val="0"/>
      </c:catAx>
      <c:valAx>
        <c:axId val="2679343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3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295.93</c:v>
                </c:pt>
                <c:pt idx="2">
                  <c:v>16.67</c:v>
                </c:pt>
                <c:pt idx="3">
                  <c:v>8.9</c:v>
                </c:pt>
                <c:pt idx="4">
                  <c:v>27.48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2.44</c:v>
                </c:pt>
                <c:pt idx="1">
                  <c:v>381.11</c:v>
                </c:pt>
                <c:pt idx="2">
                  <c:v>18.82</c:v>
                </c:pt>
                <c:pt idx="3">
                  <c:v>13.79</c:v>
                </c:pt>
                <c:pt idx="4">
                  <c:v>29.16</c:v>
                </c:pt>
              </c:numCache>
            </c:numRef>
          </c:val>
        </c:ser>
        <c:dLbls>
          <c:showLegendKey val="0"/>
          <c:showVal val="0"/>
          <c:showCatName val="0"/>
          <c:showSerName val="0"/>
          <c:showPercent val="0"/>
          <c:showBubbleSize val="0"/>
        </c:dLbls>
        <c:gapWidth val="219"/>
        <c:overlap val="-27"/>
        <c:axId val="177284608"/>
        <c:axId val="177286528"/>
      </c:barChart>
      <c:catAx>
        <c:axId val="1772846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7286528"/>
        <c:crosses val="autoZero"/>
        <c:auto val="1"/>
        <c:lblAlgn val="ctr"/>
        <c:lblOffset val="100"/>
        <c:noMultiLvlLbl val="0"/>
      </c:catAx>
      <c:valAx>
        <c:axId val="177286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7284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2.44</c:v>
                </c:pt>
                <c:pt idx="1">
                  <c:v>2.44</c:v>
                </c:pt>
              </c:numCache>
            </c:numRef>
          </c:val>
        </c:ser>
        <c:dLbls>
          <c:showLegendKey val="0"/>
          <c:showVal val="0"/>
          <c:showCatName val="0"/>
          <c:showSerName val="0"/>
          <c:showPercent val="0"/>
          <c:showBubbleSize val="0"/>
        </c:dLbls>
        <c:gapWidth val="219"/>
        <c:overlap val="-27"/>
        <c:axId val="185848192"/>
        <c:axId val="185850496"/>
      </c:barChart>
      <c:catAx>
        <c:axId val="185848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850496"/>
        <c:crosses val="autoZero"/>
        <c:auto val="1"/>
        <c:lblAlgn val="ctr"/>
        <c:lblOffset val="100"/>
        <c:noMultiLvlLbl val="0"/>
      </c:catAx>
      <c:valAx>
        <c:axId val="185850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848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375.98</c:v>
                </c:pt>
                <c:pt idx="1">
                  <c:v>5.13</c:v>
                </c:pt>
                <c:pt idx="2">
                  <c:v>381.11</c:v>
                </c:pt>
              </c:numCache>
            </c:numRef>
          </c:val>
        </c:ser>
        <c:dLbls>
          <c:showLegendKey val="0"/>
          <c:showVal val="0"/>
          <c:showCatName val="0"/>
          <c:showSerName val="0"/>
          <c:showPercent val="0"/>
          <c:showBubbleSize val="0"/>
        </c:dLbls>
        <c:gapWidth val="219"/>
        <c:overlap val="-27"/>
        <c:axId val="186417920"/>
        <c:axId val="186422784"/>
      </c:barChart>
      <c:catAx>
        <c:axId val="186417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422784"/>
        <c:crosses val="autoZero"/>
        <c:auto val="1"/>
        <c:lblAlgn val="ctr"/>
        <c:lblOffset val="100"/>
        <c:noMultiLvlLbl val="0"/>
      </c:catAx>
      <c:valAx>
        <c:axId val="1864227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417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18.82</c:v>
                </c:pt>
                <c:pt idx="1">
                  <c:v>18.82</c:v>
                </c:pt>
              </c:numCache>
            </c:numRef>
          </c:val>
        </c:ser>
        <c:dLbls>
          <c:showLegendKey val="0"/>
          <c:showVal val="0"/>
          <c:showCatName val="0"/>
          <c:showSerName val="0"/>
          <c:showPercent val="0"/>
          <c:showBubbleSize val="0"/>
        </c:dLbls>
        <c:gapWidth val="219"/>
        <c:overlap val="-27"/>
        <c:axId val="190578048"/>
        <c:axId val="190607744"/>
      </c:barChart>
      <c:catAx>
        <c:axId val="190578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607744"/>
        <c:crosses val="autoZero"/>
        <c:auto val="1"/>
        <c:lblAlgn val="ctr"/>
        <c:lblOffset val="100"/>
        <c:noMultiLvlLbl val="0"/>
      </c:catAx>
      <c:valAx>
        <c:axId val="190607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57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13.79</c:v>
                </c:pt>
                <c:pt idx="1">
                  <c:v>13.79</c:v>
                </c:pt>
              </c:numCache>
            </c:numRef>
          </c:val>
        </c:ser>
        <c:dLbls>
          <c:showLegendKey val="0"/>
          <c:showVal val="0"/>
          <c:showCatName val="0"/>
          <c:showSerName val="0"/>
          <c:showPercent val="0"/>
          <c:showBubbleSize val="0"/>
        </c:dLbls>
        <c:gapWidth val="219"/>
        <c:overlap val="-27"/>
        <c:axId val="191072896"/>
        <c:axId val="267805056"/>
      </c:barChart>
      <c:catAx>
        <c:axId val="191072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805056"/>
        <c:crosses val="autoZero"/>
        <c:auto val="1"/>
        <c:lblAlgn val="ctr"/>
        <c:lblOffset val="100"/>
        <c:noMultiLvlLbl val="0"/>
      </c:catAx>
      <c:valAx>
        <c:axId val="267805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29.16</c:v>
                </c:pt>
                <c:pt idx="1">
                  <c:v>29.16</c:v>
                </c:pt>
              </c:numCache>
            </c:numRef>
          </c:val>
        </c:ser>
        <c:dLbls>
          <c:showLegendKey val="0"/>
          <c:showVal val="0"/>
          <c:showCatName val="0"/>
          <c:showSerName val="0"/>
          <c:showPercent val="0"/>
          <c:showBubbleSize val="0"/>
        </c:dLbls>
        <c:gapWidth val="219"/>
        <c:overlap val="-27"/>
        <c:axId val="268434816"/>
        <c:axId val="190522496"/>
      </c:barChart>
      <c:catAx>
        <c:axId val="2684348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522496"/>
        <c:crosses val="autoZero"/>
        <c:auto val="1"/>
        <c:lblAlgn val="ctr"/>
        <c:lblOffset val="100"/>
        <c:noMultiLvlLbl val="0"/>
      </c:catAx>
      <c:valAx>
        <c:axId val="190522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434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78.79</c:v>
                </c:pt>
                <c:pt idx="1">
                  <c:v>4.81</c:v>
                </c:pt>
                <c:pt idx="2">
                  <c:v>25.41</c:v>
                </c:pt>
                <c:pt idx="3">
                  <c:v>0</c:v>
                </c:pt>
                <c:pt idx="4">
                  <c:v>32.94</c:v>
                </c:pt>
                <c:pt idx="5">
                  <c:v>20.16</c:v>
                </c:pt>
                <c:pt idx="6">
                  <c:v>0</c:v>
                </c:pt>
                <c:pt idx="7">
                  <c:v>11.13</c:v>
                </c:pt>
                <c:pt idx="8">
                  <c:v>0</c:v>
                </c:pt>
                <c:pt idx="9">
                  <c:v>1.1</c:v>
                </c:pt>
                <c:pt idx="10">
                  <c:v>13.79</c:v>
                </c:pt>
                <c:pt idx="11">
                  <c:v>0</c:v>
                </c:pt>
                <c:pt idx="12">
                  <c:v>0</c:v>
                </c:pt>
              </c:numCache>
            </c:numRef>
          </c:val>
        </c:ser>
        <c:dLbls>
          <c:showLegendKey val="0"/>
          <c:showVal val="0"/>
          <c:showCatName val="0"/>
          <c:showSerName val="0"/>
          <c:showPercent val="0"/>
          <c:showBubbleSize val="0"/>
        </c:dLbls>
        <c:gapWidth val="219"/>
        <c:overlap val="-27"/>
        <c:axId val="256558208"/>
        <c:axId val="256559744"/>
      </c:barChart>
      <c:catAx>
        <c:axId val="256558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559744"/>
        <c:crosses val="autoZero"/>
        <c:auto val="1"/>
        <c:lblAlgn val="ctr"/>
        <c:lblOffset val="100"/>
        <c:noMultiLvlLbl val="0"/>
      </c:catAx>
      <c:valAx>
        <c:axId val="256559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558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2.44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258841600"/>
        <c:axId val="263078656"/>
      </c:barChart>
      <c:catAx>
        <c:axId val="258841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078656"/>
        <c:crosses val="autoZero"/>
        <c:auto val="1"/>
        <c:lblAlgn val="ctr"/>
        <c:lblOffset val="100"/>
        <c:noMultiLvlLbl val="0"/>
      </c:catAx>
      <c:valAx>
        <c:axId val="2630786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841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2641</Words>
  <Characters>15054</Characters>
  <Lines>125</Lines>
  <Paragraphs>35</Paragraphs>
  <TotalTime>173</TotalTime>
  <ScaleCrop>false</ScaleCrop>
  <LinksUpToDate>false</LinksUpToDate>
  <CharactersWithSpaces>17660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2023-11-20T02:12:00Z</dcterms:created>
  <dc:creator>C D D</dc:creator>
  <cp:lastModifiedBy>Administrator</cp:lastModifiedBy>
  <dcterms:modified xsi:type="dcterms:W3CDTF">2023-11-28T07:50:21Z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