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黑体" w:hAnsi="黑体" w:eastAsia="黑体" w:cs="黑体"/>
          <w:b/>
          <w:bCs/>
          <w:sz w:val="52"/>
          <w:szCs w:val="52"/>
          <w:highlight w:val="none"/>
        </w:rPr>
      </w:pPr>
      <w:r>
        <w:rPr>
          <w:rFonts w:hint="eastAsia" w:ascii="黑体" w:hAnsi="黑体" w:eastAsia="黑体" w:cs="黑体"/>
          <w:b/>
          <w:bCs/>
          <w:sz w:val="52"/>
          <w:szCs w:val="52"/>
          <w:highlight w:val="none"/>
        </w:rPr>
        <w:t>环江毛南族自治县第二小学</w:t>
      </w: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2022年度部门决算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hint="default" w:ascii="仿宋" w:hAnsi="仿宋" w:eastAsia="仿宋" w:cs="仿宋"/>
          <w:color w:val="auto"/>
          <w:sz w:val="32"/>
          <w:szCs w:val="32"/>
          <w:highlight w:val="none"/>
          <w:lang w:val="en-US"/>
        </w:rPr>
      </w:pPr>
      <w:r>
        <w:rPr>
          <w:rFonts w:hint="eastAsia" w:ascii="黑体" w:hAnsi="黑体" w:eastAsia="黑体" w:cs="黑体"/>
          <w:sz w:val="36"/>
          <w:szCs w:val="36"/>
          <w:lang w:val="en-US" w:eastAsia="zh-CN"/>
        </w:rPr>
        <w:t xml:space="preserve">                单位负责人：莫陶微</w:t>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2023年</w:t>
      </w:r>
      <w:r>
        <w:rPr>
          <w:rFonts w:hint="eastAsia" w:ascii="黑体" w:hAnsi="黑体" w:eastAsia="黑体" w:cs="黑体"/>
          <w:b/>
          <w:bCs/>
          <w:sz w:val="36"/>
          <w:szCs w:val="36"/>
          <w:highlight w:val="none"/>
          <w:lang w:val="en-US" w:eastAsia="zh-CN"/>
        </w:rPr>
        <w:t>10</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ascii="黑体" w:hAnsi="黑体" w:eastAsia="黑体" w:cs="黑体"/>
          <w:sz w:val="32"/>
          <w:u w:color="auto"/>
        </w:rPr>
        <w:t>环江毛南族自治县第二小学</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环江毛南族自治县第二小学</w:t>
      </w:r>
      <w:r>
        <w:rPr>
          <w:rFonts w:hint="eastAsia" w:ascii="黑体" w:hAnsi="黑体" w:eastAsia="黑体" w:cs="黑体"/>
          <w:sz w:val="32"/>
          <w:szCs w:val="32"/>
          <w:highlight w:val="none"/>
        </w:rPr>
        <w:t>2022年度部门决算报表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表九：财政拨款“三公”经费支出决算表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环江毛南族自治县第二小学</w:t>
      </w:r>
      <w:r>
        <w:rPr>
          <w:rFonts w:hint="eastAsia" w:ascii="黑体" w:hAnsi="黑体" w:eastAsia="黑体" w:cs="黑体"/>
          <w:sz w:val="32"/>
          <w:szCs w:val="32"/>
          <w:highlight w:val="none"/>
        </w:rPr>
        <w:t>2022年度部门决算情况说明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2</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ascii="黑体" w:hAnsi="黑体" w:eastAsia="黑体" w:cs="黑体"/>
          <w:b/>
          <w:sz w:val="32"/>
          <w:u w:color="auto"/>
        </w:rPr>
        <w:t>环江毛南族自治县第二小学</w:t>
      </w:r>
      <w:r>
        <w:rPr>
          <w:rFonts w:hint="eastAsia" w:ascii="黑体" w:hAnsi="黑体" w:eastAsia="黑体" w:cs="黑体"/>
          <w:b/>
          <w:bCs/>
          <w:sz w:val="32"/>
          <w:szCs w:val="32"/>
          <w:highlight w:val="none"/>
        </w:rPr>
        <w:t>概况</w:t>
      </w:r>
    </w:p>
    <w:p>
      <w:pPr>
        <w:ind w:firstLine="646"/>
        <w:rPr>
          <w:rFonts w:hint="eastAsia" w:ascii="仿宋_GB2312" w:eastAsia="仿宋_GB2312"/>
          <w:b/>
          <w:bCs/>
          <w:sz w:val="32"/>
          <w:szCs w:val="32"/>
        </w:rPr>
      </w:pPr>
      <w:r>
        <w:rPr>
          <w:rFonts w:hint="eastAsia" w:ascii="仿宋_GB2312" w:eastAsia="仿宋_GB2312"/>
          <w:b/>
          <w:bCs/>
          <w:sz w:val="32"/>
          <w:szCs w:val="32"/>
        </w:rPr>
        <w:t>一、主要职能</w:t>
      </w:r>
    </w:p>
    <w:p>
      <w:pPr>
        <w:ind w:firstLine="646"/>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（一）</w:t>
      </w:r>
      <w:r>
        <w:rPr>
          <w:rFonts w:hint="eastAsia" w:ascii="仿宋_GB2312" w:eastAsia="仿宋_GB2312" w:cs="仿宋_GB2312"/>
          <w:kern w:val="0"/>
          <w:sz w:val="32"/>
          <w:szCs w:val="32"/>
        </w:rPr>
        <w:t>负责贯彻党的教育方针，坚持社会主义办学方向，实行教育与生产劳动相结合，对学生进行德育、智育、体育、美育和劳动等方面的教育。</w:t>
      </w:r>
    </w:p>
    <w:p>
      <w:pPr>
        <w:ind w:firstLine="646"/>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（二）</w:t>
      </w:r>
      <w:r>
        <w:rPr>
          <w:rFonts w:hint="eastAsia" w:ascii="仿宋_GB2312" w:eastAsia="仿宋_GB2312" w:cs="仿宋_GB2312"/>
          <w:kern w:val="0"/>
          <w:sz w:val="32"/>
          <w:szCs w:val="32"/>
        </w:rPr>
        <w:t>负责依法制定学校章程，并按照章程自主管理。</w:t>
      </w:r>
    </w:p>
    <w:p>
      <w:pPr>
        <w:ind w:firstLine="646"/>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（三）</w:t>
      </w:r>
      <w:r>
        <w:rPr>
          <w:rFonts w:hint="eastAsia" w:ascii="仿宋_GB2312" w:eastAsia="仿宋_GB2312" w:cs="仿宋_GB2312"/>
          <w:kern w:val="0"/>
          <w:sz w:val="32"/>
          <w:szCs w:val="32"/>
        </w:rPr>
        <w:t>负责配合各级人民政府依法动员、组织适龄儿童、少年入学，严格控制学生辍学，依法保证适龄儿童、少年接受九年义务教育。</w:t>
      </w:r>
    </w:p>
    <w:p>
      <w:pPr>
        <w:ind w:firstLine="646"/>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（四）</w:t>
      </w:r>
      <w:r>
        <w:rPr>
          <w:rFonts w:hint="eastAsia" w:ascii="仿宋_GB2312" w:eastAsia="仿宋_GB2312" w:cs="仿宋_GB2312"/>
          <w:kern w:val="0"/>
          <w:sz w:val="32"/>
          <w:szCs w:val="32"/>
        </w:rPr>
        <w:t>负责制定学校教育发展规划，并抓好组织实施和落实工作。</w:t>
      </w:r>
    </w:p>
    <w:p>
      <w:pPr>
        <w:ind w:firstLine="646"/>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（五）</w:t>
      </w:r>
      <w:r>
        <w:rPr>
          <w:rFonts w:hint="eastAsia" w:ascii="仿宋_GB2312" w:eastAsia="仿宋_GB2312" w:cs="仿宋_GB2312"/>
          <w:kern w:val="0"/>
          <w:sz w:val="32"/>
          <w:szCs w:val="32"/>
        </w:rPr>
        <w:t>负责按照教育主管部门发布的指导性教学计划、教学大纲，组织实施教育教学活动。</w:t>
      </w:r>
    </w:p>
    <w:p>
      <w:pPr>
        <w:ind w:firstLine="646"/>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（六）</w:t>
      </w:r>
      <w:r>
        <w:rPr>
          <w:rFonts w:hint="eastAsia" w:ascii="仿宋_GB2312" w:eastAsia="仿宋_GB2312" w:cs="仿宋_GB2312"/>
          <w:kern w:val="0"/>
          <w:sz w:val="32"/>
          <w:szCs w:val="32"/>
        </w:rPr>
        <w:t>负责依据国家教育主管部门有关教学计划、课程设置等方面的规定，决定和实施本校的教学计划，组织教学评比、集体备课，对学生进行统考核、考试等。</w:t>
      </w:r>
    </w:p>
    <w:p>
      <w:pPr>
        <w:ind w:firstLine="646"/>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（七）</w:t>
      </w:r>
      <w:r>
        <w:rPr>
          <w:rFonts w:hint="eastAsia" w:ascii="仿宋_GB2312" w:eastAsia="仿宋_GB2312" w:cs="仿宋_GB2312"/>
          <w:kern w:val="0"/>
          <w:sz w:val="32"/>
          <w:szCs w:val="32"/>
        </w:rPr>
        <w:t>负责学籍管理并对学生实施奖励或处分</w:t>
      </w:r>
    </w:p>
    <w:p>
      <w:pPr>
        <w:ind w:firstLine="646"/>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（八）</w:t>
      </w:r>
      <w:r>
        <w:rPr>
          <w:rFonts w:hint="eastAsia" w:ascii="仿宋_GB2312" w:eastAsia="仿宋_GB2312" w:cs="仿宋_GB2312"/>
          <w:kern w:val="0"/>
          <w:sz w:val="32"/>
          <w:szCs w:val="32"/>
        </w:rPr>
        <w:t>负责依法制定本校教师及其他职工聘任办法并对教师及其他员工实施包括奖励、处分在内的具体管理活动，依法聘任、解聘有关教师和其他职1</w:t>
      </w:r>
    </w:p>
    <w:p>
      <w:pPr>
        <w:ind w:firstLine="646"/>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（九）</w:t>
      </w:r>
      <w:r>
        <w:rPr>
          <w:rFonts w:hint="eastAsia" w:ascii="仿宋_GB2312" w:eastAsia="仿宋_GB2312" w:cs="仿宋_GB2312"/>
          <w:kern w:val="0"/>
          <w:sz w:val="32"/>
          <w:szCs w:val="32"/>
        </w:rPr>
        <w:t>负责聘任、培训、考核教师，依法奖励或处分教师和其他职工</w:t>
      </w:r>
    </w:p>
    <w:p>
      <w:pPr>
        <w:ind w:firstLine="646"/>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（十）负责科学管理、合理使用学校的设施和经费并积极筹措资金，改善办学条件</w:t>
      </w:r>
      <w:r>
        <w:rPr>
          <w:rFonts w:hint="eastAsia" w:ascii="仿宋_GB2312" w:eastAsia="仿宋_GB2312" w:cs="仿宋_GB2312"/>
          <w:kern w:val="0"/>
          <w:sz w:val="32"/>
          <w:szCs w:val="32"/>
        </w:rPr>
        <w:t>。</w:t>
      </w:r>
    </w:p>
    <w:p>
      <w:pPr>
        <w:ind w:firstLine="646"/>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（十一）</w:t>
      </w:r>
      <w:r>
        <w:rPr>
          <w:rFonts w:hint="eastAsia" w:ascii="仿宋_GB2312" w:eastAsia="仿宋_GB2312" w:cs="仿宋_GB2312"/>
          <w:kern w:val="0"/>
          <w:sz w:val="32"/>
          <w:szCs w:val="32"/>
        </w:rPr>
        <w:t>负责维护学校、师生的合法权益，有权拒绝任何组织和个人对教育教学活动进行非法干</w:t>
      </w:r>
    </w:p>
    <w:p>
      <w:pPr>
        <w:ind w:firstLine="646"/>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（十二）</w:t>
      </w:r>
      <w:r>
        <w:rPr>
          <w:rFonts w:hint="eastAsia" w:ascii="仿宋_GB2312" w:eastAsia="仿宋_GB2312" w:cs="仿宋_GB2312"/>
          <w:kern w:val="0"/>
          <w:sz w:val="32"/>
          <w:szCs w:val="32"/>
        </w:rPr>
        <w:t>依法接受各级教育行政部门的检查指导和人民群众的监督</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620" w:firstLineChars="193"/>
        <w:textAlignment w:val="auto"/>
        <w:outlineLvl w:val="9"/>
        <w:rPr>
          <w:rFonts w:hint="eastAsia" w:ascii="宋体" w:hAnsi="宋体" w:eastAsia="宋体" w:cs="宋体"/>
          <w:b/>
          <w:bCs/>
          <w:color w:val="333333"/>
          <w:sz w:val="32"/>
          <w:szCs w:val="32"/>
        </w:rPr>
      </w:pPr>
      <w:r>
        <w:rPr>
          <w:rFonts w:hint="eastAsia" w:ascii="宋体" w:hAnsi="宋体" w:eastAsia="宋体" w:cs="宋体"/>
          <w:b/>
          <w:bCs/>
          <w:color w:val="333333"/>
          <w:sz w:val="32"/>
          <w:szCs w:val="32"/>
          <w:lang w:eastAsia="zh-CN"/>
        </w:rPr>
        <w:t>二、机构设置情况</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学校</w:t>
      </w:r>
      <w:r>
        <w:rPr>
          <w:rFonts w:hint="eastAsia" w:ascii="仿宋_GB2312" w:hAnsi="宋体" w:eastAsia="仿宋_GB2312" w:cs="宋体"/>
          <w:sz w:val="32"/>
          <w:szCs w:val="32"/>
          <w:lang w:eastAsia="zh-CN"/>
        </w:rPr>
        <w:t>有</w:t>
      </w:r>
      <w:r>
        <w:rPr>
          <w:rFonts w:hint="eastAsia" w:ascii="仿宋_GB2312" w:hAnsi="宋体" w:eastAsia="仿宋_GB2312" w:cs="宋体"/>
          <w:sz w:val="32"/>
          <w:szCs w:val="32"/>
          <w:lang w:val="en-US" w:eastAsia="zh-CN"/>
        </w:rPr>
        <w:t>七</w:t>
      </w:r>
      <w:r>
        <w:rPr>
          <w:rFonts w:hint="eastAsia" w:ascii="仿宋_GB2312" w:hAnsi="宋体" w:eastAsia="仿宋_GB2312" w:cs="宋体"/>
          <w:sz w:val="32"/>
          <w:szCs w:val="32"/>
          <w:lang w:eastAsia="zh-CN"/>
        </w:rPr>
        <w:t>个内设机构，分别为：党工委办公室、行政办公室、</w:t>
      </w:r>
      <w:r>
        <w:rPr>
          <w:rFonts w:hint="eastAsia" w:ascii="仿宋_GB2312" w:hAnsi="宋体" w:eastAsia="仿宋_GB2312" w:cs="宋体"/>
          <w:sz w:val="32"/>
          <w:szCs w:val="32"/>
          <w:lang w:val="en-US" w:eastAsia="zh-CN"/>
        </w:rPr>
        <w:t>工会室、安全办、政教处、教务处、总务处</w:t>
      </w:r>
      <w:r>
        <w:rPr>
          <w:rFonts w:hint="eastAsia" w:ascii="仿宋_GB2312" w:hAnsi="宋体" w:eastAsia="仿宋_GB2312" w:cs="宋体"/>
          <w:sz w:val="32"/>
          <w:szCs w:val="32"/>
          <w:lang w:eastAsia="zh-CN"/>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宋体" w:hAnsi="宋体" w:eastAsia="宋体" w:cs="宋体"/>
          <w:b/>
          <w:sz w:val="32"/>
          <w:szCs w:val="32"/>
        </w:rPr>
      </w:pPr>
      <w:r>
        <w:rPr>
          <w:rFonts w:hint="eastAsia" w:ascii="宋体" w:hAnsi="宋体" w:eastAsia="宋体" w:cs="宋体"/>
          <w:b/>
          <w:sz w:val="28"/>
          <w:szCs w:val="28"/>
          <w:lang w:val="en-US" w:eastAsia="zh-CN"/>
        </w:rPr>
        <w:t xml:space="preserve">   </w:t>
      </w:r>
      <w:r>
        <w:rPr>
          <w:rFonts w:hint="eastAsia" w:ascii="宋体" w:hAnsi="宋体" w:cs="宋体"/>
          <w:b/>
          <w:sz w:val="28"/>
          <w:szCs w:val="28"/>
          <w:lang w:val="en-US" w:eastAsia="zh-CN"/>
        </w:rPr>
        <w:t xml:space="preserve"> </w:t>
      </w:r>
      <w:r>
        <w:rPr>
          <w:rFonts w:hint="eastAsia" w:ascii="宋体" w:hAnsi="宋体" w:eastAsia="宋体" w:cs="宋体"/>
          <w:b/>
          <w:sz w:val="32"/>
          <w:szCs w:val="32"/>
          <w:lang w:eastAsia="zh-CN"/>
        </w:rPr>
        <w:t>三</w:t>
      </w:r>
      <w:r>
        <w:rPr>
          <w:rFonts w:hint="eastAsia" w:ascii="宋体" w:hAnsi="宋体" w:eastAsia="宋体" w:cs="宋体"/>
          <w:b/>
          <w:sz w:val="32"/>
          <w:szCs w:val="32"/>
        </w:rPr>
        <w:t>、</w:t>
      </w:r>
      <w:r>
        <w:rPr>
          <w:rFonts w:hint="eastAsia" w:ascii="宋体" w:hAnsi="宋体" w:eastAsia="宋体" w:cs="宋体"/>
          <w:b/>
          <w:sz w:val="32"/>
          <w:szCs w:val="32"/>
          <w:lang w:eastAsia="zh-CN"/>
        </w:rPr>
        <w:t>人员</w:t>
      </w:r>
      <w:r>
        <w:rPr>
          <w:rFonts w:hint="eastAsia" w:ascii="宋体" w:hAnsi="宋体" w:cs="宋体"/>
          <w:b/>
          <w:sz w:val="32"/>
          <w:szCs w:val="32"/>
          <w:lang w:eastAsia="zh-CN"/>
        </w:rPr>
        <w:t>构成</w:t>
      </w:r>
      <w:r>
        <w:rPr>
          <w:rFonts w:hint="eastAsia" w:ascii="宋体" w:hAnsi="宋体" w:eastAsia="宋体" w:cs="宋体"/>
          <w:b/>
          <w:sz w:val="32"/>
          <w:szCs w:val="32"/>
        </w:rPr>
        <w:t>情况</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640" w:firstLineChars="200"/>
        <w:textAlignment w:val="auto"/>
        <w:outlineLvl w:val="9"/>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20</w:t>
      </w:r>
      <w:r>
        <w:rPr>
          <w:rFonts w:hint="eastAsia" w:ascii="仿宋_GB2312" w:hAnsi="宋体" w:eastAsia="仿宋_GB2312" w:cs="宋体"/>
          <w:sz w:val="32"/>
          <w:szCs w:val="32"/>
          <w:lang w:val="en-US" w:eastAsia="zh-CN"/>
        </w:rPr>
        <w:t>22</w:t>
      </w:r>
      <w:r>
        <w:rPr>
          <w:rFonts w:hint="eastAsia" w:ascii="仿宋_GB2312" w:hAnsi="宋体" w:eastAsia="仿宋_GB2312" w:cs="宋体"/>
          <w:sz w:val="32"/>
          <w:szCs w:val="32"/>
          <w:lang w:eastAsia="zh-CN"/>
        </w:rPr>
        <w:t>年</w:t>
      </w:r>
      <w:r>
        <w:rPr>
          <w:rFonts w:hint="eastAsia" w:ascii="仿宋_GB2312" w:hAnsi="宋体" w:eastAsia="仿宋_GB2312" w:cs="宋体"/>
          <w:sz w:val="32"/>
          <w:szCs w:val="32"/>
          <w:lang w:val="en-US" w:eastAsia="zh-CN"/>
        </w:rPr>
        <w:t>学校</w:t>
      </w:r>
      <w:r>
        <w:rPr>
          <w:rFonts w:hint="eastAsia" w:ascii="仿宋_GB2312" w:hAnsi="宋体" w:eastAsia="仿宋_GB2312" w:cs="宋体"/>
          <w:sz w:val="32"/>
          <w:szCs w:val="32"/>
          <w:lang w:eastAsia="zh-CN"/>
        </w:rPr>
        <w:t>总编制人数</w:t>
      </w:r>
      <w:r>
        <w:rPr>
          <w:rFonts w:hint="eastAsia" w:ascii="仿宋_GB2312" w:hAnsi="宋体" w:eastAsia="仿宋_GB2312" w:cs="宋体"/>
          <w:sz w:val="32"/>
          <w:szCs w:val="32"/>
          <w:lang w:val="en-US" w:eastAsia="zh-CN"/>
        </w:rPr>
        <w:t>80</w:t>
      </w:r>
      <w:r>
        <w:rPr>
          <w:rFonts w:hint="eastAsia" w:ascii="仿宋_GB2312" w:hAnsi="宋体" w:eastAsia="仿宋_GB2312" w:cs="宋体"/>
          <w:sz w:val="32"/>
          <w:szCs w:val="32"/>
          <w:lang w:eastAsia="zh-CN"/>
        </w:rPr>
        <w:t>人，其中事业编制数</w:t>
      </w:r>
      <w:r>
        <w:rPr>
          <w:rFonts w:hint="eastAsia" w:ascii="仿宋_GB2312" w:hAnsi="宋体" w:eastAsia="仿宋_GB2312" w:cs="宋体"/>
          <w:sz w:val="32"/>
          <w:szCs w:val="32"/>
          <w:lang w:val="en-US" w:eastAsia="zh-CN"/>
        </w:rPr>
        <w:t>76</w:t>
      </w:r>
      <w:r>
        <w:rPr>
          <w:rFonts w:hint="eastAsia" w:ascii="仿宋_GB2312" w:hAnsi="宋体" w:eastAsia="仿宋_GB2312" w:cs="宋体"/>
          <w:sz w:val="32"/>
          <w:szCs w:val="32"/>
          <w:lang w:eastAsia="zh-CN"/>
        </w:rPr>
        <w:t>人</w:t>
      </w:r>
      <w:r>
        <w:rPr>
          <w:rFonts w:hint="eastAsia" w:ascii="仿宋_GB2312" w:hAnsi="宋体" w:eastAsia="仿宋_GB2312" w:cs="宋体"/>
          <w:sz w:val="32"/>
          <w:szCs w:val="32"/>
          <w:lang w:val="en-US" w:eastAsia="zh-CN"/>
        </w:rPr>
        <w:t>，</w:t>
      </w:r>
      <w:r>
        <w:rPr>
          <w:rFonts w:hint="eastAsia" w:ascii="仿宋_GB2312" w:eastAsia="仿宋_GB2312"/>
          <w:sz w:val="32"/>
          <w:szCs w:val="32"/>
        </w:rPr>
        <w:t>机关控制数</w:t>
      </w:r>
      <w:r>
        <w:rPr>
          <w:rFonts w:hint="eastAsia" w:ascii="仿宋_GB2312" w:eastAsia="仿宋_GB2312"/>
          <w:sz w:val="32"/>
          <w:szCs w:val="32"/>
          <w:lang w:val="en-US" w:eastAsia="zh-CN"/>
        </w:rPr>
        <w:t>4</w:t>
      </w:r>
      <w:r>
        <w:rPr>
          <w:rFonts w:hint="eastAsia" w:ascii="仿宋_GB2312" w:eastAsia="仿宋_GB2312"/>
          <w:sz w:val="32"/>
          <w:szCs w:val="32"/>
        </w:rPr>
        <w:t>人</w:t>
      </w:r>
      <w:r>
        <w:rPr>
          <w:rFonts w:hint="eastAsia" w:ascii="仿宋_GB2312" w:eastAsia="仿宋_GB2312"/>
          <w:sz w:val="32"/>
          <w:szCs w:val="32"/>
          <w:lang w:eastAsia="zh-CN"/>
        </w:rPr>
        <w:t>；</w:t>
      </w:r>
      <w:r>
        <w:rPr>
          <w:rFonts w:hint="eastAsia" w:ascii="仿宋_GB2312" w:hAnsi="宋体" w:eastAsia="仿宋_GB2312" w:cs="宋体"/>
          <w:sz w:val="32"/>
          <w:szCs w:val="32"/>
          <w:lang w:eastAsia="zh-CN"/>
        </w:rPr>
        <w:t>实有在职人数</w:t>
      </w:r>
      <w:r>
        <w:rPr>
          <w:rFonts w:hint="eastAsia" w:ascii="仿宋_GB2312" w:hAnsi="宋体" w:eastAsia="仿宋_GB2312" w:cs="宋体"/>
          <w:sz w:val="32"/>
          <w:szCs w:val="32"/>
          <w:lang w:val="en-US" w:eastAsia="zh-CN"/>
        </w:rPr>
        <w:t>78</w:t>
      </w:r>
      <w:r>
        <w:rPr>
          <w:rFonts w:hint="eastAsia" w:ascii="仿宋_GB2312" w:hAnsi="宋体" w:eastAsia="仿宋_GB2312" w:cs="宋体"/>
          <w:sz w:val="32"/>
          <w:szCs w:val="32"/>
          <w:lang w:eastAsia="zh-CN"/>
        </w:rPr>
        <w:t>人，其中事业在职</w:t>
      </w:r>
      <w:r>
        <w:rPr>
          <w:rFonts w:hint="eastAsia" w:ascii="仿宋_GB2312" w:hAnsi="宋体" w:eastAsia="仿宋_GB2312" w:cs="宋体"/>
          <w:sz w:val="32"/>
          <w:szCs w:val="32"/>
          <w:lang w:val="en-US" w:eastAsia="zh-CN"/>
        </w:rPr>
        <w:t>74</w:t>
      </w:r>
      <w:r>
        <w:rPr>
          <w:rFonts w:hint="eastAsia" w:ascii="仿宋_GB2312" w:hAnsi="宋体" w:eastAsia="仿宋_GB2312" w:cs="宋体"/>
          <w:sz w:val="32"/>
          <w:szCs w:val="32"/>
          <w:lang w:eastAsia="zh-CN"/>
        </w:rPr>
        <w:t>人，</w:t>
      </w:r>
      <w:r>
        <w:rPr>
          <w:rFonts w:hint="eastAsia" w:ascii="仿宋_GB2312" w:eastAsia="仿宋_GB2312"/>
          <w:sz w:val="32"/>
          <w:szCs w:val="32"/>
        </w:rPr>
        <w:t>控制数</w:t>
      </w:r>
      <w:r>
        <w:rPr>
          <w:rFonts w:hint="eastAsia" w:ascii="仿宋_GB2312" w:eastAsia="仿宋_GB2312"/>
          <w:sz w:val="32"/>
          <w:szCs w:val="32"/>
          <w:lang w:val="en-US" w:eastAsia="zh-CN"/>
        </w:rPr>
        <w:t>4</w:t>
      </w:r>
      <w:r>
        <w:rPr>
          <w:rFonts w:hint="eastAsia" w:ascii="仿宋_GB2312" w:eastAsia="仿宋_GB2312"/>
          <w:sz w:val="32"/>
          <w:szCs w:val="32"/>
        </w:rPr>
        <w:t>人</w:t>
      </w:r>
      <w:r>
        <w:rPr>
          <w:rFonts w:hint="eastAsia" w:ascii="仿宋_GB2312" w:hAnsi="宋体" w:eastAsia="仿宋_GB2312" w:cs="宋体"/>
          <w:sz w:val="32"/>
          <w:szCs w:val="32"/>
          <w:lang w:eastAsia="zh-CN"/>
        </w:rPr>
        <w:t>；退休人员</w:t>
      </w:r>
      <w:r>
        <w:rPr>
          <w:rFonts w:hint="eastAsia" w:ascii="仿宋_GB2312" w:hAnsi="宋体" w:eastAsia="仿宋_GB2312" w:cs="宋体"/>
          <w:sz w:val="32"/>
          <w:szCs w:val="32"/>
          <w:lang w:val="en-US" w:eastAsia="zh-CN"/>
        </w:rPr>
        <w:t>25</w:t>
      </w:r>
      <w:r>
        <w:rPr>
          <w:rFonts w:hint="eastAsia" w:ascii="仿宋_GB2312" w:hAnsi="宋体" w:eastAsia="仿宋_GB2312" w:cs="宋体"/>
          <w:sz w:val="32"/>
          <w:szCs w:val="32"/>
          <w:lang w:eastAsia="zh-CN"/>
        </w:rPr>
        <w:t>人。</w:t>
      </w:r>
    </w:p>
    <w:p>
      <w:pPr>
        <w:keepNext w:val="0"/>
        <w:keepLines w:val="0"/>
        <w:pageBreakBefore w:val="0"/>
        <w:kinsoku/>
        <w:wordWrap/>
        <w:overflowPunct/>
        <w:topLinePunct w:val="0"/>
        <w:autoSpaceDE/>
        <w:autoSpaceDN/>
        <w:bidi w:val="0"/>
        <w:adjustRightInd/>
        <w:snapToGrid/>
        <w:spacing w:line="440" w:lineRule="exact"/>
        <w:ind w:right="0" w:rightChars="0"/>
        <w:textAlignment w:val="auto"/>
        <w:outlineLvl w:val="9"/>
        <w:rPr>
          <w:rFonts w:hint="eastAsia" w:ascii="仿宋_GB2312" w:hAnsi="宋体" w:eastAsia="仿宋_GB2312" w:cs="宋体"/>
          <w:sz w:val="32"/>
          <w:szCs w:val="32"/>
          <w:lang w:eastAsia="zh-CN"/>
        </w:rPr>
        <w:sectPr>
          <w:headerReference r:id="rId5" w:type="default"/>
          <w:pgSz w:w="11906" w:h="16838"/>
          <w:pgMar w:top="1247" w:right="1417" w:bottom="1247" w:left="1417" w:header="851" w:footer="992" w:gutter="0"/>
          <w:cols w:space="720" w:num="1"/>
          <w:rtlGutter w:val="0"/>
          <w:docGrid w:type="lines" w:linePitch="312" w:charSpace="0"/>
        </w:sectPr>
      </w:pPr>
    </w:p>
    <w:p>
      <w:pPr>
        <w:ind w:firstLine="2560" w:firstLineChars="800"/>
        <w:jc w:val="both"/>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环江毛南族自治县第二小学</w:t>
      </w:r>
      <w:r>
        <w:rPr>
          <w:rFonts w:hint="eastAsia" w:ascii="黑体" w:hAnsi="黑体" w:eastAsia="黑体" w:cs="黑体"/>
          <w:sz w:val="32"/>
          <w:szCs w:val="32"/>
          <w:highlight w:val="none"/>
        </w:rPr>
        <w:t>2022年度部门决算报表</w:t>
      </w:r>
    </w:p>
    <w:tbl>
      <w:tblPr>
        <w:tblStyle w:val="6"/>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环江毛南族自治县第二小学</w:t>
            </w:r>
          </w:p>
        </w:tc>
        <w:tc>
          <w:tcPr>
            <w:tcW w:w="266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1217.42</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14.94</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839.42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111.93</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77.02</w:t>
            </w:r>
          </w:p>
        </w:tc>
      </w:tr>
      <w:tr>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174.11</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1217.42</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1217.42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1217.42</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1217.42</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环江毛南族自治县第二小学</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tblPrEx>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1217.42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1217.42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一般公共服务支出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14.94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14.94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群众团体事务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14.94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14.94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其他群众团体事务支出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14.94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14.94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教育支出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839.42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839.42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普通教育</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839.42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839.42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小学教育</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790.66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790.66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其他普通教育支出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48.77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48.77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社会保障和就业支出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111.93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111.93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行政事业单位养老支出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111.93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111.93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111.93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111.93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住房保障支出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77.02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77.02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住房改革支出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77.02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77.02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77.02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77.02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174.11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174.11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174.11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174.11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174.11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174.11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环江毛南族自治县第二小学</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1217.42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1113.02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104.40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一般公共服务支出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14.94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14.94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群众团体事务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14.94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14.94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其他群众团体事务支出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14.94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14.94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教育支出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839.42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789.56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49.86</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普通教育</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839.42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789.56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49.86</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小学教育</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790.66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789.56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1.09</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其他普通教育支出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48.77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48.77</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社会保障和就业支出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111.93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111.93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行政事业单位养老支出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111.93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111.93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111.93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111.93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住房保障支出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77.02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77.02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住房改革支出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77.02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77.02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77.02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77.02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174.11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119.57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54.54</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174.11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119.57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54.54</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174.11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119.57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54.54</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6"/>
        <w:tblW w:w="4966" w:type="pct"/>
        <w:tblInd w:w="0" w:type="dxa"/>
        <w:tblLayout w:type="fixed"/>
        <w:tblCellMar>
          <w:top w:w="0" w:type="dxa"/>
          <w:left w:w="108" w:type="dxa"/>
          <w:bottom w:w="0" w:type="dxa"/>
          <w:right w:w="108" w:type="dxa"/>
        </w:tblCellMar>
      </w:tblPr>
      <w:tblGrid>
        <w:gridCol w:w="2214"/>
        <w:gridCol w:w="785"/>
        <w:gridCol w:w="1307"/>
        <w:gridCol w:w="2360"/>
        <w:gridCol w:w="853"/>
        <w:gridCol w:w="1088"/>
        <w:gridCol w:w="1773"/>
        <w:gridCol w:w="1803"/>
        <w:gridCol w:w="1894"/>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056"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环江毛南族自治县第二小学</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1217.42</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14.94</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14.94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839.42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839.42</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111.93</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111.93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77.02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77.02</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174.11</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174.11</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1217.42</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1217.42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1217.42</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1217.42</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1217.42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1217.42</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67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环江毛南族自治县第二小学</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1217.42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1113.02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104.40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一般公共服务支出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14.94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14.94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20129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群众团体事务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14.94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14.94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其他群众团体事务支出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14.94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14.94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教育支出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839.42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789.56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49.86</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普通教育</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839.42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789.56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49.86</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2050202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小学教育</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790.66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789.56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1.09</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2050299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其他普通教育支出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48.77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48.77</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社会保障和就业支出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111.93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111.93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行政事业单位养老支出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111.93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111.93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111.93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111.93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住房保障支出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77.02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77.02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住房改革支出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77.02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77.02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77.02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77.02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174.11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119.57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54.54</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174.11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119.57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54.54</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2299999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174.11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119.57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54.54</w:t>
            </w: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环江毛南族自治县第二小学</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工资福利支出</w:t>
            </w:r>
            <w:bookmarkStart w:id="0" w:name="OLE_LINK3"/>
            <w:bookmarkStart w:id="1" w:name="OLE_LINK4"/>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1016.39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47.75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443.59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14.43</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28.41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120.17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170.43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4.24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111.93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6.13</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4.59</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49.43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7.30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1.41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84.22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2.01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0.90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48.89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8.73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40.16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14.94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1065.28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47.75</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环江毛南族自治县第二小学</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注：本表反映部门本年度政府性基金预算财政拨款收入、支出及结转和结余情况。</w:t>
            </w:r>
          </w:p>
          <w:p>
            <w:pPr>
              <w:keepNext w:val="0"/>
              <w:keepLines w:val="0"/>
              <w:widowControl w:val="0"/>
              <w:suppressLineNumbers w:val="0"/>
              <w:spacing w:before="0" w:beforeAutospacing="0" w:after="0" w:afterAutospacing="0"/>
              <w:ind w:left="0" w:right="0"/>
              <w:jc w:val="both"/>
              <w:rPr>
                <w:rFonts w:hint="default"/>
                <w:color w:val="auto"/>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环江毛南族自治县第二小学</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财政拨款“三公”经费支出决算表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环江毛南族自治县第二小学</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default"/>
                <w:highlight w:val="none"/>
              </w:rPr>
              <w:t>0.00</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w:t>
            </w:r>
            <w:r>
              <w:rPr>
                <w:rFonts w:hint="eastAsia" w:ascii="宋体" w:hAnsi="宋体" w:eastAsia="宋体" w:cs="宋体"/>
                <w:color w:val="auto"/>
                <w:kern w:val="0"/>
                <w:sz w:val="22"/>
                <w:szCs w:val="22"/>
                <w:highlight w:val="none"/>
                <w:lang w:bidi="ar"/>
              </w:rPr>
              <w:t>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年度没有财政拨款“三公”经费收入，也没有财政拨款“三公”经费安排的支出，故本表无数据。</w:t>
            </w: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环江毛南族自治县第二小学</w:t>
      </w:r>
      <w:r>
        <w:rPr>
          <w:rFonts w:hint="eastAsia" w:ascii="黑体" w:hAnsi="黑体" w:eastAsia="黑体" w:cs="黑体"/>
          <w:sz w:val="32"/>
          <w:szCs w:val="32"/>
          <w:highlight w:val="none"/>
        </w:rPr>
        <w:t>2022年度部门决算情况说明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一、2022年度收入支出决算总体情况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（一）本部门2022年度总收入</w:t>
      </w:r>
      <w:r>
        <w:rPr>
          <w:rFonts w:ascii="仿宋" w:hAnsi="仿宋" w:eastAsia="仿宋" w:cs="仿宋"/>
          <w:sz w:val="32"/>
          <w:u w:color="auto"/>
        </w:rPr>
        <w:t>1217.42</w:t>
      </w:r>
      <w:r>
        <w:rPr>
          <w:rFonts w:hint="eastAsia" w:ascii="仿宋" w:hAnsi="仿宋" w:eastAsia="仿宋" w:cs="仿宋"/>
          <w:sz w:val="32"/>
          <w:szCs w:val="32"/>
          <w:highlight w:val="none"/>
        </w:rPr>
        <w:t>万元，较2021年度决算数</w:t>
      </w:r>
      <w:r>
        <w:rPr>
          <w:rFonts w:ascii="仿宋" w:hAnsi="仿宋" w:eastAsia="仿宋" w:cs="仿宋"/>
          <w:sz w:val="32"/>
          <w:u w:color="auto"/>
        </w:rPr>
        <w:t>减少219.91</w:t>
      </w:r>
      <w:r>
        <w:rPr>
          <w:rFonts w:hint="eastAsia" w:ascii="仿宋" w:hAnsi="仿宋" w:eastAsia="仿宋" w:cs="仿宋"/>
          <w:sz w:val="32"/>
          <w:szCs w:val="32"/>
          <w:highlight w:val="none"/>
        </w:rPr>
        <w:t>万元，</w:t>
      </w:r>
      <w:r>
        <w:rPr>
          <w:rFonts w:ascii="仿宋" w:hAnsi="仿宋" w:eastAsia="仿宋" w:cs="仿宋"/>
          <w:sz w:val="32"/>
          <w:u w:color="auto"/>
        </w:rPr>
        <w:t>下降15.30%</w:t>
      </w:r>
      <w:r>
        <w:rPr>
          <w:rFonts w:hint="eastAsia" w:ascii="仿宋" w:hAnsi="仿宋" w:eastAsia="仿宋" w:cs="仿宋"/>
          <w:sz w:val="32"/>
          <w:szCs w:val="32"/>
          <w:highlight w:val="none"/>
        </w:rPr>
        <w:t>，其中本年收入</w:t>
      </w:r>
      <w:r>
        <w:rPr>
          <w:rFonts w:ascii="仿宋" w:hAnsi="仿宋" w:eastAsia="仿宋" w:cs="仿宋"/>
          <w:sz w:val="32"/>
          <w:u w:color="auto"/>
        </w:rPr>
        <w:t>1217.42</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华文仿宋" w:hAnsi="华文仿宋" w:eastAsia="华文仿宋" w:cs="华文仿宋"/>
          <w:kern w:val="0"/>
          <w:sz w:val="32"/>
          <w:szCs w:val="32"/>
          <w:lang w:val="en-US" w:eastAsia="zh-CN"/>
        </w:rPr>
      </w:pPr>
      <w:r>
        <w:rPr>
          <w:rFonts w:hint="eastAsia" w:ascii="仿宋" w:hAnsi="仿宋" w:eastAsia="仿宋" w:cs="仿宋"/>
          <w:kern w:val="2"/>
          <w:sz w:val="32"/>
          <w:szCs w:val="32"/>
          <w:highlight w:val="none"/>
          <w:lang w:val="en-US" w:eastAsia="zh-CN" w:bidi="ar"/>
        </w:rPr>
        <w:t>1.一般公共预算财政拨款收入</w:t>
      </w:r>
      <w:r>
        <w:rPr>
          <w:rFonts w:ascii="仿宋" w:hAnsi="仿宋" w:eastAsia="仿宋" w:cs="仿宋"/>
          <w:sz w:val="32"/>
          <w:u w:color="auto"/>
        </w:rPr>
        <w:t>1217.42</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u w:color="auto"/>
        </w:rPr>
        <w:t>减少154.82</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下降11.28%</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华文仿宋" w:hAnsi="华文仿宋" w:eastAsia="华文仿宋" w:cs="华文仿宋"/>
          <w:kern w:val="0"/>
          <w:sz w:val="32"/>
          <w:szCs w:val="32"/>
          <w:lang w:val="en-US" w:eastAsia="zh-CN"/>
        </w:rPr>
        <w:t>上级专款收入减少。</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主要原因：无</w:t>
      </w:r>
      <w:r>
        <w:rPr>
          <w:rFonts w:hint="eastAsia" w:ascii="仿宋" w:hAnsi="仿宋" w:eastAsia="仿宋" w:cs="仿宋"/>
          <w:kern w:val="2"/>
          <w:sz w:val="32"/>
          <w:szCs w:val="32"/>
          <w:highlight w:val="none"/>
          <w:lang w:val="en-US" w:eastAsia="zh-CN" w:bidi="ar"/>
        </w:rPr>
        <w:t>政府性基金。</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主要原因是：无</w:t>
      </w:r>
      <w:r>
        <w:rPr>
          <w:rFonts w:hint="eastAsia" w:ascii="仿宋" w:hAnsi="仿宋" w:eastAsia="仿宋" w:cs="仿宋"/>
          <w:kern w:val="2"/>
          <w:sz w:val="32"/>
          <w:szCs w:val="32"/>
          <w:highlight w:val="none"/>
          <w:lang w:val="en-US" w:eastAsia="zh-CN" w:bidi="ar"/>
        </w:rPr>
        <w:t>国有资本经营。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万元，为上级部门当年拨付的资金。较2021年度决算数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本单位没有上级补助收入。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本单位没有事业收入。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6.经营收入0.00万,为事业单位在业务活动之外开展非独立核算经营活动取得的收入。较2021年度决算数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：本单位无附属单位上缴收入。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8.其他收入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：本单位没有非财政拨款结余。</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10.上年结转和结余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万元，为以前年度支出预算因客观条件变化未执行完毕、结转到本年度按有关规定继续使用的资金。较2021年度决算数</w:t>
      </w:r>
      <w:r>
        <w:rPr>
          <w:rFonts w:ascii="仿宋" w:hAnsi="仿宋" w:eastAsia="仿宋" w:cs="仿宋"/>
          <w:sz w:val="32"/>
          <w:u w:color="auto"/>
        </w:rPr>
        <w:t>减少65.08</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下降100.00%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部分项目已在本年执行完毕，不需要结转至下年继续执行。</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305810"/>
            <wp:effectExtent l="4445" t="4445" r="20955" b="234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（二）本部门2022年度总支出</w:t>
      </w:r>
      <w:r>
        <w:rPr>
          <w:rFonts w:ascii="仿宋" w:hAnsi="仿宋" w:eastAsia="仿宋" w:cs="仿宋"/>
          <w:sz w:val="32"/>
          <w:u w:color="auto"/>
        </w:rPr>
        <w:t>1217.42</w:t>
      </w:r>
      <w:r>
        <w:rPr>
          <w:rFonts w:hint="eastAsia" w:ascii="仿宋" w:hAnsi="仿宋" w:eastAsia="仿宋" w:cs="仿宋"/>
          <w:sz w:val="32"/>
          <w:szCs w:val="32"/>
          <w:highlight w:val="none"/>
        </w:rPr>
        <w:t>万元，其中本年支出</w:t>
      </w:r>
      <w:r>
        <w:rPr>
          <w:rFonts w:ascii="仿宋" w:hAnsi="仿宋" w:eastAsia="仿宋" w:cs="仿宋"/>
          <w:sz w:val="32"/>
          <w:u w:color="auto"/>
        </w:rPr>
        <w:t>1217.42</w:t>
      </w:r>
      <w:r>
        <w:rPr>
          <w:rFonts w:hint="eastAsia" w:ascii="仿宋" w:hAnsi="仿宋" w:eastAsia="仿宋" w:cs="仿宋"/>
          <w:sz w:val="32"/>
          <w:szCs w:val="32"/>
          <w:highlight w:val="none"/>
        </w:rPr>
        <w:t>万元，较2021年度决算数</w:t>
      </w:r>
      <w:r>
        <w:rPr>
          <w:rFonts w:ascii="仿宋" w:hAnsi="仿宋" w:eastAsia="仿宋" w:cs="仿宋"/>
          <w:sz w:val="32"/>
          <w:u w:color="auto"/>
        </w:rPr>
        <w:t>减少219.91</w:t>
      </w:r>
      <w:r>
        <w:rPr>
          <w:rFonts w:hint="eastAsia" w:ascii="仿宋" w:hAnsi="仿宋" w:eastAsia="仿宋" w:cs="仿宋"/>
          <w:sz w:val="32"/>
          <w:szCs w:val="32"/>
          <w:highlight w:val="none"/>
        </w:rPr>
        <w:t>万元，</w:t>
      </w:r>
      <w:r>
        <w:rPr>
          <w:rFonts w:ascii="仿宋" w:hAnsi="仿宋" w:eastAsia="仿宋" w:cs="仿宋"/>
          <w:sz w:val="32"/>
          <w:u w:color="auto"/>
        </w:rPr>
        <w:t>下降15.30%</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14.94</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FF0000"/>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工会经费</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增加14.94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增长100%</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年初无工会经费预算，在年中经费结算时才进行工会经费的调整预算。</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教育支出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205</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839.42</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人员经费，</w:t>
      </w:r>
      <w:r>
        <w:rPr>
          <w:rFonts w:hint="eastAsia" w:ascii="仿宋" w:hAnsi="仿宋" w:eastAsia="仿宋" w:cs="仿宋"/>
          <w:color w:val="auto"/>
          <w:sz w:val="32"/>
          <w:szCs w:val="32"/>
          <w:lang w:val="en-US" w:eastAsia="zh-CN"/>
        </w:rPr>
        <w:t>学校日常办公、水电费、网络费、日常维修、教师培训出差等经费</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减少50.99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下降5.73%</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是：退休人员增加，在职人员经费相对减少。学校校舍需要维修的项目不多，投入的资金比上年减少，压缩经费支出，坚持执行“过紧日子”的思想。</w:t>
      </w:r>
    </w:p>
    <w:p>
      <w:pPr>
        <w:keepNext w:val="0"/>
        <w:keepLines w:val="0"/>
        <w:widowControl w:val="0"/>
        <w:suppressLineNumbers w:val="0"/>
        <w:spacing w:before="0" w:beforeAutospacing="0" w:after="0" w:afterAutospacing="0"/>
        <w:ind w:left="0" w:right="0" w:firstLine="960" w:firstLineChars="3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111.93</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缴纳教职工养老、医疗、工伤、失业保险费支出</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减少24.50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下降17.96%</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 在职</w:t>
      </w:r>
      <w:r>
        <w:rPr>
          <w:rFonts w:hint="eastAsia" w:ascii="仿宋" w:hAnsi="仿宋" w:eastAsia="仿宋" w:cs="仿宋"/>
          <w:color w:val="auto"/>
          <w:kern w:val="2"/>
          <w:sz w:val="32"/>
          <w:szCs w:val="32"/>
          <w:highlight w:val="none"/>
          <w:lang w:val="en-US" w:eastAsia="zh-CN" w:bidi="ar"/>
        </w:rPr>
        <w:t>人员减少，全年社会保障缴费比去年有所减少。</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sz w:val="32"/>
          <w:szCs w:val="32"/>
          <w:highlight w:val="none"/>
        </w:rPr>
        <w:t>4</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77.02</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住房公积金</w:t>
      </w:r>
      <w:r>
        <w:rPr>
          <w:rFonts w:hint="eastAsia" w:ascii="仿宋" w:hAnsi="仿宋" w:eastAsia="仿宋" w:cs="仿宋"/>
          <w:color w:val="auto"/>
          <w:sz w:val="32"/>
          <w:szCs w:val="32"/>
          <w:highlight w:val="none"/>
        </w:rPr>
        <w:t>。较2021年度决算数</w:t>
      </w:r>
      <w:r>
        <w:rPr>
          <w:rFonts w:hint="eastAsia" w:ascii="仿宋" w:hAnsi="仿宋" w:eastAsia="仿宋" w:cs="仿宋"/>
          <w:color w:val="auto"/>
          <w:sz w:val="32"/>
          <w:szCs w:val="32"/>
          <w:highlight w:val="none"/>
          <w:lang w:bidi="ar"/>
        </w:rPr>
        <w:t>增加6.12</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增长8.63%</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主要原因是：2022年教师住房公积金缴纳基数比2021年有了提高。</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t>5</w:t>
      </w:r>
      <w:r>
        <w:rPr>
          <w:rFonts w:ascii="仿宋" w:hAnsi="仿宋" w:eastAsia="仿宋" w:cs="仿宋"/>
          <w:sz w:val="32"/>
          <w:u w:color="auto"/>
        </w:rPr>
        <w:t>.</w:t>
      </w:r>
      <w:r>
        <w:rPr>
          <w:rFonts w:hint="eastAsia" w:ascii="仿宋" w:hAnsi="仿宋" w:eastAsia="仿宋" w:cs="仿宋"/>
          <w:sz w:val="32"/>
          <w:szCs w:val="32"/>
          <w:highlight w:val="none"/>
          <w:lang w:bidi="ar"/>
        </w:rPr>
        <w:t>其他支出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229</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174.11</w:t>
      </w:r>
      <w:r>
        <w:rPr>
          <w:rFonts w:hint="eastAsia" w:ascii="仿宋" w:hAnsi="仿宋" w:eastAsia="仿宋" w:cs="仿宋"/>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i w:val="0"/>
          <w:iCs w:val="0"/>
          <w:color w:val="auto"/>
          <w:sz w:val="30"/>
          <w:szCs w:val="30"/>
          <w:highlight w:val="none"/>
          <w:u w:val="none"/>
          <w:lang w:val="en-US" w:eastAsia="zh-CN"/>
        </w:rPr>
        <w:t>工资福利及对个人和家庭补助支出。</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减少165.48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下降48.73%</w:t>
      </w:r>
      <w:r>
        <w:rPr>
          <w:rFonts w:hint="eastAsia" w:ascii="仿宋" w:hAnsi="仿宋" w:eastAsia="仿宋" w:cs="仿宋"/>
          <w:sz w:val="32"/>
          <w:szCs w:val="32"/>
          <w:highlight w:val="none"/>
          <w:lang w:eastAsia="zh-CN" w:bidi="ar"/>
        </w:rPr>
        <w:t>。</w:t>
      </w:r>
      <w:r>
        <w:rPr>
          <w:rFonts w:hint="eastAsia" w:ascii="仿宋" w:hAnsi="仿宋" w:eastAsia="仿宋" w:cs="仿宋"/>
          <w:color w:val="auto"/>
          <w:kern w:val="2"/>
          <w:sz w:val="32"/>
          <w:szCs w:val="32"/>
          <w:highlight w:val="none"/>
          <w:lang w:val="en-US" w:eastAsia="zh-CN" w:bidi="ar"/>
        </w:rPr>
        <w:t>主要原因是：当年有退休人员增加， 在职教职工人数减少。</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年末结转和结余</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。较2021年度决算数</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ascii="仿宋" w:hAnsi="仿宋" w:eastAsia="仿宋" w:cs="仿宋"/>
          <w:sz w:val="32"/>
          <w:u w:color="auto"/>
        </w:rPr>
        <w:t>增长0%</w:t>
      </w:r>
      <w:r>
        <w:rPr>
          <w:rFonts w:hint="eastAsia" w:ascii="仿宋" w:hAnsi="仿宋" w:eastAsia="仿宋" w:cs="仿宋"/>
          <w:sz w:val="32"/>
          <w:szCs w:val="32"/>
          <w:highlight w:val="none"/>
          <w:lang w:eastAsia="zh-CN"/>
        </w:rPr>
        <w:t>。</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5715" b="571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二、2022 年度</w:t>
      </w:r>
      <w:bookmarkStart w:id="2" w:name="OLE_LINK1"/>
      <w:r>
        <w:rPr>
          <w:rFonts w:hint="eastAsia" w:ascii="黑体" w:hAnsi="黑体" w:eastAsia="黑体" w:cs="黑体"/>
          <w:sz w:val="32"/>
          <w:szCs w:val="32"/>
          <w:highlight w:val="none"/>
        </w:rPr>
        <w:t>一般公共预算财政拨款支出决算情况</w:t>
      </w:r>
      <w:bookmarkEnd w:id="2"/>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环江毛南族自治县第二小学2022年度一般公共预算财政拨款支出</w:t>
      </w:r>
      <w:r>
        <w:rPr>
          <w:rFonts w:ascii="仿宋" w:hAnsi="仿宋" w:eastAsia="仿宋" w:cs="仿宋"/>
          <w:sz w:val="32"/>
          <w:u w:color="auto"/>
        </w:rPr>
        <w:t>1217.42</w:t>
      </w:r>
      <w:r>
        <w:rPr>
          <w:rFonts w:hint="eastAsia" w:ascii="仿宋" w:hAnsi="仿宋" w:eastAsia="仿宋" w:cs="仿宋"/>
          <w:sz w:val="32"/>
          <w:szCs w:val="32"/>
          <w:highlight w:val="none"/>
        </w:rPr>
        <w:t>万元，较2021年度决算数</w:t>
      </w:r>
      <w:r>
        <w:rPr>
          <w:rFonts w:ascii="仿宋" w:hAnsi="仿宋" w:eastAsia="仿宋" w:cs="仿宋"/>
          <w:sz w:val="32"/>
          <w:u w:color="auto"/>
        </w:rPr>
        <w:t>减少219.91</w:t>
      </w:r>
      <w:r>
        <w:rPr>
          <w:rFonts w:hint="eastAsia" w:ascii="仿宋" w:hAnsi="仿宋" w:eastAsia="仿宋" w:cs="仿宋"/>
          <w:sz w:val="32"/>
          <w:szCs w:val="32"/>
          <w:highlight w:val="none"/>
        </w:rPr>
        <w:t>万元，</w:t>
      </w:r>
      <w:r>
        <w:rPr>
          <w:rFonts w:ascii="仿宋" w:hAnsi="仿宋" w:eastAsia="仿宋" w:cs="仿宋"/>
          <w:sz w:val="32"/>
          <w:u w:color="auto"/>
        </w:rPr>
        <w:t>下降15.30%</w:t>
      </w:r>
      <w:r>
        <w:rPr>
          <w:rFonts w:hint="eastAsia" w:ascii="仿宋" w:hAnsi="仿宋" w:eastAsia="仿宋" w:cs="仿宋"/>
          <w:sz w:val="32"/>
          <w:szCs w:val="32"/>
          <w:highlight w:val="none"/>
        </w:rPr>
        <w:t>。其中：基本支出</w:t>
      </w:r>
      <w:r>
        <w:rPr>
          <w:rFonts w:ascii="仿宋" w:hAnsi="仿宋" w:eastAsia="仿宋" w:cs="仿宋"/>
          <w:sz w:val="32"/>
          <w:u w:color="auto"/>
        </w:rPr>
        <w:t>1113.02</w:t>
      </w:r>
      <w:r>
        <w:rPr>
          <w:rFonts w:hint="eastAsia" w:ascii="仿宋" w:hAnsi="仿宋" w:eastAsia="仿宋" w:cs="仿宋"/>
          <w:sz w:val="32"/>
          <w:szCs w:val="32"/>
          <w:highlight w:val="none"/>
        </w:rPr>
        <w:t>万元，项目支出</w:t>
      </w:r>
      <w:r>
        <w:rPr>
          <w:rFonts w:ascii="仿宋" w:hAnsi="仿宋" w:eastAsia="仿宋" w:cs="仿宋"/>
          <w:sz w:val="32"/>
          <w:u w:color="auto"/>
        </w:rPr>
        <w:t>104.40</w:t>
      </w:r>
      <w:r>
        <w:rPr>
          <w:rFonts w:hint="eastAsia" w:ascii="仿宋" w:hAnsi="仿宋" w:eastAsia="仿宋" w:cs="仿宋"/>
          <w:sz w:val="32"/>
          <w:szCs w:val="32"/>
          <w:highlight w:val="none"/>
        </w:rPr>
        <w:t>万元。</w:t>
      </w:r>
    </w:p>
    <w:p>
      <w:pPr>
        <w:ind w:firstLine="640" w:firstLineChars="200"/>
        <w:jc w:val="left"/>
        <w:rPr>
          <w:rFonts w:ascii="仿宋" w:hAnsi="仿宋" w:eastAsia="仿宋"/>
          <w:sz w:val="32"/>
          <w:szCs w:val="32"/>
          <w:highlight w:val="none"/>
        </w:rPr>
      </w:pPr>
      <w:r>
        <w:rPr>
          <w:rFonts w:hint="eastAsia" w:ascii="仿宋" w:hAnsi="仿宋" w:eastAsia="仿宋" w:cs="仿宋"/>
          <w:sz w:val="32"/>
          <w:szCs w:val="32"/>
          <w:highlight w:val="none"/>
        </w:rPr>
        <w:t>环江毛南族自治县第二小学2022 年度一般公共预算财政拨款支出年初预算为</w:t>
      </w:r>
      <w:r>
        <w:rPr>
          <w:rFonts w:ascii="仿宋" w:hAnsi="仿宋" w:eastAsia="仿宋" w:cs="仿宋"/>
          <w:sz w:val="32"/>
          <w:u w:color="auto"/>
        </w:rPr>
        <w:t>972.53</w:t>
      </w:r>
      <w:r>
        <w:rPr>
          <w:rFonts w:hint="eastAsia" w:ascii="仿宋" w:hAnsi="仿宋" w:eastAsia="仿宋" w:cs="仿宋"/>
          <w:sz w:val="32"/>
          <w:szCs w:val="32"/>
          <w:highlight w:val="none"/>
        </w:rPr>
        <w:t>万元，支出决算为</w:t>
      </w:r>
      <w:r>
        <w:rPr>
          <w:rFonts w:ascii="仿宋" w:hAnsi="仿宋" w:eastAsia="仿宋" w:cs="仿宋"/>
          <w:sz w:val="32"/>
          <w:u w:color="auto"/>
        </w:rPr>
        <w:t>1217.42</w:t>
      </w:r>
      <w:r>
        <w:rPr>
          <w:rFonts w:hint="eastAsia" w:ascii="仿宋" w:hAnsi="仿宋" w:eastAsia="仿宋" w:cs="仿宋"/>
          <w:sz w:val="32"/>
          <w:szCs w:val="32"/>
          <w:highlight w:val="none"/>
        </w:rPr>
        <w:t>万元，完成年初预算的</w:t>
      </w:r>
      <w:r>
        <w:rPr>
          <w:rFonts w:ascii="仿宋" w:hAnsi="仿宋" w:eastAsia="仿宋" w:cs="仿宋"/>
          <w:sz w:val="32"/>
          <w:u w:color="auto"/>
        </w:rPr>
        <w:t>125.18%</w:t>
      </w:r>
      <w:r>
        <w:rPr>
          <w:rFonts w:hint="eastAsia" w:ascii="仿宋" w:hAnsi="仿宋" w:eastAsia="仿宋" w:cs="仿宋"/>
          <w:sz w:val="32"/>
          <w:szCs w:val="32"/>
          <w:highlight w:val="none"/>
        </w:rPr>
        <w:t>。</w:t>
      </w:r>
      <w:bookmarkStart w:id="3" w:name="OLE_LINK2"/>
      <w:bookmarkEnd w:id="3"/>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ascii="仿宋" w:hAnsi="仿宋" w:eastAsia="仿宋"/>
          <w:sz w:val="32"/>
          <w:szCs w:val="32"/>
          <w:highlight w:val="none"/>
        </w:rPr>
        <w:t>14.94</w:t>
      </w:r>
      <w:r>
        <w:rPr>
          <w:rFonts w:hint="eastAsia" w:ascii="仿宋" w:hAnsi="仿宋" w:eastAsia="仿宋"/>
          <w:sz w:val="32"/>
          <w:szCs w:val="32"/>
          <w:highlight w:val="none"/>
        </w:rPr>
        <w:t>万元，支出决算为</w:t>
      </w:r>
      <w:r>
        <w:rPr>
          <w:rFonts w:ascii="仿宋" w:hAnsi="仿宋" w:eastAsia="仿宋"/>
          <w:sz w:val="32"/>
          <w:szCs w:val="32"/>
          <w:highlight w:val="none"/>
        </w:rPr>
        <w:t>14.94</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14.94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14.94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工会经费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14.94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14.94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教育支出</w:t>
      </w:r>
      <w:r>
        <w:rPr>
          <w:rFonts w:ascii="仿宋" w:hAnsi="仿宋" w:eastAsia="仿宋"/>
          <w:sz w:val="32"/>
          <w:u w:color="auto"/>
        </w:rPr>
        <w:t>（205</w:t>
      </w:r>
      <w:r>
        <w:rPr>
          <w:rFonts w:hint="eastAsia" w:ascii="仿宋" w:hAnsi="仿宋" w:eastAsia="仿宋"/>
          <w:sz w:val="32"/>
          <w:szCs w:val="32"/>
          <w:highlight w:val="none"/>
        </w:rPr>
        <w:t>类）年初预算为</w:t>
      </w:r>
      <w:r>
        <w:rPr>
          <w:rFonts w:ascii="仿宋" w:hAnsi="仿宋" w:eastAsia="仿宋"/>
          <w:sz w:val="32"/>
          <w:szCs w:val="32"/>
          <w:highlight w:val="none"/>
        </w:rPr>
        <w:t>748.48</w:t>
      </w:r>
      <w:r>
        <w:rPr>
          <w:rFonts w:hint="eastAsia" w:ascii="仿宋" w:hAnsi="仿宋" w:eastAsia="仿宋"/>
          <w:sz w:val="32"/>
          <w:szCs w:val="32"/>
          <w:highlight w:val="none"/>
        </w:rPr>
        <w:t>万元，支出决算为</w:t>
      </w:r>
      <w:r>
        <w:rPr>
          <w:rFonts w:ascii="仿宋" w:hAnsi="仿宋" w:eastAsia="仿宋"/>
          <w:sz w:val="32"/>
          <w:szCs w:val="32"/>
          <w:highlight w:val="none"/>
        </w:rPr>
        <w:t>839.42</w:t>
      </w:r>
      <w:r>
        <w:rPr>
          <w:rFonts w:hint="eastAsia" w:ascii="仿宋" w:hAnsi="仿宋" w:eastAsia="仿宋"/>
          <w:sz w:val="32"/>
          <w:szCs w:val="32"/>
          <w:highlight w:val="none"/>
        </w:rPr>
        <w:t>万元，完成年初预算的</w:t>
      </w:r>
      <w:r>
        <w:rPr>
          <w:rFonts w:ascii="仿宋" w:hAnsi="仿宋" w:eastAsia="仿宋"/>
          <w:sz w:val="32"/>
          <w:szCs w:val="32"/>
          <w:highlight w:val="none"/>
        </w:rPr>
        <w:t>112.15%</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olor w:val="auto"/>
          <w:sz w:val="32"/>
          <w:szCs w:val="32"/>
          <w:highlight w:val="none"/>
          <w:lang w:val="en-US" w:eastAsia="zh-CN"/>
        </w:rPr>
        <w:t>调整基本工资标准、岗位工资变动及正常晋薪工资的发放。</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2050202</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小学教育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748.48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790.66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105.64%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工资福利、商品服务、对个人和家庭补助支出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olor w:val="auto"/>
                <w:sz w:val="18"/>
                <w:szCs w:val="18"/>
                <w:highlight w:val="none"/>
                <w:lang w:val="en-US" w:eastAsia="zh-CN"/>
              </w:rPr>
              <w:t>调整基本工资标准、岗位工资变动及正常晋薪工资的发放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其他普通教育支出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48.77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工资福利、商品服务、对个人和家庭补助支出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olor w:val="auto"/>
                <w:sz w:val="18"/>
                <w:szCs w:val="18"/>
                <w:highlight w:val="none"/>
                <w:lang w:val="en-US" w:eastAsia="zh-CN"/>
              </w:rPr>
              <w:t>调整基本工资标准、岗位工资变动及正常晋薪工资的发放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748.48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839.42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suppressLineNumbers w:val="0"/>
        <w:spacing w:before="0" w:beforeAutospacing="0" w:after="0" w:afterAutospacing="0"/>
        <w:ind w:left="0" w:right="0" w:firstLine="640" w:firstLineChars="200"/>
        <w:jc w:val="left"/>
        <w:rPr>
          <w:rFonts w:hint="eastAsia" w:eastAsia="仿宋"/>
          <w:color w:val="FF0000"/>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三</w:t>
      </w:r>
      <w:r>
        <w:rPr>
          <w:rFonts w:hint="eastAsia" w:ascii="仿宋" w:hAnsi="仿宋" w:eastAsia="仿宋"/>
          <w:sz w:val="32"/>
          <w:szCs w:val="32"/>
          <w:highlight w:val="none"/>
          <w:lang w:eastAsia="zh-CN"/>
        </w:rPr>
        <w:t>）</w:t>
      </w: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ascii="仿宋" w:hAnsi="仿宋" w:eastAsia="仿宋"/>
          <w:sz w:val="32"/>
          <w:szCs w:val="32"/>
          <w:highlight w:val="none"/>
        </w:rPr>
        <w:t>119.49</w:t>
      </w:r>
      <w:r>
        <w:rPr>
          <w:rFonts w:hint="eastAsia" w:ascii="仿宋" w:hAnsi="仿宋" w:eastAsia="仿宋"/>
          <w:sz w:val="32"/>
          <w:szCs w:val="32"/>
          <w:highlight w:val="none"/>
        </w:rPr>
        <w:t>万元，支出决算为</w:t>
      </w:r>
      <w:r>
        <w:rPr>
          <w:rFonts w:ascii="仿宋" w:hAnsi="仿宋" w:eastAsia="仿宋"/>
          <w:sz w:val="32"/>
          <w:szCs w:val="32"/>
          <w:highlight w:val="none"/>
        </w:rPr>
        <w:t>111.93</w:t>
      </w:r>
      <w:r>
        <w:rPr>
          <w:rFonts w:hint="eastAsia" w:ascii="仿宋" w:hAnsi="仿宋" w:eastAsia="仿宋"/>
          <w:sz w:val="32"/>
          <w:szCs w:val="32"/>
          <w:highlight w:val="none"/>
        </w:rPr>
        <w:t>万元，完成年初预算的</w:t>
      </w:r>
      <w:r>
        <w:rPr>
          <w:rFonts w:ascii="仿宋" w:hAnsi="仿宋" w:eastAsia="仿宋"/>
          <w:sz w:val="32"/>
          <w:szCs w:val="32"/>
          <w:highlight w:val="none"/>
        </w:rPr>
        <w:t>93.67%</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当年退休人员，在职教职工人数减少，全年社会保障缴费年初预算有了减少。</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119.49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111.93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93.67%</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缴纳教职工养老、医疗、工伤、失业保险费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kern w:val="2"/>
                <w:sz w:val="18"/>
                <w:szCs w:val="18"/>
                <w:highlight w:val="none"/>
                <w:lang w:val="en-US" w:eastAsia="zh-CN" w:bidi="ar"/>
              </w:rPr>
              <w:t>教职工人数减少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119.49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111.93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2491740"/>
            <wp:effectExtent l="4445" t="4445" r="16510" b="1841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0"/>
        </w:numPr>
        <w:suppressLineNumbers w:val="0"/>
        <w:spacing w:before="0" w:beforeAutospacing="0" w:after="0" w:afterAutospacing="0"/>
        <w:ind w:right="0" w:rightChars="0"/>
        <w:jc w:val="left"/>
        <w:rPr>
          <w:rFonts w:hint="eastAsia" w:eastAsia="仿宋"/>
          <w:color w:val="FF0000"/>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四</w:t>
      </w:r>
      <w:r>
        <w:rPr>
          <w:rFonts w:hint="eastAsia" w:ascii="仿宋" w:hAnsi="仿宋" w:eastAsia="仿宋"/>
          <w:sz w:val="32"/>
          <w:szCs w:val="32"/>
          <w:highlight w:val="none"/>
          <w:lang w:eastAsia="zh-CN"/>
        </w:rPr>
        <w:t>）</w:t>
      </w: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ascii="仿宋" w:hAnsi="仿宋" w:eastAsia="仿宋"/>
          <w:sz w:val="32"/>
          <w:szCs w:val="32"/>
          <w:highlight w:val="none"/>
        </w:rPr>
        <w:t>89.62</w:t>
      </w:r>
      <w:r>
        <w:rPr>
          <w:rFonts w:hint="eastAsia" w:ascii="仿宋" w:hAnsi="仿宋" w:eastAsia="仿宋"/>
          <w:sz w:val="32"/>
          <w:szCs w:val="32"/>
          <w:highlight w:val="none"/>
        </w:rPr>
        <w:t>万元，支出决算为</w:t>
      </w:r>
      <w:r>
        <w:rPr>
          <w:rFonts w:ascii="仿宋" w:hAnsi="仿宋" w:eastAsia="仿宋"/>
          <w:sz w:val="32"/>
          <w:szCs w:val="32"/>
          <w:highlight w:val="none"/>
        </w:rPr>
        <w:t>77.02</w:t>
      </w:r>
      <w:r>
        <w:rPr>
          <w:rFonts w:hint="eastAsia" w:ascii="仿宋" w:hAnsi="仿宋" w:eastAsia="仿宋"/>
          <w:sz w:val="32"/>
          <w:szCs w:val="32"/>
          <w:highlight w:val="none"/>
        </w:rPr>
        <w:t>万元，完成年初预算的</w:t>
      </w:r>
      <w:r>
        <w:rPr>
          <w:rFonts w:ascii="仿宋" w:hAnsi="仿宋" w:eastAsia="仿宋"/>
          <w:sz w:val="32"/>
          <w:szCs w:val="32"/>
          <w:highlight w:val="none"/>
        </w:rPr>
        <w:t>85.94%</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当年退休增加，教职工人数减少，全年住房保障缴费比去年有了减少</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89.62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77.02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85.94%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缴纳教师住房公积金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人员退休，缴费减少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89.62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77.02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both"/>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2815590"/>
            <wp:effectExtent l="4445" t="4445" r="16510" b="184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widowControl w:val="0"/>
        <w:numPr>
          <w:ilvl w:val="0"/>
          <w:numId w:val="0"/>
        </w:numPr>
        <w:suppressLineNumbers w:val="0"/>
        <w:spacing w:before="0" w:beforeAutospacing="0" w:after="0" w:afterAutospacing="0"/>
        <w:ind w:right="0" w:rightChars="0"/>
        <w:jc w:val="left"/>
        <w:rPr>
          <w:rFonts w:hint="eastAsia" w:eastAsia="仿宋"/>
          <w:color w:val="FF0000"/>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四</w:t>
      </w:r>
      <w:r>
        <w:rPr>
          <w:rFonts w:hint="eastAsia" w:ascii="仿宋" w:hAnsi="仿宋" w:eastAsia="仿宋"/>
          <w:sz w:val="32"/>
          <w:szCs w:val="32"/>
          <w:highlight w:val="none"/>
          <w:lang w:eastAsia="zh-CN"/>
        </w:rPr>
        <w:t>）</w:t>
      </w:r>
      <w:r>
        <w:rPr>
          <w:rFonts w:hint="eastAsia" w:ascii="仿宋" w:hAnsi="仿宋" w:eastAsia="仿宋"/>
          <w:sz w:val="32"/>
          <w:szCs w:val="32"/>
          <w:highlight w:val="none"/>
        </w:rPr>
        <w:t>其他支出</w:t>
      </w:r>
      <w:r>
        <w:rPr>
          <w:rFonts w:ascii="仿宋" w:hAnsi="仿宋" w:eastAsia="仿宋"/>
          <w:sz w:val="32"/>
          <w:u w:color="auto"/>
        </w:rPr>
        <w:t>（229</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ascii="仿宋" w:hAnsi="仿宋" w:eastAsia="仿宋"/>
          <w:sz w:val="32"/>
          <w:szCs w:val="32"/>
          <w:highlight w:val="none"/>
        </w:rPr>
        <w:t>174.11</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174.11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工资福利、对个人和家庭补助支出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174.11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三、2022年度一般公共预算财政拨款基本支出决算情况说明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环江毛南族自治县第二小学2022年度一般公共预算财政拨款基本支出</w:t>
      </w:r>
      <w:r>
        <w:rPr>
          <w:rFonts w:ascii="仿宋" w:hAnsi="仿宋" w:eastAsia="仿宋" w:cs="仿宋"/>
          <w:sz w:val="32"/>
          <w:u w:color="auto"/>
        </w:rPr>
        <w:t>1113.02</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rPr>
        <w:t>1065.28</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rPr>
        <w:t>47.75</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工资福利支出</w:t>
      </w:r>
      <w:r>
        <w:rPr>
          <w:rFonts w:ascii="仿宋" w:hAnsi="仿宋" w:eastAsia="仿宋" w:cs="仿宋"/>
          <w:sz w:val="32"/>
          <w:u w:color="auto"/>
        </w:rPr>
        <w:t>1016.39万元，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109.19%</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auto"/>
          <w:kern w:val="2"/>
          <w:sz w:val="32"/>
          <w:szCs w:val="32"/>
          <w:highlight w:val="none"/>
          <w:lang w:val="en-US" w:eastAsia="zh-CN" w:bidi="ar"/>
        </w:rPr>
        <w:t>主要原因是：</w:t>
      </w:r>
      <w:r>
        <w:rPr>
          <w:rFonts w:hint="eastAsia" w:ascii="仿宋" w:hAnsi="仿宋" w:eastAsia="仿宋"/>
          <w:color w:val="auto"/>
          <w:sz w:val="32"/>
          <w:szCs w:val="32"/>
          <w:highlight w:val="none"/>
          <w:lang w:val="en-US" w:eastAsia="zh-CN"/>
        </w:rPr>
        <w:t>调整基本工资标准、岗位工资变动及正常晋薪工资的发放</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443.59万元，30102津贴补贴28.41万元，30103奖金120.17万元，30107绩效工资170.43万元，30108机关事业单位基本养老保险缴费111.93万元，30110职工基本医疗保险缴费49.43万元，30112其他社会保障缴费7.30万元，30113住房公积金84.22万元，30199其他工资福利支出0.90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ascii="仿宋" w:hAnsi="仿宋" w:eastAsia="仿宋" w:cs="仿宋"/>
          <w:sz w:val="32"/>
          <w:u w:color="auto"/>
        </w:rPr>
        <w:t>47.75万元，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276.33%</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auto"/>
          <w:kern w:val="2"/>
          <w:sz w:val="32"/>
          <w:szCs w:val="32"/>
          <w:highlight w:val="none"/>
          <w:lang w:val="en-US" w:eastAsia="zh-CN" w:bidi="ar"/>
        </w:rPr>
        <w:t xml:space="preserve">主要原因是：年中经费结算调整预算科目及金额。 </w:t>
      </w:r>
    </w:p>
    <w:p>
      <w:pPr>
        <w:ind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30201办公费14.43万元，30205水费4.24万元，30206电费6.13万元，30207邮电费4.59万元，30211差旅费1.41万元，30213维修（护）费2.01万元，30228工会经费14.94万元。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w:t>
      </w:r>
      <w:r>
        <w:rPr>
          <w:rFonts w:ascii="仿宋" w:hAnsi="仿宋" w:eastAsia="仿宋" w:cs="仿宋"/>
          <w:sz w:val="32"/>
          <w:u w:color="auto"/>
        </w:rPr>
        <w:t>48.89万元，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209.92%</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auto"/>
          <w:kern w:val="2"/>
          <w:sz w:val="32"/>
          <w:szCs w:val="32"/>
          <w:highlight w:val="none"/>
          <w:lang w:val="en-US" w:eastAsia="zh-CN" w:bidi="ar"/>
        </w:rPr>
        <w:t>主要原因是：年中经费结算调整预算科目及金额。</w:t>
      </w:r>
    </w:p>
    <w:p>
      <w:pPr>
        <w:ind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30304抚恤金8.73万元，30305生活补助40.16万元。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 w:hAnsi="仿宋" w:eastAsia="仿宋" w:cs="仿宋"/>
          <w:sz w:val="32"/>
          <w:szCs w:val="32"/>
          <w:highlight w:val="none"/>
          <w:lang w:eastAsia="zh-CN"/>
        </w:rPr>
        <w:t>，</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主要原因是：无。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825115"/>
            <wp:effectExtent l="4445" t="4445" r="16510" b="8890"/>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主要原因是：无</w:t>
      </w:r>
      <w:r>
        <w:rPr>
          <w:rFonts w:hint="eastAsia" w:ascii="仿宋" w:hAnsi="仿宋" w:eastAsia="仿宋" w:cs="仿宋"/>
          <w:sz w:val="32"/>
          <w:szCs w:val="32"/>
          <w:highlight w:val="none"/>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keepNext w:val="0"/>
        <w:keepLines w:val="0"/>
        <w:widowControl w:val="0"/>
        <w:numPr>
          <w:ilvl w:val="0"/>
          <w:numId w:val="0"/>
        </w:numPr>
        <w:suppressLineNumbers w:val="0"/>
        <w:spacing w:before="0" w:beforeAutospacing="0" w:after="0" w:afterAutospacing="0"/>
        <w:ind w:right="0" w:right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六</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 w:hAnsi="仿宋" w:eastAsia="仿宋" w:cs="仿宋"/>
          <w:sz w:val="32"/>
          <w:szCs w:val="32"/>
          <w:highlight w:val="none"/>
          <w:lang w:eastAsia="zh-CN"/>
        </w:rPr>
        <w:t>，</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主要原因是：无</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四、2022年度政府性基金支出决算情况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环江毛南族自治县第二小学2022年度政府性基金支出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万元，较2021年度决算数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环江毛南族自治县第二小学2022年度政府性基金支出年初预算为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ascii="仿宋" w:hAnsi="仿宋" w:eastAsia="仿宋" w:cs="仿宋"/>
          <w:sz w:val="32"/>
          <w:szCs w:val="32"/>
          <w:highlight w:val="none"/>
        </w:rPr>
      </w:pPr>
      <w:r>
        <w:rPr>
          <w:rFonts w:hint="eastAsia" w:ascii="黑体" w:hAnsi="黑体" w:eastAsia="黑体" w:cs="黑体"/>
          <w:sz w:val="32"/>
          <w:szCs w:val="32"/>
          <w:highlight w:val="none"/>
        </w:rPr>
        <w:t>五、2022年度国有资本经营预算支出决算情况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环江毛南族自治县第二小学2022年度国有资本经营预算支出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环江毛南族自治县第二小学2022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ascii="仿宋" w:hAnsi="仿宋" w:eastAsia="仿宋" w:cs="仿宋"/>
          <w:sz w:val="32"/>
          <w:szCs w:val="32"/>
          <w:highlight w:val="none"/>
        </w:rPr>
      </w:pPr>
      <w:r>
        <w:rPr>
          <w:rFonts w:hint="eastAsia" w:ascii="黑体" w:hAnsi="黑体" w:eastAsia="黑体" w:cs="黑体"/>
          <w:sz w:val="32"/>
          <w:szCs w:val="32"/>
          <w:highlight w:val="none"/>
        </w:rPr>
        <w:t>六、财政拨款“三公”经费支出决算情况说明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2022年预算财政拨款安排的“三公”经费支出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具体情况如下：</w:t>
      </w:r>
    </w:p>
    <w:p>
      <w:pPr>
        <w:ind w:firstLine="640" w:firstLineChars="200"/>
        <w:jc w:val="left"/>
        <w:rPr>
          <w:rFonts w:hint="eastAsia" w:ascii="仿宋" w:hAnsi="仿宋" w:eastAsia="仿宋_GB2312" w:cs="仿宋"/>
          <w:sz w:val="32"/>
          <w:szCs w:val="32"/>
          <w:highlight w:val="none"/>
          <w:lang w:eastAsia="zh-CN"/>
        </w:rPr>
      </w:pPr>
      <w:r>
        <w:rPr>
          <w:rFonts w:hint="eastAsia" w:ascii="仿宋" w:hAnsi="仿宋" w:eastAsia="仿宋" w:cs="仿宋"/>
          <w:sz w:val="32"/>
          <w:szCs w:val="32"/>
          <w:highlight w:val="none"/>
        </w:rPr>
        <w:t>（一）因公出国（境）费支出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原因是：本单位无因公出国（境）相关工作安排。</w:t>
      </w:r>
      <w:r>
        <w:rPr>
          <w:rFonts w:hint="eastAsia" w:ascii="仿宋" w:hAnsi="仿宋" w:eastAsia="仿宋" w:cs="仿宋"/>
          <w:sz w:val="32"/>
          <w:szCs w:val="32"/>
          <w:highlight w:val="none"/>
        </w:rPr>
        <w:t>全年因公出国（境）团组共计</w:t>
      </w:r>
      <w:r>
        <w:rPr>
          <w:rFonts w:ascii="仿宋" w:hAnsi="仿宋" w:eastAsia="仿宋" w:cs="仿宋"/>
          <w:sz w:val="32"/>
          <w:szCs w:val="32"/>
          <w:highlight w:val="none"/>
        </w:rPr>
        <w:t>0</w:t>
      </w:r>
      <w:r>
        <w:rPr>
          <w:rFonts w:hint="eastAsia" w:ascii="仿宋" w:hAnsi="仿宋" w:eastAsia="仿宋" w:cs="仿宋"/>
          <w:sz w:val="32"/>
          <w:szCs w:val="32"/>
          <w:highlight w:val="none"/>
        </w:rPr>
        <w:t>个，累计</w:t>
      </w:r>
      <w:r>
        <w:rPr>
          <w:rFonts w:ascii="仿宋" w:hAnsi="仿宋" w:eastAsia="仿宋" w:cs="仿宋"/>
          <w:sz w:val="32"/>
          <w:szCs w:val="32"/>
          <w:highlight w:val="none"/>
        </w:rPr>
        <w:t>0</w:t>
      </w:r>
      <w:r>
        <w:rPr>
          <w:rFonts w:hint="eastAsia" w:ascii="仿宋" w:hAnsi="仿宋" w:eastAsia="仿宋" w:cs="仿宋"/>
          <w:sz w:val="32"/>
          <w:szCs w:val="32"/>
          <w:highlight w:val="none"/>
        </w:rPr>
        <w:t>人次。</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bookmarkStart w:id="4" w:name="PO_part3A6B2IncReason1"/>
      <w:r>
        <w:rPr>
          <w:rFonts w:hint="eastAsia" w:ascii="仿宋" w:hAnsi="仿宋" w:eastAsia="仿宋" w:cs="仿宋"/>
          <w:color w:val="000000" w:themeColor="text1"/>
          <w:sz w:val="32"/>
          <w:szCs w:val="32"/>
          <w14:textFill>
            <w14:solidFill>
              <w14:schemeClr w14:val="tx1"/>
            </w14:solidFill>
          </w14:textFill>
        </w:rPr>
        <w:t>本部门无公务用车购置</w:t>
      </w:r>
      <w:bookmarkEnd w:id="4"/>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公务用车运行维护支出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万元。2022年，</w:t>
      </w:r>
      <w:r>
        <w:rPr>
          <w:rFonts w:hint="eastAsia" w:ascii="仿宋" w:hAnsi="仿宋" w:eastAsia="仿宋" w:cs="仿宋"/>
          <w:sz w:val="32"/>
          <w:szCs w:val="32"/>
          <w:highlight w:val="none"/>
          <w:lang w:val="en-US" w:eastAsia="zh-CN"/>
        </w:rPr>
        <w:t>本部门</w:t>
      </w:r>
      <w:r>
        <w:rPr>
          <w:rFonts w:hint="eastAsia" w:ascii="仿宋" w:hAnsi="仿宋" w:eastAsia="仿宋" w:cs="仿宋"/>
          <w:sz w:val="32"/>
          <w:szCs w:val="32"/>
          <w:highlight w:val="none"/>
        </w:rPr>
        <w:t>开支财政拨款的公务用车保有量为</w:t>
      </w:r>
      <w:r>
        <w:rPr>
          <w:rFonts w:ascii="仿宋" w:hAnsi="仿宋" w:eastAsia="仿宋" w:cs="仿宋"/>
          <w:sz w:val="32"/>
          <w:u w:color="auto"/>
        </w:rPr>
        <w:t>0</w:t>
      </w:r>
      <w:r>
        <w:rPr>
          <w:rFonts w:hint="eastAsia" w:ascii="仿宋" w:hAnsi="仿宋" w:eastAsia="仿宋" w:cs="仿宋"/>
          <w:sz w:val="32"/>
          <w:szCs w:val="32"/>
          <w:highlight w:val="none"/>
        </w:rPr>
        <w:t>辆，全年运行费支出</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sz w:val="32"/>
          <w:szCs w:val="32"/>
          <w:highlight w:val="none"/>
          <w14:textFill>
            <w14:solidFill>
              <w14:schemeClr w14:val="tx1"/>
            </w14:solidFill>
          </w14:textFill>
        </w:rPr>
        <w:t>平均每辆</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三）</w:t>
      </w:r>
      <w:r>
        <w:rPr>
          <w:rFonts w:hint="eastAsia" w:ascii="仿宋" w:hAnsi="仿宋" w:eastAsia="仿宋" w:cs="仿宋"/>
          <w:sz w:val="32"/>
          <w:szCs w:val="32"/>
          <w:highlight w:val="none"/>
        </w:rPr>
        <w:t>公务接待费支出</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100%</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color w:val="auto"/>
          <w:kern w:val="2"/>
          <w:sz w:val="32"/>
          <w:szCs w:val="32"/>
          <w:highlight w:val="none"/>
          <w:lang w:val="en-US" w:eastAsia="zh-CN" w:bidi="ar"/>
        </w:rPr>
        <w:t>主要原因是：公务接待人次与上年持平。</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bookmarkStart w:id="5" w:name="_GoBack"/>
      <w:bookmarkEnd w:id="5"/>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ind w:firstLine="640" w:firstLineChars="200"/>
        <w:jc w:val="left"/>
        <w:rPr>
          <w:rFonts w:hint="eastAsia" w:ascii="仿宋" w:hAnsi="仿宋" w:eastAsia="仿宋" w:cs="仿宋"/>
          <w:color w:val="FF0000"/>
          <w:sz w:val="32"/>
          <w:szCs w:val="32"/>
          <w:highlight w:val="none"/>
        </w:rPr>
      </w:pPr>
      <w:r>
        <w:rPr>
          <w:rFonts w:hint="eastAsia" w:ascii="仿宋" w:hAnsi="仿宋" w:eastAsia="仿宋" w:cs="仿宋"/>
          <w:sz w:val="32"/>
          <w:szCs w:val="32"/>
          <w:highlight w:val="none"/>
        </w:rPr>
        <w:t>本部门2022年度机关运行经费支出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万元，比年初预算数</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w:t>
      </w:r>
      <w:r>
        <w:rPr>
          <w:rFonts w:ascii="仿宋" w:hAnsi="仿宋" w:eastAsia="仿宋" w:cs="仿宋"/>
          <w:sz w:val="32"/>
          <w:szCs w:val="32"/>
          <w:highlight w:val="none"/>
        </w:rPr>
        <w:t>下降</w:t>
      </w:r>
      <w:r>
        <w:rPr>
          <w:rFonts w:hint="eastAsia" w:ascii="仿宋" w:hAnsi="仿宋" w:eastAsia="仿宋" w:cs="仿宋"/>
          <w:sz w:val="32"/>
          <w:szCs w:val="32"/>
          <w:highlight w:val="none"/>
          <w:lang w:val="en-US" w:eastAsia="zh-CN"/>
        </w:rPr>
        <w:t>0.00</w:t>
      </w:r>
      <w:r>
        <w:rPr>
          <w:rFonts w:ascii="仿宋" w:hAnsi="仿宋" w:eastAsia="仿宋" w:cs="仿宋"/>
          <w:sz w:val="32"/>
          <w:szCs w:val="32"/>
          <w:highlight w:val="none"/>
        </w:rPr>
        <w:t>%</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w:t>
      </w:r>
      <w:r>
        <w:rPr>
          <w:rFonts w:hint="eastAsia" w:ascii="仿宋" w:hAnsi="仿宋" w:eastAsia="仿宋" w:cs="仿宋"/>
          <w:sz w:val="32"/>
          <w:szCs w:val="32"/>
          <w:lang w:val="en-US" w:eastAsia="zh-CN"/>
        </w:rPr>
        <w:t>本部门无机关运行经费。</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本部门2022年度政府采购支出总额</w:t>
      </w:r>
      <w:r>
        <w:rPr>
          <w:rFonts w:ascii="仿宋" w:hAnsi="仿宋" w:eastAsia="仿宋" w:cs="仿宋"/>
          <w:sz w:val="32"/>
          <w:szCs w:val="32"/>
          <w:highlight w:val="none"/>
        </w:rPr>
        <w:t>0.00</w:t>
      </w:r>
      <w:r>
        <w:rPr>
          <w:rFonts w:hint="eastAsia" w:ascii="仿宋" w:hAnsi="仿宋" w:eastAsia="仿宋" w:cs="仿宋"/>
          <w:sz w:val="32"/>
          <w:szCs w:val="32"/>
          <w:highlight w:val="none"/>
        </w:rPr>
        <w:t>万元，其中：政府采购货物支出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截至2022年12月31日，本部门共有车辆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1.绩效管理工作开展情况。</w:t>
      </w:r>
    </w:p>
    <w:p>
      <w:pPr>
        <w:numPr>
          <w:ilvl w:val="0"/>
          <w:numId w:val="0"/>
        </w:num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根据财政预算管理要求，本部门组织对</w:t>
      </w:r>
      <w:r>
        <w:rPr>
          <w:rFonts w:hint="eastAsia" w:ascii="仿宋" w:hAnsi="仿宋" w:eastAsia="仿宋" w:cs="仿宋"/>
          <w:color w:val="auto"/>
          <w:sz w:val="32"/>
          <w:szCs w:val="32"/>
          <w:lang w:eastAsia="zh-CN"/>
        </w:rPr>
        <w:t>2022年</w:t>
      </w:r>
      <w:r>
        <w:rPr>
          <w:rFonts w:hint="eastAsia" w:ascii="仿宋" w:hAnsi="仿宋" w:eastAsia="仿宋" w:cs="仿宋"/>
          <w:color w:val="auto"/>
          <w:sz w:val="32"/>
          <w:szCs w:val="32"/>
        </w:rPr>
        <w:t>度一般公共预算项目支出全面开展绩效自评。其中，一</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项目</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个，二</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项目</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个，共涉及资金</w:t>
      </w:r>
      <w:r>
        <w:rPr>
          <w:rFonts w:hint="eastAsia" w:ascii="仿宋" w:hAnsi="仿宋" w:eastAsia="仿宋" w:cs="仿宋"/>
          <w:color w:val="auto"/>
          <w:sz w:val="32"/>
          <w:szCs w:val="32"/>
          <w:lang w:val="en-US" w:eastAsia="zh-CN"/>
        </w:rPr>
        <w:t>215.08</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p>
    <w:p>
      <w:pPr>
        <w:numPr>
          <w:ilvl w:val="0"/>
          <w:numId w:val="0"/>
        </w:num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部门决算中项目绩效自评结果。</w:t>
      </w:r>
    </w:p>
    <w:p>
      <w:pPr>
        <w:numPr>
          <w:ilvl w:val="0"/>
          <w:numId w:val="0"/>
        </w:num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我部门根据年初设定的绩效目标，</w:t>
      </w:r>
      <w:r>
        <w:rPr>
          <w:rFonts w:hint="eastAsia" w:ascii="仿宋" w:hAnsi="仿宋" w:eastAsia="仿宋" w:cs="仿宋"/>
          <w:color w:val="000000" w:themeColor="text1"/>
          <w:sz w:val="32"/>
          <w:szCs w:val="32"/>
          <w:lang w:val="en-US" w:eastAsia="zh-CN"/>
          <w14:textFill>
            <w14:solidFill>
              <w14:schemeClr w14:val="tx1"/>
            </w14:solidFill>
          </w14:textFill>
        </w:rPr>
        <w:t>我校对12个项目进行</w:t>
      </w:r>
      <w:r>
        <w:rPr>
          <w:rFonts w:hint="eastAsia" w:ascii="仿宋" w:hAnsi="仿宋" w:eastAsia="仿宋" w:cs="仿宋"/>
          <w:b w:val="0"/>
          <w:bCs/>
          <w:sz w:val="32"/>
          <w:szCs w:val="32"/>
        </w:rPr>
        <w:t>自评</w:t>
      </w:r>
      <w:r>
        <w:rPr>
          <w:rFonts w:hint="eastAsia" w:ascii="仿宋" w:hAnsi="仿宋" w:eastAsia="仿宋" w:cs="仿宋"/>
          <w:b w:val="0"/>
          <w:bCs/>
          <w:sz w:val="32"/>
          <w:szCs w:val="32"/>
          <w:lang w:eastAsia="zh-CN"/>
        </w:rPr>
        <w:t>，</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val="en-US" w:eastAsia="zh-CN"/>
          <w14:textFill>
            <w14:solidFill>
              <w14:schemeClr w14:val="tx1"/>
            </w14:solidFill>
          </w14:textFill>
        </w:rPr>
        <w:t>有6个，96.66分1个，91.09分1个，87.9分1个，84.56分1个，80分1个。</w:t>
      </w:r>
    </w:p>
    <w:p>
      <w:pPr>
        <w:numPr>
          <w:ilvl w:val="0"/>
          <w:numId w:val="0"/>
        </w:num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3.发现的主要问题及原因。</w:t>
      </w:r>
    </w:p>
    <w:p>
      <w:pPr>
        <w:numPr>
          <w:ilvl w:val="0"/>
          <w:numId w:val="0"/>
        </w:num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学校的相关制度还不够健全，</w:t>
      </w:r>
      <w:r>
        <w:rPr>
          <w:rFonts w:hint="eastAsia" w:ascii="仿宋" w:hAnsi="仿宋" w:eastAsia="仿宋" w:cs="仿宋"/>
          <w:sz w:val="32"/>
          <w:szCs w:val="32"/>
        </w:rPr>
        <w:t>报账材料整理比较慢，不能及时支付</w:t>
      </w:r>
      <w:r>
        <w:rPr>
          <w:rFonts w:hint="eastAsia" w:ascii="仿宋" w:hAnsi="仿宋" w:eastAsia="仿宋" w:cs="仿宋"/>
          <w:sz w:val="32"/>
          <w:szCs w:val="32"/>
          <w:lang w:eastAsia="zh-CN"/>
        </w:rPr>
        <w:t>，</w:t>
      </w:r>
      <w:r>
        <w:rPr>
          <w:rFonts w:hint="eastAsia" w:ascii="仿宋" w:hAnsi="仿宋" w:eastAsia="仿宋" w:cs="仿宋"/>
          <w:color w:val="auto"/>
          <w:sz w:val="32"/>
          <w:szCs w:val="32"/>
          <w:lang w:val="en-US" w:eastAsia="zh-CN"/>
        </w:rPr>
        <w:t>在项目实施方面还需要不断完善。</w:t>
      </w:r>
    </w:p>
    <w:p>
      <w:pPr>
        <w:numPr>
          <w:ilvl w:val="0"/>
          <w:numId w:val="0"/>
        </w:num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4.下一步改进的措施。</w:t>
      </w:r>
    </w:p>
    <w:p>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组织制定完善相关</w:t>
      </w:r>
      <w:r>
        <w:rPr>
          <w:rFonts w:hint="eastAsia" w:ascii="仿宋" w:hAnsi="仿宋" w:eastAsia="仿宋" w:cs="仿宋"/>
          <w:sz w:val="32"/>
          <w:szCs w:val="32"/>
        </w:rPr>
        <w:t>管理制度</w:t>
      </w:r>
      <w:r>
        <w:rPr>
          <w:rFonts w:hint="eastAsia" w:ascii="仿宋" w:hAnsi="仿宋" w:eastAsia="仿宋" w:cs="仿宋"/>
          <w:sz w:val="32"/>
          <w:szCs w:val="32"/>
          <w:lang w:eastAsia="zh-CN"/>
        </w:rPr>
        <w:t>，</w:t>
      </w:r>
      <w:r>
        <w:rPr>
          <w:rFonts w:hint="eastAsia" w:ascii="仿宋" w:hAnsi="仿宋" w:eastAsia="仿宋" w:cs="仿宋"/>
          <w:sz w:val="32"/>
          <w:szCs w:val="32"/>
        </w:rPr>
        <w:t>完善项目实施</w:t>
      </w:r>
      <w:r>
        <w:rPr>
          <w:rFonts w:hint="eastAsia" w:ascii="仿宋" w:hAnsi="仿宋" w:eastAsia="仿宋" w:cs="仿宋"/>
          <w:sz w:val="32"/>
          <w:szCs w:val="32"/>
          <w:lang w:val="en-US" w:eastAsia="zh-CN"/>
        </w:rPr>
        <w:t>方案</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项目完成后，及时收集</w:t>
      </w:r>
      <w:r>
        <w:rPr>
          <w:rFonts w:hint="eastAsia" w:ascii="仿宋" w:hAnsi="仿宋" w:eastAsia="仿宋" w:cs="仿宋"/>
          <w:sz w:val="32"/>
          <w:szCs w:val="32"/>
        </w:rPr>
        <w:t>报账材料</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及时支付</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auto"/>
          <w:sz w:val="32"/>
          <w:szCs w:val="32"/>
          <w:lang w:val="en-US" w:eastAsia="zh-CN"/>
        </w:rPr>
        <w:t>通过这次自评，进一步提高了我单位的绩效管理水平，更加认识了绩效对部门综合管理提升的重要性，自评结果将用于2022年及以后年度编制部门预算的重要参考和日常管理的标靶，吸取经验，改进工作，让工作与绩效目标匹配，让成果与工作推进互动。</w:t>
      </w:r>
    </w:p>
    <w:p>
      <w:pPr>
        <w:jc w:val="left"/>
        <w:rPr>
          <w:rFonts w:hint="eastAsia" w:ascii="仿宋" w:hAnsi="仿宋" w:eastAsia="仿宋" w:cs="仿宋"/>
          <w:sz w:val="32"/>
          <w:szCs w:val="32"/>
          <w:highlight w:val="none"/>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环江毛南族自治县财政部门当年拨付的资金。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wOWRiYThhMWE1ZjFlNWY3NjUyY2NhNDc1NmZhZmQ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E0291A"/>
    <w:rsid w:val="03AF786B"/>
    <w:rsid w:val="04E54546"/>
    <w:rsid w:val="05992762"/>
    <w:rsid w:val="07B0770E"/>
    <w:rsid w:val="0942143F"/>
    <w:rsid w:val="0D100297"/>
    <w:rsid w:val="0D202B45"/>
    <w:rsid w:val="0F8D4C87"/>
    <w:rsid w:val="10505FAA"/>
    <w:rsid w:val="105F7E7E"/>
    <w:rsid w:val="11E56B5B"/>
    <w:rsid w:val="125C77AB"/>
    <w:rsid w:val="14777F31"/>
    <w:rsid w:val="14CB726E"/>
    <w:rsid w:val="17E92249"/>
    <w:rsid w:val="18D304F1"/>
    <w:rsid w:val="19F32577"/>
    <w:rsid w:val="19F45B80"/>
    <w:rsid w:val="1B0C078D"/>
    <w:rsid w:val="1B2B31E2"/>
    <w:rsid w:val="1B4C295A"/>
    <w:rsid w:val="1B973C63"/>
    <w:rsid w:val="1BA1001E"/>
    <w:rsid w:val="1D317259"/>
    <w:rsid w:val="1E664F5B"/>
    <w:rsid w:val="1EB34BE1"/>
    <w:rsid w:val="215E639F"/>
    <w:rsid w:val="21EC3183"/>
    <w:rsid w:val="225E72CD"/>
    <w:rsid w:val="232E2103"/>
    <w:rsid w:val="246E2F77"/>
    <w:rsid w:val="254B4E2B"/>
    <w:rsid w:val="283D7C94"/>
    <w:rsid w:val="28A54C15"/>
    <w:rsid w:val="29480E03"/>
    <w:rsid w:val="2983634D"/>
    <w:rsid w:val="2BB02055"/>
    <w:rsid w:val="2C575A56"/>
    <w:rsid w:val="2F257714"/>
    <w:rsid w:val="2F3275E5"/>
    <w:rsid w:val="2F8037EC"/>
    <w:rsid w:val="2FF755F9"/>
    <w:rsid w:val="30AA08EF"/>
    <w:rsid w:val="30C940B7"/>
    <w:rsid w:val="30D23D1C"/>
    <w:rsid w:val="31221CF5"/>
    <w:rsid w:val="31400178"/>
    <w:rsid w:val="321E3342"/>
    <w:rsid w:val="327759C8"/>
    <w:rsid w:val="33185FE3"/>
    <w:rsid w:val="33FF3827"/>
    <w:rsid w:val="34545741"/>
    <w:rsid w:val="34EE2E36"/>
    <w:rsid w:val="36777241"/>
    <w:rsid w:val="371E78D5"/>
    <w:rsid w:val="38703F75"/>
    <w:rsid w:val="38A951DB"/>
    <w:rsid w:val="38B31605"/>
    <w:rsid w:val="39003F4F"/>
    <w:rsid w:val="3C07002B"/>
    <w:rsid w:val="3D0D152A"/>
    <w:rsid w:val="3DF62756"/>
    <w:rsid w:val="3F1B7587"/>
    <w:rsid w:val="41E225DE"/>
    <w:rsid w:val="41E57B4F"/>
    <w:rsid w:val="423F32AF"/>
    <w:rsid w:val="432F26F6"/>
    <w:rsid w:val="43880F63"/>
    <w:rsid w:val="441C5A6F"/>
    <w:rsid w:val="44C44FCC"/>
    <w:rsid w:val="44CC7369"/>
    <w:rsid w:val="453857B5"/>
    <w:rsid w:val="457F5108"/>
    <w:rsid w:val="46951B6B"/>
    <w:rsid w:val="497244E3"/>
    <w:rsid w:val="49A34401"/>
    <w:rsid w:val="4A3E30AB"/>
    <w:rsid w:val="4AC14DAC"/>
    <w:rsid w:val="4D154C85"/>
    <w:rsid w:val="4EB35ECE"/>
    <w:rsid w:val="508F4E24"/>
    <w:rsid w:val="51461E90"/>
    <w:rsid w:val="51463753"/>
    <w:rsid w:val="52553A93"/>
    <w:rsid w:val="531B5950"/>
    <w:rsid w:val="53521F8B"/>
    <w:rsid w:val="53BD4F69"/>
    <w:rsid w:val="53E22F47"/>
    <w:rsid w:val="54522FF8"/>
    <w:rsid w:val="55450629"/>
    <w:rsid w:val="56692963"/>
    <w:rsid w:val="568B0F48"/>
    <w:rsid w:val="5786217B"/>
    <w:rsid w:val="59337A15"/>
    <w:rsid w:val="59810274"/>
    <w:rsid w:val="5A02755C"/>
    <w:rsid w:val="5CA96A00"/>
    <w:rsid w:val="5CF730BC"/>
    <w:rsid w:val="5E5F0DCE"/>
    <w:rsid w:val="5FA40A7B"/>
    <w:rsid w:val="5FD56D29"/>
    <w:rsid w:val="5FEC7F3F"/>
    <w:rsid w:val="60256F33"/>
    <w:rsid w:val="60F74BC3"/>
    <w:rsid w:val="617D3BF8"/>
    <w:rsid w:val="61841F6A"/>
    <w:rsid w:val="623007A9"/>
    <w:rsid w:val="637D7558"/>
    <w:rsid w:val="64287ECD"/>
    <w:rsid w:val="644F19AC"/>
    <w:rsid w:val="65AA4920"/>
    <w:rsid w:val="65E31D0B"/>
    <w:rsid w:val="67694F1E"/>
    <w:rsid w:val="69597934"/>
    <w:rsid w:val="69D56401"/>
    <w:rsid w:val="6B964DDC"/>
    <w:rsid w:val="6C783074"/>
    <w:rsid w:val="6D9E65C6"/>
    <w:rsid w:val="6DA81947"/>
    <w:rsid w:val="6EB66DE2"/>
    <w:rsid w:val="6ED3075F"/>
    <w:rsid w:val="6F2A2D4B"/>
    <w:rsid w:val="6F8A0C1E"/>
    <w:rsid w:val="703F45D4"/>
    <w:rsid w:val="715D6546"/>
    <w:rsid w:val="71BE069E"/>
    <w:rsid w:val="73953409"/>
    <w:rsid w:val="73E069A3"/>
    <w:rsid w:val="779C28C5"/>
    <w:rsid w:val="78104AA8"/>
    <w:rsid w:val="781706CD"/>
    <w:rsid w:val="78E257C5"/>
    <w:rsid w:val="794B35BE"/>
    <w:rsid w:val="7B0A3A31"/>
    <w:rsid w:val="7B3360ED"/>
    <w:rsid w:val="7BDF037E"/>
    <w:rsid w:val="7BF50948"/>
    <w:rsid w:val="7CE66A78"/>
    <w:rsid w:val="7D23564C"/>
    <w:rsid w:val="7D5E062D"/>
    <w:rsid w:val="7DF76CD8"/>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hart" Target="charts/chart13.xml"/><Relationship Id="rId18" Type="http://schemas.openxmlformats.org/officeDocument/2006/relationships/chart" Target="charts/chart12.xml"/><Relationship Id="rId17" Type="http://schemas.openxmlformats.org/officeDocument/2006/relationships/chart" Target="charts/chart11.xml"/><Relationship Id="rId16" Type="http://schemas.openxmlformats.org/officeDocument/2006/relationships/chart" Target="charts/chart10.xml"/><Relationship Id="rId15" Type="http://schemas.openxmlformats.org/officeDocument/2006/relationships/chart" Target="charts/chart9.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4.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1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1217.42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8.73</c:v>
                </c:pt>
                <c:pt idx="4">
                  <c:v>40.16</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30701</c:v>
                </c:pt>
                <c:pt idx="1">
                  <c:v>30702</c:v>
                </c:pt>
              </c:numCache>
            </c:num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Sheet1!$A$2:$A$17</c:f>
              <c:numCache>
                <c:formatCode>General</c:formatCod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numCache>
            </c:num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Sheet1!$A$2:$A$6</c:f>
              <c:numCache>
                <c:formatCode>General</c:formatCode>
                <c:ptCount val="5"/>
                <c:pt idx="0">
                  <c:v>39907</c:v>
                </c:pt>
                <c:pt idx="1">
                  <c:v>39908</c:v>
                </c:pt>
                <c:pt idx="2">
                  <c:v>39909</c:v>
                </c:pt>
                <c:pt idx="3">
                  <c:v>39910</c:v>
                </c:pt>
                <c:pt idx="4">
                  <c:v>39999</c:v>
                </c:pt>
              </c:numCache>
            </c:num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Sheet1!$B$2:$B$6</c:f>
              <c:numCache>
                <c:formatCode>General</c:formatCode>
                <c:ptCount val="5"/>
                <c:pt idx="0">
                  <c:v>0</c:v>
                </c:pt>
                <c:pt idx="1">
                  <c:v>890.41</c:v>
                </c:pt>
                <c:pt idx="2">
                  <c:v>136.43</c:v>
                </c:pt>
                <c:pt idx="3">
                  <c:v>70.9</c:v>
                </c:pt>
                <c:pt idx="4">
                  <c:v>339.59</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Sheet1!$C$2:$C$6</c:f>
              <c:numCache>
                <c:formatCode>General</c:formatCode>
                <c:ptCount val="5"/>
                <c:pt idx="0">
                  <c:v>14.94</c:v>
                </c:pt>
                <c:pt idx="1">
                  <c:v>839.42</c:v>
                </c:pt>
                <c:pt idx="2">
                  <c:v>111.93</c:v>
                </c:pt>
                <c:pt idx="3">
                  <c:v>77.02</c:v>
                </c:pt>
                <c:pt idx="4">
                  <c:v>174.11</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14.94</c:v>
                </c:pt>
                <c:pt idx="1">
                  <c:v>14.94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教育支出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Sheet1!$A$2:$A$4</c:f>
              <c:strCache>
                <c:ptCount val="3"/>
                <c:pt idx="0">
                  <c:v>2050202</c:v>
                </c:pt>
                <c:pt idx="1">
                  <c:v>2050299</c:v>
                </c:pt>
                <c:pt idx="2">
                  <c:v>205x</c:v>
                </c:pt>
              </c:strCache>
            </c:strRef>
          </c:cat>
          <c:val>
            <c:numRef>
              <c:f>Sheet1!$B$2:$B$4</c:f>
              <c:numCache>
                <c:formatCode>General</c:formatCode>
                <c:ptCount val="3"/>
                <c:pt idx="0">
                  <c:v>790.66</c:v>
                </c:pt>
                <c:pt idx="1">
                  <c:v>48.77</c:v>
                </c:pt>
                <c:pt idx="2">
                  <c:v>839.42</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111.93</c:v>
                </c:pt>
                <c:pt idx="1">
                  <c:v>111.93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77.02</c:v>
                </c:pt>
                <c:pt idx="1">
                  <c:v>77.02</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174.11</c:v>
                </c:pt>
                <c:pt idx="1">
                  <c:v>174.11</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443.59</c:v>
                </c:pt>
                <c:pt idx="1">
                  <c:v>28.41</c:v>
                </c:pt>
                <c:pt idx="2">
                  <c:v>120.17</c:v>
                </c:pt>
                <c:pt idx="3">
                  <c:v>0</c:v>
                </c:pt>
                <c:pt idx="4">
                  <c:v>170.43</c:v>
                </c:pt>
                <c:pt idx="5">
                  <c:v>111.93</c:v>
                </c:pt>
                <c:pt idx="6">
                  <c:v>0</c:v>
                </c:pt>
                <c:pt idx="7">
                  <c:v>49.43</c:v>
                </c:pt>
                <c:pt idx="8">
                  <c:v>0</c:v>
                </c:pt>
                <c:pt idx="9">
                  <c:v>7.3</c:v>
                </c:pt>
                <c:pt idx="10">
                  <c:v>84.22</c:v>
                </c:pt>
                <c:pt idx="11">
                  <c:v>0</c:v>
                </c:pt>
                <c:pt idx="12">
                  <c:v>0.9</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14.43</c:v>
                </c:pt>
                <c:pt idx="1">
                  <c:v>0</c:v>
                </c:pt>
                <c:pt idx="2">
                  <c:v>0</c:v>
                </c:pt>
                <c:pt idx="3">
                  <c:v>0</c:v>
                </c:pt>
                <c:pt idx="4">
                  <c:v>4.24</c:v>
                </c:pt>
                <c:pt idx="5">
                  <c:v>6.13</c:v>
                </c:pt>
                <c:pt idx="6">
                  <c:v>4.59</c:v>
                </c:pt>
                <c:pt idx="7">
                  <c:v>0</c:v>
                </c:pt>
                <c:pt idx="8">
                  <c:v>0</c:v>
                </c:pt>
                <c:pt idx="9">
                  <c:v>1.41</c:v>
                </c:pt>
                <c:pt idx="10">
                  <c:v>0</c:v>
                </c:pt>
                <c:pt idx="11">
                  <c:v>2.01</c:v>
                </c:pt>
                <c:pt idx="12">
                  <c:v>0</c:v>
                </c:pt>
                <c:pt idx="13">
                  <c:v>0</c:v>
                </c:pt>
                <c:pt idx="14">
                  <c:v>0</c:v>
                </c:pt>
                <c:pt idx="15">
                  <c:v>0</c:v>
                </c:pt>
                <c:pt idx="16">
                  <c:v>0</c:v>
                </c:pt>
                <c:pt idx="17">
                  <c:v>0</c:v>
                </c:pt>
                <c:pt idx="18">
                  <c:v>0</c:v>
                </c:pt>
                <c:pt idx="19">
                  <c:v>0</c:v>
                </c:pt>
                <c:pt idx="20">
                  <c:v>0</c:v>
                </c:pt>
                <c:pt idx="21">
                  <c:v>14.94</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6615</Words>
  <Characters>13844</Characters>
  <Lines>90</Lines>
  <Paragraphs>25</Paragraphs>
  <TotalTime>0</TotalTime>
  <ScaleCrop>false</ScaleCrop>
  <LinksUpToDate>false</LinksUpToDate>
  <CharactersWithSpaces>13937</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2023-08-17T10:06:00Z</dcterms:created>
  <dc:creator>C D D</dc:creator>
  <cp:lastModifiedBy>Administrator</cp:lastModifiedBy>
  <dcterms:modified xsi:type="dcterms:W3CDTF">2023-11-28T08:02:36Z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843F27823027460BAAAF19DF60EFFF0C_13</vt:lpwstr>
  </property>
</Properties>
</file>