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环江毛南族自治县民族中学</w:t>
      </w:r>
      <w:r>
        <w:rPr>
          <w:rFonts w:hint="eastAsia" w:ascii="黑体" w:hAnsi="黑体" w:eastAsia="黑体" w:cs="黑体"/>
          <w:b/>
          <w:bCs/>
          <w:sz w:val="52"/>
          <w:szCs w:val="52"/>
          <w:highlight w:val="none"/>
          <w:lang w:eastAsia="zh-CN"/>
        </w:rPr>
        <w:t>（</w:t>
      </w:r>
      <w:r>
        <w:rPr>
          <w:rFonts w:hint="eastAsia" w:ascii="黑体" w:hAnsi="黑体" w:eastAsia="黑体" w:cs="黑体"/>
          <w:b/>
          <w:bCs/>
          <w:sz w:val="52"/>
          <w:szCs w:val="52"/>
          <w:highlight w:val="none"/>
          <w:lang w:val="en-US" w:eastAsia="zh-CN"/>
        </w:rPr>
        <w:t>第二初级中学</w:t>
      </w:r>
      <w:r>
        <w:rPr>
          <w:rFonts w:hint="eastAsia" w:ascii="黑体" w:hAnsi="黑体" w:eastAsia="黑体" w:cs="黑体"/>
          <w:b/>
          <w:bCs/>
          <w:sz w:val="52"/>
          <w:szCs w:val="52"/>
          <w:highlight w:val="none"/>
          <w:lang w:eastAsia="zh-CN"/>
        </w:rPr>
        <w:t>）</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sz w:val="36"/>
          <w:szCs w:val="36"/>
          <w:highlight w:val="none"/>
          <w:lang w:val="en-US" w:eastAsia="zh-CN"/>
        </w:rPr>
      </w:pPr>
      <w:r>
        <w:rPr>
          <w:rFonts w:hint="eastAsia" w:ascii="黑体" w:hAnsi="黑体" w:eastAsia="黑体" w:cs="黑体"/>
          <w:sz w:val="36"/>
          <w:szCs w:val="36"/>
          <w:highlight w:val="none"/>
          <w:lang w:val="en-US" w:eastAsia="zh-CN"/>
        </w:rPr>
        <w:t>单位负责人：蒙继烟</w:t>
      </w: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bookmarkStart w:id="5" w:name="_GoBack"/>
      <w:bookmarkEnd w:id="5"/>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环江毛南族自治县民族中学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环江毛南族自治县民族中学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环江毛南族自治县民族中学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环江毛南族自治县民族中学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环江毛南族自治县民族中学的主要职能是：</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（一）学校贯彻执行党和国家的教育方针、政策和法律法规；拟订学校教育改革与发展规划并组织实施。</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（二）编制学校教育事业发展规划并检查实施情况，向自治县人民政府和上级教育部门作出报告。</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（三）督促检查学校贯彻执行教育方针、政策、法令、法规和上级的各项规定；评估学校教育教学工作。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（四）执行义务教育均衡发展和促进教育公平。</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（五）负责学校教师队伍建设，包括教师岗位培训、后备干部队伍建设、教师学历教育、继续教育等。</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（六）学校做好中考和学生学籍管理工作。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（七）按照中央关于全面推进素质教育要求，负责学校教育教学管理、教育教学改革及教育教学科学研究工作，检查指导教师实施素质教育工作，并组织推广先进的教育教学经验。</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（八）检查教师的教育教学设备装备、管理和使用工作。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（九）检查学校教师开展电化教育和信息化教学工作。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（十）组织学校教师参加初级专业技术职务资格和中、高级专业技术职务资格的申报工作。按照管理权限对教师进行考核、聘任、奖惩、晋升等工作。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（十一）规范学校经费管理与使用工作。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（十二）负责组织学校教学教育常规管理工作，包括德育、体育、卫生、艺术、安全等。</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（十三）组织学生进行其中和期末教学质量检测工作。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（十四）负责指导学校学生资助管理工作。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（十五）负责语言文字和指导推广普通话工作。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（十六）完成上级部门交办的其他工作。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460" w:lineRule="exact"/>
        <w:ind w:firstLine="640" w:firstLineChars="200"/>
        <w:rPr>
          <w:rFonts w:hint="eastAsia" w:ascii="仿宋_GB2312" w:eastAsia="仿宋_GB2312" w:cs="仿宋_GB2312"/>
          <w:kern w:val="0"/>
          <w:sz w:val="32"/>
          <w:szCs w:val="32"/>
        </w:rPr>
      </w:pPr>
      <w:r>
        <w:rPr>
          <w:rFonts w:hint="eastAsia" w:ascii="仿宋_GB2312" w:hAnsi="仿宋_GB2312" w:eastAsia="仿宋_GB2312" w:cs="仿宋_GB2312"/>
          <w:color w:val="auto"/>
          <w:sz w:val="32"/>
          <w:szCs w:val="32"/>
        </w:rPr>
        <w:t>我部门没有下属单位，按照部门决算编报要求，单独编制本部门决算。</w:t>
      </w:r>
      <w:r>
        <w:rPr>
          <w:rFonts w:hint="eastAsia" w:ascii="仿宋_GB2312" w:eastAsia="仿宋_GB2312" w:cs="仿宋_GB2312"/>
          <w:kern w:val="0"/>
          <w:sz w:val="32"/>
          <w:szCs w:val="32"/>
        </w:rPr>
        <w:t>学校设有1</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个处室，分别为：行政办公室、总务处、教务处、教研处、政教处、</w:t>
      </w:r>
      <w:r>
        <w:rPr>
          <w:rFonts w:hint="eastAsia" w:ascii="仿宋_GB2312" w:eastAsia="仿宋_GB2312" w:cs="仿宋_GB2312"/>
          <w:kern w:val="0"/>
          <w:sz w:val="32"/>
          <w:szCs w:val="32"/>
          <w:lang w:eastAsia="zh-CN"/>
        </w:rPr>
        <w:t>安全办、</w:t>
      </w:r>
      <w:r>
        <w:rPr>
          <w:rFonts w:hint="eastAsia" w:ascii="仿宋_GB2312" w:eastAsia="仿宋_GB2312" w:cs="仿宋_GB2312"/>
          <w:kern w:val="0"/>
          <w:sz w:val="32"/>
          <w:szCs w:val="32"/>
        </w:rPr>
        <w:t>资助办、财务室、工会室、团委办公室、</w:t>
      </w:r>
      <w:r>
        <w:rPr>
          <w:rFonts w:hint="eastAsia" w:ascii="仿宋_GB2312" w:eastAsia="仿宋_GB2312" w:cs="仿宋_GB2312"/>
          <w:kern w:val="0"/>
          <w:sz w:val="32"/>
          <w:szCs w:val="32"/>
          <w:lang w:eastAsia="zh-CN"/>
        </w:rPr>
        <w:t>体育室、</w:t>
      </w:r>
      <w:r>
        <w:rPr>
          <w:rFonts w:hint="eastAsia" w:ascii="仿宋_GB2312" w:eastAsia="仿宋_GB2312" w:cs="仿宋_GB2312"/>
          <w:kern w:val="0"/>
          <w:sz w:val="32"/>
          <w:szCs w:val="32"/>
        </w:rPr>
        <w:t>心理辅导室。</w:t>
      </w:r>
    </w:p>
    <w:p>
      <w:pPr>
        <w:jc w:val="both"/>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600" w:firstLineChars="5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环江毛南族自治县民族中学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环江毛南族自治县民族中学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2195.79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18.19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1747.36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106.46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2195.79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2195.79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2195.79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2195.79</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环江毛南族自治县民族中学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2195.79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2195.79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1747.36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1747.36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1747.36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1747.36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1732.18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1732.18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106.46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106.46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106.46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106.46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106.46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106.46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环江毛南族自治县民族中学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2195.79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1894.29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301.50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1747.36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1628.98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118.38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1747.36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1628.98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118.38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1732.18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1620.23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111.95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106.46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106.46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106.46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环江毛南族自治县民族中学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2195.79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18.19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18.19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1747.36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1747.36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140.66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140.66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106.46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106.46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183.12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183.12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2195.79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2195.79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2195.79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2195.79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2195.79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2195.79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环江毛南族自治县民族中学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2195.79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1894.29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301.50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1747.36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1628.98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118.38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1747.36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1628.98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118.38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1732.18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1620.23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111.95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106.46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106.46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106.46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106.46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106.46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106.46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183.12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183.12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183.12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183.12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183.12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183.12</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环江毛南族自治县民族中学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1185.76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205.23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518.42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56.55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27.81</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210.22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33.03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23.93</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31.75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3.88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14.18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61.09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106.46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47.31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475.49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424.12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18.19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25.81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1661.25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233.04</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环江毛南族自治县民族中学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本部门2022年度没有政府性基金预算财政拨款收入，也没有政府性基金预算财政拨款安排的支出，故本表无数据。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环江毛南族自治县民族中学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环江毛南族自治县民族中学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年度没有财政拨款“三公”经费收入，也没有财政拨款“三公”经费安排的支出，故本表无数据。</w:t>
            </w: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环江毛南族自治县民族中学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2195.79</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增加284.95</w:t>
      </w:r>
      <w:r>
        <w:rPr>
          <w:rFonts w:hint="eastAsia" w:ascii="仿宋" w:hAnsi="仿宋" w:eastAsia="仿宋" w:cs="仿宋"/>
          <w:sz w:val="32"/>
          <w:szCs w:val="32"/>
          <w:highlight w:val="none"/>
        </w:rPr>
        <w:t>万元，</w:t>
      </w:r>
      <w:r>
        <w:rPr>
          <w:rFonts w:ascii="仿宋" w:hAnsi="仿宋" w:eastAsia="仿宋" w:cs="仿宋"/>
          <w:sz w:val="32"/>
          <w:u w:color="auto"/>
        </w:rPr>
        <w:t>增长14.91%</w:t>
      </w:r>
      <w:r>
        <w:rPr>
          <w:rFonts w:hint="eastAsia" w:ascii="仿宋" w:hAnsi="仿宋" w:eastAsia="仿宋" w:cs="仿宋"/>
          <w:sz w:val="32"/>
          <w:szCs w:val="32"/>
          <w:highlight w:val="none"/>
        </w:rPr>
        <w:t>，其中本年收入</w:t>
      </w:r>
      <w:r>
        <w:rPr>
          <w:rFonts w:ascii="仿宋" w:hAnsi="仿宋" w:eastAsia="仿宋" w:cs="仿宋"/>
          <w:sz w:val="32"/>
          <w:u w:color="auto"/>
        </w:rPr>
        <w:t>2195.79</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2195.79</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增加384.25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增长21.21%</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主要原因：学校增加班级，扩招学生数，教师调入人员增加。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主要原因：学校</w:t>
      </w:r>
      <w:r>
        <w:rPr>
          <w:rFonts w:hint="eastAsia" w:ascii="仿宋" w:hAnsi="仿宋" w:eastAsia="仿宋" w:cs="仿宋"/>
          <w:color w:val="000000" w:themeColor="text1"/>
          <w:kern w:val="2"/>
          <w:sz w:val="32"/>
          <w:szCs w:val="32"/>
          <w:lang w:val="en-US" w:eastAsia="zh-CN" w:bidi="ar"/>
          <w14:textFill>
            <w14:solidFill>
              <w14:schemeClr w14:val="tx1"/>
            </w14:solidFill>
          </w14:textFill>
        </w:rPr>
        <w:t>没有政府性基金预算财政拨款收入，也没有政府性基金预算财政拨款安排的支出</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w:t>
      </w:r>
      <w:r>
        <w:rPr>
          <w:rFonts w:hint="eastAsia" w:ascii="仿宋" w:hAnsi="仿宋" w:eastAsia="仿宋" w:cs="仿宋"/>
          <w:color w:val="000000" w:themeColor="text1"/>
          <w:kern w:val="2"/>
          <w:sz w:val="32"/>
          <w:szCs w:val="32"/>
          <w:lang w:val="en-US" w:eastAsia="zh-CN" w:bidi="ar"/>
          <w14:textFill>
            <w14:solidFill>
              <w14:schemeClr w14:val="tx1"/>
            </w14:solidFill>
          </w14:textFill>
        </w:rPr>
        <w:t>没有国有资本经营预算财政拨款收入，也没有国有资本经营预算财政拨款安排的支出。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减少99.30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10535"/>
            <wp:effectExtent l="4445" t="4445" r="2095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2195.79</w:t>
      </w:r>
      <w:r>
        <w:rPr>
          <w:rFonts w:hint="eastAsia" w:ascii="仿宋" w:hAnsi="仿宋" w:eastAsia="仿宋" w:cs="仿宋"/>
          <w:sz w:val="32"/>
          <w:szCs w:val="32"/>
          <w:highlight w:val="none"/>
        </w:rPr>
        <w:t>万元，其中本年支出</w:t>
      </w:r>
      <w:r>
        <w:rPr>
          <w:rFonts w:ascii="仿宋" w:hAnsi="仿宋" w:eastAsia="仿宋" w:cs="仿宋"/>
          <w:sz w:val="32"/>
          <w:u w:color="auto"/>
        </w:rPr>
        <w:t>2195.79</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增加284.95</w:t>
      </w:r>
      <w:r>
        <w:rPr>
          <w:rFonts w:hint="eastAsia" w:ascii="仿宋" w:hAnsi="仿宋" w:eastAsia="仿宋" w:cs="仿宋"/>
          <w:sz w:val="32"/>
          <w:szCs w:val="32"/>
          <w:highlight w:val="none"/>
        </w:rPr>
        <w:t>万元，</w:t>
      </w:r>
      <w:r>
        <w:rPr>
          <w:rFonts w:ascii="仿宋" w:hAnsi="仿宋" w:eastAsia="仿宋" w:cs="仿宋"/>
          <w:sz w:val="32"/>
          <w:u w:color="auto"/>
        </w:rPr>
        <w:t>增长14.91%</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18.19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学校教职工工会活动经费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增加18.19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主要原因是：2021年度的学校工会活动经费不在预算一体化中体现。</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1747.36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：初中教育</w:t>
      </w:r>
      <w:r>
        <w:rPr>
          <w:rFonts w:hint="eastAsia" w:ascii="仿宋" w:hAnsi="仿宋" w:eastAsia="仿宋" w:cs="仿宋"/>
          <w:color w:val="000000" w:themeColor="text1"/>
          <w:sz w:val="32"/>
          <w:szCs w:val="32"/>
          <w:highlight w:val="none"/>
          <w:lang w:val="en-US" w:eastAsia="zh-CN"/>
          <w14:textFill>
            <w14:solidFill>
              <w14:schemeClr w14:val="tx1"/>
            </w14:solidFill>
          </w14:textFill>
        </w:rPr>
        <w:t>1732.18万元；其他普通教育支出15.18万元。</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增加216.98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增长14.18%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主要原因是：学生数增多，学生班级增加，教师调入增加，所以支出数增加。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140.66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缴纳教职工的养老保险金的单位部分</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增加15.63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增长12.50%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主要原因是：教师调入，人数增加，所以支出增加。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106.46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缴纳学校教职工的住房公积金单位部分</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增加40.58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增长61.60%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主要原因是：教师调入，人数增加，所以支出增加。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183.12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发放教职工的绩效考评奖励金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减少6.42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下降3.39%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主要原因是：部分绩效考评奖励金在2021年度预发和有部分到2023年度才清算发放。</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：学校没有结余分配资金。</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主要原因是：学校没有年末结转和结余资金。</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环江毛南族自治县民族中学2022年度一般公共预算财政拨款支出</w:t>
      </w:r>
      <w:r>
        <w:rPr>
          <w:rFonts w:ascii="仿宋" w:hAnsi="仿宋" w:eastAsia="仿宋" w:cs="仿宋"/>
          <w:sz w:val="32"/>
          <w:u w:color="auto"/>
        </w:rPr>
        <w:t>2195.79</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增加284.95</w:t>
      </w:r>
      <w:r>
        <w:rPr>
          <w:rFonts w:hint="eastAsia" w:ascii="仿宋" w:hAnsi="仿宋" w:eastAsia="仿宋" w:cs="仿宋"/>
          <w:sz w:val="32"/>
          <w:szCs w:val="32"/>
          <w:highlight w:val="none"/>
        </w:rPr>
        <w:t>万元，</w:t>
      </w:r>
      <w:r>
        <w:rPr>
          <w:rFonts w:ascii="仿宋" w:hAnsi="仿宋" w:eastAsia="仿宋" w:cs="仿宋"/>
          <w:sz w:val="32"/>
          <w:u w:color="auto"/>
        </w:rPr>
        <w:t>增长14.91%</w:t>
      </w:r>
      <w:r>
        <w:rPr>
          <w:rFonts w:hint="eastAsia" w:ascii="仿宋" w:hAnsi="仿宋" w:eastAsia="仿宋" w:cs="仿宋"/>
          <w:sz w:val="32"/>
          <w:szCs w:val="32"/>
          <w:highlight w:val="none"/>
        </w:rPr>
        <w:t>。其中：基本支出</w:t>
      </w:r>
      <w:r>
        <w:rPr>
          <w:rFonts w:ascii="仿宋" w:hAnsi="仿宋" w:eastAsia="仿宋" w:cs="仿宋"/>
          <w:sz w:val="32"/>
          <w:u w:color="auto"/>
        </w:rPr>
        <w:t>1894.29</w:t>
      </w:r>
      <w:r>
        <w:rPr>
          <w:rFonts w:hint="eastAsia" w:ascii="仿宋" w:hAnsi="仿宋" w:eastAsia="仿宋" w:cs="仿宋"/>
          <w:sz w:val="32"/>
          <w:szCs w:val="32"/>
          <w:highlight w:val="none"/>
        </w:rPr>
        <w:t>万元，项目支出</w:t>
      </w:r>
      <w:r>
        <w:rPr>
          <w:rFonts w:ascii="仿宋" w:hAnsi="仿宋" w:eastAsia="仿宋" w:cs="仿宋"/>
          <w:sz w:val="32"/>
          <w:u w:color="auto"/>
        </w:rPr>
        <w:t>301.50</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环江毛南族自治县民族中学2022 年度一般公共预算财政拨款支出年初预算为</w:t>
      </w:r>
      <w:r>
        <w:rPr>
          <w:rFonts w:ascii="仿宋" w:hAnsi="仿宋" w:eastAsia="仿宋" w:cs="仿宋"/>
          <w:sz w:val="32"/>
          <w:u w:color="auto"/>
        </w:rPr>
        <w:t>1206.34</w:t>
      </w:r>
      <w:r>
        <w:rPr>
          <w:rFonts w:hint="eastAsia" w:ascii="仿宋" w:hAnsi="仿宋" w:eastAsia="仿宋" w:cs="仿宋"/>
          <w:sz w:val="32"/>
          <w:szCs w:val="32"/>
          <w:highlight w:val="none"/>
        </w:rPr>
        <w:t>万元，支出决算为</w:t>
      </w:r>
      <w:r>
        <w:rPr>
          <w:rFonts w:ascii="仿宋" w:hAnsi="仿宋" w:eastAsia="仿宋" w:cs="仿宋"/>
          <w:sz w:val="32"/>
          <w:u w:color="auto"/>
        </w:rPr>
        <w:t>2195.79</w:t>
      </w:r>
      <w:r>
        <w:rPr>
          <w:rFonts w:hint="eastAsia" w:ascii="仿宋" w:hAnsi="仿宋" w:eastAsia="仿宋" w:cs="仿宋"/>
          <w:sz w:val="32"/>
          <w:szCs w:val="32"/>
          <w:highlight w:val="none"/>
        </w:rPr>
        <w:t>万元，完成年初预算的</w:t>
      </w:r>
      <w:r>
        <w:rPr>
          <w:rFonts w:ascii="仿宋" w:hAnsi="仿宋" w:eastAsia="仿宋" w:cs="仿宋"/>
          <w:sz w:val="32"/>
          <w:u w:color="auto"/>
        </w:rPr>
        <w:t>182.02%</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18.19</w:t>
      </w:r>
      <w:r>
        <w:rPr>
          <w:rFonts w:hint="eastAsia" w:ascii="仿宋" w:hAnsi="仿宋" w:eastAsia="仿宋"/>
          <w:sz w:val="32"/>
          <w:szCs w:val="32"/>
          <w:highlight w:val="none"/>
        </w:rPr>
        <w:t>万元，支出决算为</w:t>
      </w:r>
      <w:r>
        <w:rPr>
          <w:rFonts w:ascii="仿宋" w:hAnsi="仿宋" w:eastAsia="仿宋"/>
          <w:sz w:val="32"/>
          <w:szCs w:val="32"/>
          <w:highlight w:val="none"/>
        </w:rPr>
        <w:t>18.19</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原因是：无差异，学校严格按照年初预算安排使用此项资金。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18.19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18.19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学校教职工工会活动经费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18.19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18.19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学校教职工工会活动经费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无差异</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933.44</w:t>
      </w:r>
      <w:r>
        <w:rPr>
          <w:rFonts w:hint="eastAsia" w:ascii="仿宋" w:hAnsi="仿宋" w:eastAsia="仿宋"/>
          <w:sz w:val="32"/>
          <w:szCs w:val="32"/>
          <w:highlight w:val="none"/>
        </w:rPr>
        <w:t>万元，支出决算为</w:t>
      </w:r>
      <w:r>
        <w:rPr>
          <w:rFonts w:ascii="仿宋" w:hAnsi="仿宋" w:eastAsia="仿宋"/>
          <w:sz w:val="32"/>
          <w:szCs w:val="32"/>
          <w:highlight w:val="none"/>
        </w:rPr>
        <w:t>1747.36</w:t>
      </w:r>
      <w:r>
        <w:rPr>
          <w:rFonts w:hint="eastAsia" w:ascii="仿宋" w:hAnsi="仿宋" w:eastAsia="仿宋"/>
          <w:sz w:val="32"/>
          <w:szCs w:val="32"/>
          <w:highlight w:val="none"/>
        </w:rPr>
        <w:t>万元，完成年初预算的</w:t>
      </w:r>
      <w:r>
        <w:rPr>
          <w:rFonts w:ascii="仿宋" w:hAnsi="仿宋" w:eastAsia="仿宋"/>
          <w:sz w:val="32"/>
          <w:szCs w:val="32"/>
          <w:highlight w:val="none"/>
        </w:rPr>
        <w:t>187.20%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w:t>
      </w:r>
      <w:r>
        <w:rPr>
          <w:rFonts w:hint="eastAsia" w:ascii="仿宋" w:hAnsi="仿宋" w:eastAsia="仿宋"/>
          <w:sz w:val="32"/>
          <w:szCs w:val="32"/>
          <w:highlight w:val="none"/>
          <w:lang w:val="en-US" w:eastAsia="zh-CN"/>
        </w:rPr>
        <w:t>有</w:t>
      </w:r>
      <w:r>
        <w:rPr>
          <w:rFonts w:hint="eastAsia" w:ascii="仿宋" w:hAnsi="仿宋" w:eastAsia="仿宋"/>
          <w:sz w:val="32"/>
          <w:szCs w:val="32"/>
          <w:highlight w:val="none"/>
        </w:rPr>
        <w:t>差异</w:t>
      </w:r>
      <w:r>
        <w:rPr>
          <w:rFonts w:hint="eastAsia" w:ascii="仿宋" w:hAnsi="仿宋" w:eastAsia="仿宋"/>
          <w:sz w:val="32"/>
          <w:szCs w:val="32"/>
          <w:highlight w:val="none"/>
          <w:lang w:val="en-US" w:eastAsia="zh-CN"/>
        </w:rPr>
        <w:t>原因是：教师调入，人员增加。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933.44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1732.18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185.57%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教职工的工资福利支出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教师调入，人员增加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15.18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教职工的工资福利支出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教师调入，人员增加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933.44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1747.36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教职工的工资福利支出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教师调入，人员增加</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338705"/>
            <wp:effectExtent l="4445" t="4445" r="16510" b="1905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145.55</w:t>
      </w:r>
      <w:r>
        <w:rPr>
          <w:rFonts w:hint="eastAsia" w:ascii="仿宋" w:hAnsi="仿宋" w:eastAsia="仿宋"/>
          <w:sz w:val="32"/>
          <w:szCs w:val="32"/>
          <w:highlight w:val="none"/>
        </w:rPr>
        <w:t>万元，支出决算为</w:t>
      </w:r>
      <w:r>
        <w:rPr>
          <w:rFonts w:ascii="仿宋" w:hAnsi="仿宋" w:eastAsia="仿宋"/>
          <w:sz w:val="32"/>
          <w:szCs w:val="32"/>
          <w:highlight w:val="none"/>
        </w:rPr>
        <w:t>140.66</w:t>
      </w:r>
      <w:r>
        <w:rPr>
          <w:rFonts w:hint="eastAsia" w:ascii="仿宋" w:hAnsi="仿宋" w:eastAsia="仿宋"/>
          <w:sz w:val="32"/>
          <w:szCs w:val="32"/>
          <w:highlight w:val="none"/>
        </w:rPr>
        <w:t>万元，完成年初预算的</w:t>
      </w:r>
      <w:r>
        <w:rPr>
          <w:rFonts w:ascii="仿宋" w:hAnsi="仿宋" w:eastAsia="仿宋"/>
          <w:sz w:val="32"/>
          <w:szCs w:val="32"/>
          <w:highlight w:val="none"/>
        </w:rPr>
        <w:t>96.64%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原因是：由于年度中有人退休、调出等人员变动和部分资金未能按时支付。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145.55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140.66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96.64%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支付学校教职工的基本养老保险金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年度中有人员退休和调出变动和部分资金未能按时支付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145.55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140.66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支付学校教职工的基本养老保险金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年度中有人员退休和调出变动和部分资金未能按时支付</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512060"/>
            <wp:effectExtent l="4445" t="4445" r="16510" b="1714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109.16</w:t>
      </w:r>
      <w:r>
        <w:rPr>
          <w:rFonts w:hint="eastAsia" w:ascii="仿宋" w:hAnsi="仿宋" w:eastAsia="仿宋"/>
          <w:sz w:val="32"/>
          <w:szCs w:val="32"/>
          <w:highlight w:val="none"/>
        </w:rPr>
        <w:t>万元，支出决算为</w:t>
      </w:r>
      <w:r>
        <w:rPr>
          <w:rFonts w:ascii="仿宋" w:hAnsi="仿宋" w:eastAsia="仿宋"/>
          <w:sz w:val="32"/>
          <w:szCs w:val="32"/>
          <w:highlight w:val="none"/>
        </w:rPr>
        <w:t>106.46</w:t>
      </w:r>
      <w:r>
        <w:rPr>
          <w:rFonts w:hint="eastAsia" w:ascii="仿宋" w:hAnsi="仿宋" w:eastAsia="仿宋"/>
          <w:sz w:val="32"/>
          <w:szCs w:val="32"/>
          <w:highlight w:val="none"/>
        </w:rPr>
        <w:t>万元，完成年初预算的</w:t>
      </w:r>
      <w:r>
        <w:rPr>
          <w:rFonts w:ascii="仿宋" w:hAnsi="仿宋" w:eastAsia="仿宋"/>
          <w:sz w:val="32"/>
          <w:szCs w:val="32"/>
          <w:highlight w:val="none"/>
        </w:rPr>
        <w:t>97.53%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原因是：由于年度中有人退休、调出等人员变动和部分资金未能按时支付。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109.16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106.46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97.53%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支付学校教职工住房公积金单位部分</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由于年度中有人退休、、调出等人员变动和部分资金未能按时支付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109.16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106.46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支付学校教职工住房公积金单位部分</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由于年度中有人退休、、调出等人员变动和部分资金未能按时支付</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183.12</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原因是：2022年度的其他支出不在预算一体化中体现。</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183.12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用于支付2022年度绩效考评奖励金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2022年度的其他支出不在预算一体化中体现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183.12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用于支付2022年度绩效考评奖励金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2022年度的其他支出不在预算一体化中体现</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环江毛南族自治县民族中学2022年度一般公共预算财政拨款基本支出</w:t>
      </w:r>
      <w:r>
        <w:rPr>
          <w:rFonts w:ascii="仿宋" w:hAnsi="仿宋" w:eastAsia="仿宋" w:cs="仿宋"/>
          <w:sz w:val="32"/>
          <w:u w:color="auto"/>
        </w:rPr>
        <w:t>1894.29</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1661.25</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233.04</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1185.76万元，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105.68%</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主要原因是：教师调入，人员增加，支出增加。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518.42万元，30102津贴补贴45.60万元，30103奖金95.39万元，30107绩效工资210.22万元，30108机关事业单位基本养老保险缴费140.66万元，30110职工基本医疗保险缴费61.09万元，30112其他社会保障缴费7.92万元，30113住房公积金106.46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205.23万元，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929.06%</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主要原因是：2022年度商品和服务支出此项资金不在预算一体化中体现，但实际有支出安排。</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30201办公费56.55万元，30205水费33.03万元，30206电费31.75万元，30207邮电费14.18万元，30209物业管理费0.05万元，30211差旅费0.57万元，30213维修（护）费47.31万元，30226劳务费3.60万元，30228工会经费18.19万元。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584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475.49万元，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2608.28%</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主要原因是：2022年度对个人和家庭的补助此项资金不在预算一体化中体现，但实际有支出安排。</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30305生活补助25.48万元，30308助学金424.12万元，30309奖励金0.08万元，30399其他对个人和家庭的补助25.81万元。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主要原因是：学校无债务利息及费用资金。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69210"/>
            <wp:effectExtent l="4445" t="4445" r="16510" b="1714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27.81万元，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主要原因是：学校严格按照年初预算安排使用该项资金。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31002办公设备购置23.93万元，31003专用设备购置3.88万元。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主要原因是：学校没有其他支出资金安排。</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环江毛南族自治县民族中学2022年度政府性基金支出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环江毛南族自治县民族中学2022年度政府性基金支出年初预算为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_GB2312" w:hAnsi="Times New Roman" w:eastAsia="仿宋_GB2312" w:cs="Times New Roman"/>
          <w:color w:val="FF0000"/>
          <w:sz w:val="32"/>
          <w:szCs w:val="32"/>
          <w:lang w:eastAsia="zh-CN"/>
        </w:rPr>
      </w:pPr>
      <w:r>
        <w:rPr>
          <w:rFonts w:hint="eastAsia" w:ascii="仿宋_GB2312" w:hAnsi="Times New Roman" w:eastAsia="仿宋_GB2312" w:cs="Times New Roman"/>
          <w:color w:val="000000" w:themeColor="text1"/>
          <w:sz w:val="32"/>
          <w:szCs w:val="32"/>
          <w14:textFill>
            <w14:solidFill>
              <w14:schemeClr w14:val="tx1"/>
            </w14:solidFill>
          </w14:textFill>
        </w:rPr>
        <w:t>环江毛南族自治县民族中学</w:t>
      </w:r>
      <w:r>
        <w:rPr>
          <w:rFonts w:ascii="仿宋_GB2312" w:hAnsi="仿宋_GB2312" w:eastAsia="仿宋_GB2312" w:cs="仿宋_GB2312"/>
          <w:color w:val="000000" w:themeColor="text1"/>
          <w:sz w:val="32"/>
          <w:u w:color="auto"/>
          <w14:textFill>
            <w14:solidFill>
              <w14:schemeClr w14:val="tx1"/>
            </w14:solidFill>
          </w14:textFill>
        </w:rPr>
        <w:t>没有政府性基金收入，也没有政府性基金收入安排的支出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环江毛南族自治县民族中学2022年度国有资本经营预算支出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环江毛南族自治县民族中学2022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_GB2312" w:hAnsi="Times New Roman" w:eastAsia="仿宋_GB2312" w:cs="Times New Roman"/>
          <w:color w:val="000000" w:themeColor="text1"/>
          <w:sz w:val="32"/>
          <w:szCs w:val="32"/>
          <w14:textFill>
            <w14:solidFill>
              <w14:schemeClr w14:val="tx1"/>
            </w14:solidFill>
          </w14:textFill>
        </w:rPr>
        <w:t>环江毛南族自治县民族中学</w:t>
      </w:r>
      <w:r>
        <w:rPr>
          <w:rFonts w:ascii="仿宋_GB2312" w:hAnsi="仿宋_GB2312" w:eastAsia="仿宋_GB2312" w:cs="仿宋_GB2312"/>
          <w:color w:val="000000" w:themeColor="text1"/>
          <w:sz w:val="32"/>
          <w:u w:color="auto"/>
          <w14:textFill>
            <w14:solidFill>
              <w14:schemeClr w14:val="tx1"/>
            </w14:solidFill>
          </w14:textFill>
        </w:rPr>
        <w:t>没有国有资本经营预算收入，也没有国有资本经营预算收入</w:t>
      </w:r>
      <w:r>
        <w:rPr>
          <w:rFonts w:hint="eastAsia" w:ascii="仿宋_GB2312" w:hAnsi="Times New Roman" w:eastAsia="仿宋_GB2312" w:cs="Times New Roman"/>
          <w:color w:val="000000" w:themeColor="text1"/>
          <w:sz w:val="32"/>
          <w:szCs w:val="32"/>
          <w14:textFill>
            <w14:solidFill>
              <w14:schemeClr w14:val="tx1"/>
            </w14:solidFill>
          </w14:textFill>
        </w:rPr>
        <w:t>安排的支出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学校严格执行环江毛南族自治县“三公”经费的管理规定，严格控制“三公”经费支出。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学校严格执行环江毛南族自治县“因公出国（境）”的管理规定，严格控制“因公出国（境）”经费支出。</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kern w:val="2"/>
          <w:sz w:val="32"/>
          <w:szCs w:val="32"/>
          <w:highlight w:val="none"/>
          <w:lang w:val="en-US" w:eastAsia="zh-CN" w:bidi="ar"/>
        </w:rPr>
        <w:t>学校严格执行环江毛南族自治县“公务车购置及运行”的管理规定，严格控制“公务车购置及运行”经费支出。</w:t>
      </w: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2022年，</w:t>
      </w:r>
      <w:r>
        <w:rPr>
          <w:rFonts w:ascii="仿宋" w:hAnsi="仿宋" w:eastAsia="仿宋" w:cs="仿宋"/>
          <w:sz w:val="32"/>
          <w:u w:color="auto"/>
        </w:rPr>
        <w:t>环江毛南族自治县民族中学</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学校严格执行环江毛南族自治县“公务接待”的管理规定，严格控制“公务接待”经费支出。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比</w:t>
      </w:r>
      <w:r>
        <w:rPr>
          <w:rFonts w:hint="eastAsia" w:ascii="仿宋" w:hAnsi="仿宋" w:eastAsia="仿宋" w:cs="仿宋"/>
          <w:sz w:val="32"/>
          <w:szCs w:val="32"/>
          <w:highlight w:val="none"/>
          <w:lang w:val="en-US" w:eastAsia="zh-CN"/>
        </w:rPr>
        <w:t>2021年度减少了0万元，降低0%。减少的主要原因是：学校严格执行贯彻中央八项规定精神，减少行政运行成本。</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本部门无机关运行经费支出。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2195.79</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一般公共服务支出</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2195.79</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）根据财政预算管理要求，</w:t>
      </w:r>
      <w:r>
        <w:rPr>
          <w:rFonts w:hint="eastAsia" w:ascii="仿宋" w:hAnsi="仿宋" w:eastAsia="仿宋" w:cs="仿宋"/>
          <w:color w:val="auto"/>
          <w:sz w:val="32"/>
          <w:szCs w:val="32"/>
          <w:lang w:val="en-US" w:eastAsia="zh-CN"/>
        </w:rPr>
        <w:t>2022年我校预算绩效评价达到了项目申请时的各项绩效目标。</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）本部门尚未开展部门整体支出绩效评价试点工作。</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对年初预算经费、班主任津贴、城乡义务教育公用经费县级配套资金、顶岗教师工资、环江县教育局2021-2022学年度招聘初级中学顶岗教师经费(150万)(2021年底收回指标)、伙食补助、奖励性补贴、教师节经费、民族班及壮文经费、全县校长绩效工资、思源实验学校2021年年初预算经费(追加小卖部租金)(2021年底收回指标)、义务教育阶段家庭经济困难学生生活自治区补助资金、义务教育中央级公用经费、营养改善计划膳食补助资金、自治区公用经费等</w:t>
      </w:r>
      <w:r>
        <w:rPr>
          <w:rFonts w:hint="eastAsia" w:ascii="仿宋" w:hAnsi="仿宋" w:eastAsia="仿宋" w:cs="仿宋"/>
          <w:color w:val="000000" w:themeColor="text1"/>
          <w:sz w:val="32"/>
          <w:szCs w:val="32"/>
          <w:lang w:val="en-US" w:eastAsia="zh-CN"/>
          <w14:textFill>
            <w14:solidFill>
              <w14:schemeClr w14:val="tx1"/>
            </w14:solidFill>
          </w14:textFill>
        </w:rPr>
        <w:t>14个</w:t>
      </w:r>
      <w:r>
        <w:rPr>
          <w:rFonts w:hint="eastAsia" w:ascii="仿宋" w:hAnsi="仿宋" w:eastAsia="仿宋" w:cs="仿宋"/>
          <w:color w:val="000000" w:themeColor="text1"/>
          <w:sz w:val="32"/>
          <w:szCs w:val="32"/>
          <w14:textFill>
            <w14:solidFill>
              <w14:schemeClr w14:val="tx1"/>
            </w14:solidFill>
          </w14:textFill>
        </w:rPr>
        <w:t>项目自评得分</w:t>
      </w:r>
      <w:r>
        <w:rPr>
          <w:rFonts w:hint="eastAsia" w:ascii="仿宋" w:hAnsi="仿宋" w:eastAsia="仿宋" w:cs="仿宋"/>
          <w:color w:val="000000" w:themeColor="text1"/>
          <w:sz w:val="32"/>
          <w:szCs w:val="32"/>
          <w:lang w:eastAsia="zh-CN"/>
          <w14:textFill>
            <w14:solidFill>
              <w14:schemeClr w14:val="tx1"/>
            </w14:solidFill>
          </w14:textFill>
        </w:rPr>
        <w:t>均</w:t>
      </w:r>
      <w:r>
        <w:rPr>
          <w:rFonts w:hint="eastAsia" w:ascii="仿宋" w:hAnsi="仿宋" w:eastAsia="仿宋" w:cs="仿宋"/>
          <w:color w:val="000000" w:themeColor="text1"/>
          <w:sz w:val="32"/>
          <w:szCs w:val="32"/>
          <w14:textFill>
            <w14:solidFill>
              <w14:schemeClr w14:val="tx1"/>
            </w14:solidFill>
          </w14:textFill>
        </w:rPr>
        <w:t>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没有</w:t>
      </w:r>
      <w:r>
        <w:rPr>
          <w:rFonts w:hint="eastAsia" w:ascii="仿宋" w:hAnsi="仿宋" w:eastAsia="仿宋" w:cs="仿宋"/>
          <w:color w:val="000000" w:themeColor="text1"/>
          <w:sz w:val="32"/>
          <w:szCs w:val="32"/>
          <w14:textFill>
            <w14:solidFill>
              <w14:schemeClr w14:val="tx1"/>
            </w14:solidFill>
          </w14:textFill>
        </w:rPr>
        <w:t>发现</w:t>
      </w:r>
      <w:r>
        <w:rPr>
          <w:rFonts w:hint="eastAsia" w:ascii="仿宋" w:hAnsi="仿宋" w:eastAsia="仿宋" w:cs="仿宋"/>
          <w:color w:val="000000" w:themeColor="text1"/>
          <w:sz w:val="32"/>
          <w:szCs w:val="32"/>
          <w:lang w:eastAsia="zh-CN"/>
          <w14:textFill>
            <w14:solidFill>
              <w14:schemeClr w14:val="tx1"/>
            </w14:solidFill>
          </w14:textFill>
        </w:rPr>
        <w:t>什么</w:t>
      </w:r>
      <w:r>
        <w:rPr>
          <w:rFonts w:hint="eastAsia" w:ascii="仿宋" w:hAnsi="仿宋" w:eastAsia="仿宋" w:cs="仿宋"/>
          <w:color w:val="000000" w:themeColor="text1"/>
          <w:sz w:val="32"/>
          <w:szCs w:val="32"/>
          <w14:textFill>
            <w14:solidFill>
              <w14:schemeClr w14:val="tx1"/>
            </w14:solidFill>
          </w14:textFill>
        </w:rPr>
        <w:t>主要问题</w:t>
      </w:r>
      <w:r>
        <w:rPr>
          <w:rFonts w:hint="eastAsia" w:ascii="仿宋" w:hAnsi="仿宋" w:eastAsia="仿宋" w:cs="仿宋"/>
          <w:color w:val="000000" w:themeColor="text1"/>
          <w:sz w:val="32"/>
          <w:szCs w:val="32"/>
          <w:lang w:eastAsia="zh-CN"/>
          <w14:textFill>
            <w14:solidFill>
              <w14:schemeClr w14:val="tx1"/>
            </w14:solidFill>
          </w14:textFill>
        </w:rPr>
        <w:t>。</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p>
      <w:pPr>
        <w:jc w:val="left"/>
        <w:rPr>
          <w:rFonts w:hint="default" w:ascii="仿宋" w:hAnsi="仿宋" w:eastAsia="仿宋" w:cs="仿宋"/>
          <w:b/>
          <w:bCs/>
          <w:sz w:val="32"/>
          <w:szCs w:val="32"/>
          <w:highlight w:val="none"/>
          <w:lang w:val="en-US" w:eastAsia="zh-CN"/>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lOWE3ZjE1NzMyZjljZDYzN2ZlOGZiOTY2YjBmMDg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7D0F8C"/>
    <w:rsid w:val="02C136FC"/>
    <w:rsid w:val="02E0291A"/>
    <w:rsid w:val="04CC1F13"/>
    <w:rsid w:val="04E54546"/>
    <w:rsid w:val="05992762"/>
    <w:rsid w:val="06046C5E"/>
    <w:rsid w:val="06755988"/>
    <w:rsid w:val="07B0770E"/>
    <w:rsid w:val="08BA6A96"/>
    <w:rsid w:val="08EF4AFC"/>
    <w:rsid w:val="0942143F"/>
    <w:rsid w:val="098B0C62"/>
    <w:rsid w:val="09A210E9"/>
    <w:rsid w:val="0B515613"/>
    <w:rsid w:val="0D100297"/>
    <w:rsid w:val="0D202B45"/>
    <w:rsid w:val="0D8B6C53"/>
    <w:rsid w:val="0F075642"/>
    <w:rsid w:val="0F44355D"/>
    <w:rsid w:val="0F8D4C87"/>
    <w:rsid w:val="0FC05753"/>
    <w:rsid w:val="10505FAA"/>
    <w:rsid w:val="105F7E7E"/>
    <w:rsid w:val="106B556A"/>
    <w:rsid w:val="10AF0C80"/>
    <w:rsid w:val="10B464C1"/>
    <w:rsid w:val="11BD75F7"/>
    <w:rsid w:val="11BE57B6"/>
    <w:rsid w:val="11E56B5B"/>
    <w:rsid w:val="120C0CA8"/>
    <w:rsid w:val="121865DB"/>
    <w:rsid w:val="125C77AB"/>
    <w:rsid w:val="14865BA4"/>
    <w:rsid w:val="14CB726E"/>
    <w:rsid w:val="17E92249"/>
    <w:rsid w:val="18D304F1"/>
    <w:rsid w:val="18ED431E"/>
    <w:rsid w:val="19F32577"/>
    <w:rsid w:val="19F45B80"/>
    <w:rsid w:val="1B0C078D"/>
    <w:rsid w:val="1B2B31E2"/>
    <w:rsid w:val="1B4C295A"/>
    <w:rsid w:val="1B973C63"/>
    <w:rsid w:val="1BA1001E"/>
    <w:rsid w:val="1CB533A4"/>
    <w:rsid w:val="1D317259"/>
    <w:rsid w:val="1DCF493A"/>
    <w:rsid w:val="1E664F5B"/>
    <w:rsid w:val="1E780220"/>
    <w:rsid w:val="1EB34BE1"/>
    <w:rsid w:val="211803A6"/>
    <w:rsid w:val="215E639F"/>
    <w:rsid w:val="21E40288"/>
    <w:rsid w:val="21EC3183"/>
    <w:rsid w:val="225E72CD"/>
    <w:rsid w:val="22737F8A"/>
    <w:rsid w:val="246E2F77"/>
    <w:rsid w:val="254B4E2B"/>
    <w:rsid w:val="26C50012"/>
    <w:rsid w:val="26C81D34"/>
    <w:rsid w:val="283D7C94"/>
    <w:rsid w:val="292B0FEE"/>
    <w:rsid w:val="29480E03"/>
    <w:rsid w:val="2983634D"/>
    <w:rsid w:val="29F43A2A"/>
    <w:rsid w:val="2AD7713E"/>
    <w:rsid w:val="2BB02055"/>
    <w:rsid w:val="2C575A56"/>
    <w:rsid w:val="2CB26622"/>
    <w:rsid w:val="2D0B0465"/>
    <w:rsid w:val="2D48234F"/>
    <w:rsid w:val="2D8079FF"/>
    <w:rsid w:val="2F061B92"/>
    <w:rsid w:val="2F257714"/>
    <w:rsid w:val="2F3275E5"/>
    <w:rsid w:val="2F9A23AE"/>
    <w:rsid w:val="30466CDD"/>
    <w:rsid w:val="30AA08EF"/>
    <w:rsid w:val="30D23D1C"/>
    <w:rsid w:val="30E958BB"/>
    <w:rsid w:val="31221CF5"/>
    <w:rsid w:val="31400178"/>
    <w:rsid w:val="31E16592"/>
    <w:rsid w:val="321E3342"/>
    <w:rsid w:val="327759C8"/>
    <w:rsid w:val="330306F8"/>
    <w:rsid w:val="33185FE3"/>
    <w:rsid w:val="335E0002"/>
    <w:rsid w:val="345B6AD0"/>
    <w:rsid w:val="34B2081D"/>
    <w:rsid w:val="34EE2E36"/>
    <w:rsid w:val="352E1899"/>
    <w:rsid w:val="35DE3514"/>
    <w:rsid w:val="36777241"/>
    <w:rsid w:val="369A5D50"/>
    <w:rsid w:val="36D90920"/>
    <w:rsid w:val="371E78D5"/>
    <w:rsid w:val="37E414FC"/>
    <w:rsid w:val="38433B03"/>
    <w:rsid w:val="38A951DB"/>
    <w:rsid w:val="38B31605"/>
    <w:rsid w:val="38D5691A"/>
    <w:rsid w:val="38EF3C8A"/>
    <w:rsid w:val="39003F4F"/>
    <w:rsid w:val="3C07002B"/>
    <w:rsid w:val="3D0D152A"/>
    <w:rsid w:val="3DB539B2"/>
    <w:rsid w:val="3DF62756"/>
    <w:rsid w:val="3E801694"/>
    <w:rsid w:val="3F1B7587"/>
    <w:rsid w:val="3F7C3F52"/>
    <w:rsid w:val="40664F28"/>
    <w:rsid w:val="416E21EB"/>
    <w:rsid w:val="41997E32"/>
    <w:rsid w:val="41E57B4F"/>
    <w:rsid w:val="423E2F0A"/>
    <w:rsid w:val="432F26F6"/>
    <w:rsid w:val="43880F63"/>
    <w:rsid w:val="441C5A6F"/>
    <w:rsid w:val="44C44FCC"/>
    <w:rsid w:val="44CC7369"/>
    <w:rsid w:val="457F5108"/>
    <w:rsid w:val="45C85BE6"/>
    <w:rsid w:val="45F76F34"/>
    <w:rsid w:val="46951B6B"/>
    <w:rsid w:val="474B4782"/>
    <w:rsid w:val="493E02D2"/>
    <w:rsid w:val="49A34401"/>
    <w:rsid w:val="4A3E30AB"/>
    <w:rsid w:val="4AC14DAC"/>
    <w:rsid w:val="4B047E79"/>
    <w:rsid w:val="4B5F25AA"/>
    <w:rsid w:val="4D154C85"/>
    <w:rsid w:val="4D46378C"/>
    <w:rsid w:val="4DDC6134"/>
    <w:rsid w:val="4DDD3C5A"/>
    <w:rsid w:val="4E0659E0"/>
    <w:rsid w:val="4EB35ECE"/>
    <w:rsid w:val="4F38383D"/>
    <w:rsid w:val="50487AB0"/>
    <w:rsid w:val="508F4E24"/>
    <w:rsid w:val="51461E90"/>
    <w:rsid w:val="51463753"/>
    <w:rsid w:val="51D63F96"/>
    <w:rsid w:val="52466271"/>
    <w:rsid w:val="52553A93"/>
    <w:rsid w:val="530374BA"/>
    <w:rsid w:val="53521F8B"/>
    <w:rsid w:val="53E22F47"/>
    <w:rsid w:val="53F561A1"/>
    <w:rsid w:val="54522FF8"/>
    <w:rsid w:val="55450629"/>
    <w:rsid w:val="561D378D"/>
    <w:rsid w:val="56692963"/>
    <w:rsid w:val="568B0F48"/>
    <w:rsid w:val="5786217B"/>
    <w:rsid w:val="591A2E7E"/>
    <w:rsid w:val="591E3AA4"/>
    <w:rsid w:val="59337A15"/>
    <w:rsid w:val="59810274"/>
    <w:rsid w:val="59BA66BC"/>
    <w:rsid w:val="5A48519F"/>
    <w:rsid w:val="5A5D05FC"/>
    <w:rsid w:val="5B064D8F"/>
    <w:rsid w:val="5B463441"/>
    <w:rsid w:val="5CA96A00"/>
    <w:rsid w:val="5CF730BC"/>
    <w:rsid w:val="5E5F0DCE"/>
    <w:rsid w:val="5EAA5DDA"/>
    <w:rsid w:val="5F0E0117"/>
    <w:rsid w:val="5F7F61D2"/>
    <w:rsid w:val="5FA40A7B"/>
    <w:rsid w:val="5FAF36A8"/>
    <w:rsid w:val="5FD56D29"/>
    <w:rsid w:val="5FEC7F3F"/>
    <w:rsid w:val="606F1089"/>
    <w:rsid w:val="60F74BC3"/>
    <w:rsid w:val="61702EF6"/>
    <w:rsid w:val="617D3BF8"/>
    <w:rsid w:val="61841F6A"/>
    <w:rsid w:val="61C70794"/>
    <w:rsid w:val="623007A9"/>
    <w:rsid w:val="62A274F4"/>
    <w:rsid w:val="637D7558"/>
    <w:rsid w:val="63E1404C"/>
    <w:rsid w:val="644F19AC"/>
    <w:rsid w:val="65AA4920"/>
    <w:rsid w:val="65E31D0B"/>
    <w:rsid w:val="668F7603"/>
    <w:rsid w:val="67551ABB"/>
    <w:rsid w:val="67694F1E"/>
    <w:rsid w:val="69597934"/>
    <w:rsid w:val="699D0A15"/>
    <w:rsid w:val="6A876FCF"/>
    <w:rsid w:val="6B964DDC"/>
    <w:rsid w:val="6C783074"/>
    <w:rsid w:val="6D1E3C1B"/>
    <w:rsid w:val="6D9E65C6"/>
    <w:rsid w:val="6DA81947"/>
    <w:rsid w:val="6E7B1309"/>
    <w:rsid w:val="6EB66DE2"/>
    <w:rsid w:val="6ED3075F"/>
    <w:rsid w:val="6F2A2D4B"/>
    <w:rsid w:val="6F8A0C1E"/>
    <w:rsid w:val="703F45D4"/>
    <w:rsid w:val="70DD3DED"/>
    <w:rsid w:val="713A7A58"/>
    <w:rsid w:val="715D6546"/>
    <w:rsid w:val="71BE069E"/>
    <w:rsid w:val="729445D6"/>
    <w:rsid w:val="736B3504"/>
    <w:rsid w:val="73953409"/>
    <w:rsid w:val="73E069A3"/>
    <w:rsid w:val="74E41BEE"/>
    <w:rsid w:val="75CD4430"/>
    <w:rsid w:val="76E9EA5D"/>
    <w:rsid w:val="77152EE5"/>
    <w:rsid w:val="78104AA8"/>
    <w:rsid w:val="78446C36"/>
    <w:rsid w:val="78D37FAF"/>
    <w:rsid w:val="78E257C5"/>
    <w:rsid w:val="794B35BE"/>
    <w:rsid w:val="79AB6836"/>
    <w:rsid w:val="7A700C4D"/>
    <w:rsid w:val="7B0A3A31"/>
    <w:rsid w:val="7B3360ED"/>
    <w:rsid w:val="7BDF037E"/>
    <w:rsid w:val="7BEE3BA1"/>
    <w:rsid w:val="7BF50948"/>
    <w:rsid w:val="7CE66A78"/>
    <w:rsid w:val="7D081A47"/>
    <w:rsid w:val="7D23564C"/>
    <w:rsid w:val="7D5E062D"/>
    <w:rsid w:val="7DD02D0F"/>
    <w:rsid w:val="7DF76CD8"/>
    <w:rsid w:val="7E851D4C"/>
    <w:rsid w:val="7F5931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5.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2195.79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25.48</c:v>
                </c:pt>
                <c:pt idx="5">
                  <c:v>0</c:v>
                </c:pt>
                <c:pt idx="6">
                  <c:v>0</c:v>
                </c:pt>
                <c:pt idx="7">
                  <c:v>424.12</c:v>
                </c:pt>
                <c:pt idx="8">
                  <c:v>0.08</c:v>
                </c:pt>
                <c:pt idx="9">
                  <c:v>0</c:v>
                </c:pt>
                <c:pt idx="10">
                  <c:v>0</c:v>
                </c:pt>
                <c:pt idx="11">
                  <c:v>25.81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23.93</c:v>
                </c:pt>
                <c:pt idx="2">
                  <c:v>3.88</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1530.38</c:v>
                </c:pt>
                <c:pt idx="2">
                  <c:v>125.03</c:v>
                </c:pt>
                <c:pt idx="3">
                  <c:v>65.88</c:v>
                </c:pt>
                <c:pt idx="4">
                  <c:v>189.54</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18.19</c:v>
                </c:pt>
                <c:pt idx="1">
                  <c:v>1747.36</c:v>
                </c:pt>
                <c:pt idx="2">
                  <c:v>140.66</c:v>
                </c:pt>
                <c:pt idx="3">
                  <c:v>106.46</c:v>
                </c:pt>
                <c:pt idx="4">
                  <c:v>183.12</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18.19</c:v>
                </c:pt>
                <c:pt idx="1">
                  <c:v>18.19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2050203</c:v>
                </c:pt>
                <c:pt idx="1">
                  <c:v>2050299</c:v>
                </c:pt>
                <c:pt idx="2">
                  <c:v>205x</c:v>
                </c:pt>
              </c:strCache>
            </c:strRef>
          </c:cat>
          <c:val>
            <c:numRef>
              <c:f>Sheet1!$B$2:$B$4</c:f>
              <c:numCache>
                <c:formatCode>General</c:formatCode>
                <c:ptCount val="3"/>
                <c:pt idx="0">
                  <c:v>1732.18</c:v>
                </c:pt>
                <c:pt idx="1">
                  <c:v>15.18</c:v>
                </c:pt>
                <c:pt idx="2">
                  <c:v>1747.36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140.66</c:v>
                </c:pt>
                <c:pt idx="1">
                  <c:v>140.66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106.46</c:v>
                </c:pt>
                <c:pt idx="1">
                  <c:v>106.46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183.12</c:v>
                </c:pt>
                <c:pt idx="1">
                  <c:v>183.12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518.42</c:v>
                </c:pt>
                <c:pt idx="1">
                  <c:v>45.6</c:v>
                </c:pt>
                <c:pt idx="2">
                  <c:v>95.39</c:v>
                </c:pt>
                <c:pt idx="3">
                  <c:v>0</c:v>
                </c:pt>
                <c:pt idx="4">
                  <c:v>210.22</c:v>
                </c:pt>
                <c:pt idx="5">
                  <c:v>140.66</c:v>
                </c:pt>
                <c:pt idx="6">
                  <c:v>0</c:v>
                </c:pt>
                <c:pt idx="7">
                  <c:v>61.09</c:v>
                </c:pt>
                <c:pt idx="8">
                  <c:v>0</c:v>
                </c:pt>
                <c:pt idx="9">
                  <c:v>7.92</c:v>
                </c:pt>
                <c:pt idx="10">
                  <c:v>106.46</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56.55</c:v>
                </c:pt>
                <c:pt idx="1">
                  <c:v>0</c:v>
                </c:pt>
                <c:pt idx="2">
                  <c:v>0</c:v>
                </c:pt>
                <c:pt idx="3">
                  <c:v>0</c:v>
                </c:pt>
                <c:pt idx="4">
                  <c:v>33.03</c:v>
                </c:pt>
                <c:pt idx="5">
                  <c:v>31.75</c:v>
                </c:pt>
                <c:pt idx="6">
                  <c:v>14.18</c:v>
                </c:pt>
                <c:pt idx="7">
                  <c:v>0</c:v>
                </c:pt>
                <c:pt idx="8">
                  <c:v>0.05</c:v>
                </c:pt>
                <c:pt idx="9">
                  <c:v>0.57</c:v>
                </c:pt>
                <c:pt idx="10">
                  <c:v>0</c:v>
                </c:pt>
                <c:pt idx="11">
                  <c:v>47.31</c:v>
                </c:pt>
                <c:pt idx="12">
                  <c:v>0</c:v>
                </c:pt>
                <c:pt idx="13">
                  <c:v>0</c:v>
                </c:pt>
                <c:pt idx="14">
                  <c:v>0</c:v>
                </c:pt>
                <c:pt idx="15">
                  <c:v>0</c:v>
                </c:pt>
                <c:pt idx="16">
                  <c:v>0</c:v>
                </c:pt>
                <c:pt idx="17">
                  <c:v>0</c:v>
                </c:pt>
                <c:pt idx="18">
                  <c:v>0</c:v>
                </c:pt>
                <c:pt idx="19">
                  <c:v>3.6</c:v>
                </c:pt>
                <c:pt idx="20">
                  <c:v>0</c:v>
                </c:pt>
                <c:pt idx="21">
                  <c:v>18.19</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2</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2023-11-28T04:02:21Z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