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center"/>
        <w:rPr>
          <w:rFonts w:ascii="黑体" w:hAnsi="黑体" w:eastAsia="黑体" w:cs="黑体"/>
          <w:b/>
          <w:bCs/>
          <w:color w:val="auto"/>
          <w:sz w:val="52"/>
          <w:szCs w:val="52"/>
          <w:highlight w:val="none"/>
        </w:rPr>
      </w:pPr>
      <w:r>
        <w:rPr>
          <w:rFonts w:hint="eastAsia" w:ascii="黑体" w:hAnsi="黑体" w:eastAsia="黑体" w:cs="黑体"/>
          <w:b/>
          <w:bCs/>
          <w:color w:val="auto"/>
          <w:sz w:val="52"/>
          <w:szCs w:val="52"/>
          <w:highlight w:val="none"/>
          <w:lang w:eastAsia="zh-CN"/>
        </w:rPr>
        <w:t>环江毛南族自治县</w:t>
      </w:r>
      <w:r>
        <w:rPr>
          <w:rFonts w:hint="eastAsia" w:ascii="黑体" w:hAnsi="黑体" w:eastAsia="黑体" w:cs="黑体"/>
          <w:b/>
          <w:bCs/>
          <w:color w:val="auto"/>
          <w:sz w:val="52"/>
          <w:szCs w:val="52"/>
          <w:highlight w:val="none"/>
        </w:rPr>
        <w:t>第一小学2022年度部门决算</w:t>
      </w:r>
    </w:p>
    <w:p>
      <w:pPr>
        <w:jc w:val="center"/>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center"/>
        <w:rPr>
          <w:rFonts w:ascii="黑体" w:hAnsi="黑体" w:eastAsia="黑体" w:cs="黑体"/>
          <w:b/>
          <w:bCs/>
          <w:color w:val="auto"/>
          <w:sz w:val="36"/>
          <w:szCs w:val="36"/>
          <w:highlight w:val="none"/>
        </w:rPr>
      </w:pPr>
      <w:r>
        <w:rPr>
          <w:rFonts w:hint="eastAsia" w:ascii="黑体" w:hAnsi="黑体" w:eastAsia="黑体" w:cs="黑体"/>
          <w:b/>
          <w:bCs/>
          <w:color w:val="auto"/>
          <w:sz w:val="36"/>
          <w:szCs w:val="36"/>
          <w:highlight w:val="none"/>
        </w:rPr>
        <w:t>2023年</w:t>
      </w:r>
      <w:r>
        <w:rPr>
          <w:rFonts w:hint="eastAsia" w:ascii="黑体" w:hAnsi="黑体" w:eastAsia="黑体" w:cs="黑体"/>
          <w:b/>
          <w:bCs/>
          <w:color w:val="auto"/>
          <w:sz w:val="36"/>
          <w:szCs w:val="36"/>
          <w:highlight w:val="none"/>
          <w:lang w:val="en-US" w:eastAsia="zh-CN"/>
        </w:rPr>
        <w:t>10</w:t>
      </w:r>
      <w:r>
        <w:rPr>
          <w:rFonts w:hint="eastAsia" w:ascii="黑体" w:hAnsi="黑体" w:eastAsia="黑体" w:cs="黑体"/>
          <w:b/>
          <w:bCs/>
          <w:color w:val="auto"/>
          <w:sz w:val="36"/>
          <w:szCs w:val="36"/>
          <w:highlight w:val="none"/>
        </w:rPr>
        <w:t>月</w:t>
      </w:r>
    </w:p>
    <w:p>
      <w:pPr>
        <w:rPr>
          <w:rFonts w:ascii="仿宋" w:hAnsi="仿宋" w:eastAsia="仿宋" w:cs="仿宋"/>
          <w:color w:val="auto"/>
          <w:sz w:val="32"/>
          <w:szCs w:val="32"/>
          <w:highlight w:val="none"/>
        </w:rPr>
      </w:pPr>
      <w:r>
        <w:rPr>
          <w:rFonts w:ascii="仿宋" w:hAnsi="仿宋" w:eastAsia="仿宋" w:cs="仿宋"/>
          <w:color w:val="auto"/>
          <w:sz w:val="32"/>
          <w:szCs w:val="32"/>
          <w:highlight w:val="none"/>
        </w:rPr>
        <w:br w:type="page"/>
      </w:r>
    </w:p>
    <w:p>
      <w:pPr>
        <w:keepNext w:val="0"/>
        <w:keepLines w:val="0"/>
        <w:pageBreakBefore w:val="0"/>
        <w:widowControl w:val="0"/>
        <w:kinsoku/>
        <w:wordWrap/>
        <w:overflowPunct/>
        <w:topLinePunct w:val="0"/>
        <w:bidi w:val="0"/>
        <w:snapToGrid/>
        <w:spacing w:line="560" w:lineRule="exact"/>
        <w:jc w:val="center"/>
        <w:textAlignment w:val="auto"/>
        <w:rPr>
          <w:rFonts w:hint="eastAsia" w:ascii="黑体" w:hAnsi="黑体" w:eastAsia="黑体" w:cs="黑体"/>
          <w:b/>
          <w:bCs/>
          <w:color w:val="auto"/>
          <w:sz w:val="36"/>
          <w:szCs w:val="36"/>
          <w:highlight w:val="none"/>
        </w:rPr>
      </w:pPr>
    </w:p>
    <w:p>
      <w:pPr>
        <w:keepNext w:val="0"/>
        <w:keepLines w:val="0"/>
        <w:pageBreakBefore w:val="0"/>
        <w:widowControl w:val="0"/>
        <w:kinsoku/>
        <w:wordWrap/>
        <w:overflowPunct/>
        <w:topLinePunct w:val="0"/>
        <w:bidi w:val="0"/>
        <w:snapToGrid/>
        <w:spacing w:line="560" w:lineRule="exact"/>
        <w:jc w:val="center"/>
        <w:textAlignment w:val="auto"/>
        <w:rPr>
          <w:rFonts w:hint="eastAsia" w:ascii="黑体" w:hAnsi="黑体" w:eastAsia="黑体" w:cs="黑体"/>
          <w:b/>
          <w:bCs/>
          <w:color w:val="auto"/>
          <w:sz w:val="36"/>
          <w:szCs w:val="36"/>
          <w:highlight w:val="none"/>
        </w:rPr>
      </w:pPr>
      <w:r>
        <w:rPr>
          <w:rFonts w:hint="eastAsia" w:ascii="黑体" w:hAnsi="黑体" w:eastAsia="黑体" w:cs="黑体"/>
          <w:b/>
          <w:bCs/>
          <w:color w:val="auto"/>
          <w:sz w:val="36"/>
          <w:szCs w:val="36"/>
          <w:highlight w:val="none"/>
        </w:rPr>
        <w:t>目</w:t>
      </w:r>
      <w:r>
        <w:rPr>
          <w:rFonts w:hint="eastAsia" w:ascii="黑体" w:hAnsi="黑体" w:eastAsia="黑体" w:cs="黑体"/>
          <w:b/>
          <w:bCs/>
          <w:color w:val="auto"/>
          <w:sz w:val="36"/>
          <w:szCs w:val="36"/>
          <w:highlight w:val="none"/>
          <w:lang w:val="en-US" w:eastAsia="zh-CN"/>
        </w:rPr>
        <w:t xml:space="preserve">  </w:t>
      </w:r>
      <w:r>
        <w:rPr>
          <w:rFonts w:hint="eastAsia" w:ascii="黑体" w:hAnsi="黑体" w:eastAsia="黑体" w:cs="黑体"/>
          <w:b/>
          <w:bCs/>
          <w:color w:val="auto"/>
          <w:sz w:val="36"/>
          <w:szCs w:val="36"/>
          <w:highlight w:val="none"/>
        </w:rPr>
        <w:t xml:space="preserve"> 录</w:t>
      </w:r>
    </w:p>
    <w:p>
      <w:pPr>
        <w:keepNext w:val="0"/>
        <w:keepLines w:val="0"/>
        <w:pageBreakBefore w:val="0"/>
        <w:widowControl w:val="0"/>
        <w:kinsoku/>
        <w:wordWrap/>
        <w:overflowPunct/>
        <w:topLinePunct w:val="0"/>
        <w:bidi w:val="0"/>
        <w:snapToGrid/>
        <w:spacing w:line="560" w:lineRule="exact"/>
        <w:jc w:val="center"/>
        <w:textAlignment w:val="auto"/>
        <w:rPr>
          <w:rFonts w:hint="eastAsia" w:ascii="黑体" w:hAnsi="黑体" w:eastAsia="黑体" w:cs="黑体"/>
          <w:b/>
          <w:bCs/>
          <w:color w:val="auto"/>
          <w:sz w:val="36"/>
          <w:szCs w:val="36"/>
          <w:highlight w:val="none"/>
        </w:rPr>
      </w:pPr>
    </w:p>
    <w:p>
      <w:pPr>
        <w:keepNext w:val="0"/>
        <w:keepLines w:val="0"/>
        <w:pageBreakBefore w:val="0"/>
        <w:widowControl w:val="0"/>
        <w:kinsoku/>
        <w:wordWrap/>
        <w:overflowPunct/>
        <w:topLinePunct w:val="0"/>
        <w:bidi w:val="0"/>
        <w:snapToGrid/>
        <w:spacing w:line="640" w:lineRule="exact"/>
        <w:jc w:val="left"/>
        <w:textAlignment w:val="auto"/>
        <w:rPr>
          <w:rFonts w:ascii="仿宋" w:hAnsi="仿宋" w:eastAsia="仿宋" w:cs="仿宋"/>
          <w:color w:val="auto"/>
          <w:sz w:val="30"/>
          <w:szCs w:val="30"/>
          <w:highlight w:val="none"/>
        </w:rPr>
      </w:pPr>
      <w:r>
        <w:rPr>
          <w:rFonts w:hint="eastAsia" w:ascii="黑体" w:hAnsi="黑体" w:eastAsia="黑体" w:cs="黑体"/>
          <w:color w:val="auto"/>
          <w:sz w:val="30"/>
          <w:szCs w:val="30"/>
          <w:highlight w:val="none"/>
        </w:rPr>
        <w:t>第一部分：</w:t>
      </w:r>
      <w:r>
        <w:rPr>
          <w:rFonts w:hint="eastAsia" w:ascii="黑体" w:hAnsi="黑体" w:eastAsia="黑体" w:cs="黑体"/>
          <w:color w:val="auto"/>
          <w:sz w:val="30"/>
          <w:szCs w:val="30"/>
          <w:highlight w:val="none"/>
          <w:u w:color="auto"/>
          <w:lang w:eastAsia="zh-CN"/>
        </w:rPr>
        <w:t>环江毛南族自治县</w:t>
      </w:r>
      <w:r>
        <w:rPr>
          <w:rFonts w:ascii="黑体" w:hAnsi="黑体" w:eastAsia="黑体" w:cs="黑体"/>
          <w:color w:val="auto"/>
          <w:sz w:val="30"/>
          <w:szCs w:val="30"/>
          <w:highlight w:val="none"/>
          <w:u w:color="auto"/>
        </w:rPr>
        <w:t>第一小学</w:t>
      </w:r>
      <w:r>
        <w:rPr>
          <w:rFonts w:hint="eastAsia" w:ascii="黑体" w:hAnsi="黑体" w:eastAsia="黑体" w:cs="黑体"/>
          <w:color w:val="auto"/>
          <w:sz w:val="30"/>
          <w:szCs w:val="30"/>
          <w:highlight w:val="none"/>
        </w:rPr>
        <w:t>概况</w:t>
      </w:r>
    </w:p>
    <w:p>
      <w:pPr>
        <w:keepNext w:val="0"/>
        <w:keepLines w:val="0"/>
        <w:pageBreakBefore w:val="0"/>
        <w:widowControl w:val="0"/>
        <w:kinsoku/>
        <w:wordWrap/>
        <w:overflowPunct/>
        <w:topLinePunct w:val="0"/>
        <w:bidi w:val="0"/>
        <w:snapToGrid/>
        <w:spacing w:line="640" w:lineRule="exact"/>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一、主要职能</w:t>
      </w:r>
    </w:p>
    <w:p>
      <w:pPr>
        <w:keepNext w:val="0"/>
        <w:keepLines w:val="0"/>
        <w:pageBreakBefore w:val="0"/>
        <w:widowControl w:val="0"/>
        <w:kinsoku/>
        <w:wordWrap/>
        <w:overflowPunct/>
        <w:topLinePunct w:val="0"/>
        <w:bidi w:val="0"/>
        <w:snapToGrid/>
        <w:spacing w:line="640" w:lineRule="exact"/>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二、部门决算单位构成</w:t>
      </w:r>
    </w:p>
    <w:p>
      <w:pPr>
        <w:keepNext w:val="0"/>
        <w:keepLines w:val="0"/>
        <w:pageBreakBefore w:val="0"/>
        <w:widowControl w:val="0"/>
        <w:kinsoku/>
        <w:wordWrap/>
        <w:overflowPunct/>
        <w:topLinePunct w:val="0"/>
        <w:bidi w:val="0"/>
        <w:snapToGrid/>
        <w:spacing w:line="640" w:lineRule="exact"/>
        <w:jc w:val="both"/>
        <w:textAlignment w:val="auto"/>
        <w:rPr>
          <w:rFonts w:ascii="黑体" w:hAnsi="黑体" w:eastAsia="黑体" w:cs="黑体"/>
          <w:color w:val="auto"/>
          <w:sz w:val="30"/>
          <w:szCs w:val="30"/>
          <w:highlight w:val="none"/>
        </w:rPr>
      </w:pPr>
      <w:r>
        <w:rPr>
          <w:rFonts w:hint="eastAsia" w:ascii="黑体" w:hAnsi="黑体" w:eastAsia="黑体" w:cs="黑体"/>
          <w:color w:val="auto"/>
          <w:sz w:val="30"/>
          <w:szCs w:val="30"/>
          <w:highlight w:val="none"/>
        </w:rPr>
        <w:t>第二部分：</w:t>
      </w:r>
      <w:r>
        <w:rPr>
          <w:rFonts w:hint="eastAsia" w:ascii="黑体" w:hAnsi="黑体" w:eastAsia="黑体" w:cs="黑体"/>
          <w:color w:val="auto"/>
          <w:sz w:val="30"/>
          <w:szCs w:val="30"/>
          <w:highlight w:val="none"/>
          <w:u w:color="auto"/>
          <w:lang w:eastAsia="zh-CN"/>
        </w:rPr>
        <w:t>环江毛南族自治县</w:t>
      </w:r>
      <w:r>
        <w:rPr>
          <w:rFonts w:ascii="黑体" w:hAnsi="黑体" w:eastAsia="黑体" w:cs="黑体"/>
          <w:color w:val="auto"/>
          <w:sz w:val="30"/>
          <w:szCs w:val="30"/>
          <w:highlight w:val="none"/>
          <w:u w:color="auto"/>
        </w:rPr>
        <w:t>第一小学</w:t>
      </w:r>
      <w:r>
        <w:rPr>
          <w:rFonts w:hint="eastAsia" w:ascii="黑体" w:hAnsi="黑体" w:eastAsia="黑体" w:cs="黑体"/>
          <w:color w:val="auto"/>
          <w:sz w:val="30"/>
          <w:szCs w:val="30"/>
          <w:highlight w:val="none"/>
        </w:rPr>
        <w:t>2022年度部门决算报表</w:t>
      </w:r>
    </w:p>
    <w:p>
      <w:pPr>
        <w:keepNext w:val="0"/>
        <w:keepLines w:val="0"/>
        <w:pageBreakBefore w:val="0"/>
        <w:widowControl w:val="0"/>
        <w:kinsoku/>
        <w:wordWrap/>
        <w:overflowPunct/>
        <w:topLinePunct w:val="0"/>
        <w:bidi w:val="0"/>
        <w:snapToGrid/>
        <w:spacing w:line="640" w:lineRule="exact"/>
        <w:textAlignment w:val="auto"/>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表一：收入支出决算总表</w:t>
      </w:r>
    </w:p>
    <w:p>
      <w:pPr>
        <w:keepNext w:val="0"/>
        <w:keepLines w:val="0"/>
        <w:pageBreakBefore w:val="0"/>
        <w:widowControl w:val="0"/>
        <w:kinsoku/>
        <w:wordWrap/>
        <w:overflowPunct/>
        <w:topLinePunct w:val="0"/>
        <w:bidi w:val="0"/>
        <w:snapToGrid/>
        <w:spacing w:line="640" w:lineRule="exact"/>
        <w:textAlignment w:val="auto"/>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表二：收入决算表</w:t>
      </w:r>
    </w:p>
    <w:p>
      <w:pPr>
        <w:keepNext w:val="0"/>
        <w:keepLines w:val="0"/>
        <w:pageBreakBefore w:val="0"/>
        <w:widowControl w:val="0"/>
        <w:kinsoku/>
        <w:wordWrap/>
        <w:overflowPunct/>
        <w:topLinePunct w:val="0"/>
        <w:bidi w:val="0"/>
        <w:snapToGrid/>
        <w:spacing w:line="640" w:lineRule="exact"/>
        <w:textAlignment w:val="auto"/>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表三：支出决算表</w:t>
      </w:r>
    </w:p>
    <w:p>
      <w:pPr>
        <w:keepNext w:val="0"/>
        <w:keepLines w:val="0"/>
        <w:pageBreakBefore w:val="0"/>
        <w:widowControl w:val="0"/>
        <w:kinsoku/>
        <w:wordWrap/>
        <w:overflowPunct/>
        <w:topLinePunct w:val="0"/>
        <w:bidi w:val="0"/>
        <w:snapToGrid/>
        <w:spacing w:line="640" w:lineRule="exact"/>
        <w:textAlignment w:val="auto"/>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表四：财政拨款收入支出决算总表</w:t>
      </w:r>
    </w:p>
    <w:p>
      <w:pPr>
        <w:keepNext w:val="0"/>
        <w:keepLines w:val="0"/>
        <w:pageBreakBefore w:val="0"/>
        <w:widowControl w:val="0"/>
        <w:kinsoku/>
        <w:wordWrap/>
        <w:overflowPunct/>
        <w:topLinePunct w:val="0"/>
        <w:bidi w:val="0"/>
        <w:snapToGrid/>
        <w:spacing w:line="640" w:lineRule="exact"/>
        <w:textAlignment w:val="auto"/>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表五：一般公共预算财政拨款支出决算表</w:t>
      </w:r>
    </w:p>
    <w:p>
      <w:pPr>
        <w:keepNext w:val="0"/>
        <w:keepLines w:val="0"/>
        <w:pageBreakBefore w:val="0"/>
        <w:widowControl w:val="0"/>
        <w:kinsoku/>
        <w:wordWrap/>
        <w:overflowPunct/>
        <w:topLinePunct w:val="0"/>
        <w:bidi w:val="0"/>
        <w:snapToGrid/>
        <w:spacing w:line="640" w:lineRule="exact"/>
        <w:textAlignment w:val="auto"/>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表六：一般公共预算财政拨款基本支出决算明细表</w:t>
      </w:r>
    </w:p>
    <w:p>
      <w:pPr>
        <w:keepNext w:val="0"/>
        <w:keepLines w:val="0"/>
        <w:pageBreakBefore w:val="0"/>
        <w:widowControl w:val="0"/>
        <w:kinsoku/>
        <w:wordWrap/>
        <w:overflowPunct/>
        <w:topLinePunct w:val="0"/>
        <w:bidi w:val="0"/>
        <w:snapToGrid/>
        <w:spacing w:line="640" w:lineRule="exact"/>
        <w:textAlignment w:val="auto"/>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表七：政府性基金</w:t>
      </w:r>
      <w:r>
        <w:rPr>
          <w:rFonts w:hint="eastAsia" w:ascii="仿宋_GB2312" w:hAnsi="黑体" w:eastAsia="仿宋_GB2312"/>
          <w:color w:val="auto"/>
          <w:sz w:val="30"/>
          <w:szCs w:val="30"/>
          <w:highlight w:val="none"/>
        </w:rPr>
        <w:t>预算财政拨款</w:t>
      </w:r>
      <w:r>
        <w:rPr>
          <w:rFonts w:hint="eastAsia" w:ascii="仿宋_GB2312" w:eastAsia="仿宋_GB2312"/>
          <w:color w:val="auto"/>
          <w:sz w:val="30"/>
          <w:szCs w:val="30"/>
          <w:highlight w:val="none"/>
        </w:rPr>
        <w:t>收入支出决算表</w:t>
      </w:r>
    </w:p>
    <w:p>
      <w:pPr>
        <w:keepNext w:val="0"/>
        <w:keepLines w:val="0"/>
        <w:pageBreakBefore w:val="0"/>
        <w:widowControl w:val="0"/>
        <w:kinsoku/>
        <w:wordWrap/>
        <w:overflowPunct/>
        <w:topLinePunct w:val="0"/>
        <w:bidi w:val="0"/>
        <w:snapToGrid/>
        <w:spacing w:line="640" w:lineRule="exact"/>
        <w:textAlignment w:val="auto"/>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表八：国有资本经营预算</w:t>
      </w:r>
      <w:r>
        <w:rPr>
          <w:rFonts w:hint="eastAsia" w:ascii="仿宋_GB2312" w:hAnsi="黑体" w:eastAsia="仿宋_GB2312"/>
          <w:color w:val="auto"/>
          <w:sz w:val="30"/>
          <w:szCs w:val="30"/>
          <w:highlight w:val="none"/>
        </w:rPr>
        <w:t>财政拨款</w:t>
      </w:r>
      <w:r>
        <w:rPr>
          <w:rFonts w:hint="eastAsia" w:ascii="仿宋_GB2312" w:eastAsia="仿宋_GB2312"/>
          <w:color w:val="auto"/>
          <w:sz w:val="30"/>
          <w:szCs w:val="30"/>
          <w:highlight w:val="none"/>
        </w:rPr>
        <w:t>支出决算表</w:t>
      </w:r>
    </w:p>
    <w:p>
      <w:pPr>
        <w:keepNext w:val="0"/>
        <w:keepLines w:val="0"/>
        <w:pageBreakBefore w:val="0"/>
        <w:widowControl w:val="0"/>
        <w:kinsoku/>
        <w:wordWrap/>
        <w:overflowPunct/>
        <w:topLinePunct w:val="0"/>
        <w:bidi w:val="0"/>
        <w:snapToGrid/>
        <w:spacing w:line="640" w:lineRule="exact"/>
        <w:textAlignment w:val="auto"/>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表九：财政拨款“三公”经费支出决算表</w:t>
      </w:r>
    </w:p>
    <w:p>
      <w:pPr>
        <w:keepNext w:val="0"/>
        <w:keepLines w:val="0"/>
        <w:pageBreakBefore w:val="0"/>
        <w:widowControl w:val="0"/>
        <w:kinsoku/>
        <w:wordWrap/>
        <w:overflowPunct/>
        <w:topLinePunct w:val="0"/>
        <w:bidi w:val="0"/>
        <w:snapToGrid/>
        <w:spacing w:line="640" w:lineRule="exact"/>
        <w:jc w:val="left"/>
        <w:textAlignment w:val="auto"/>
        <w:rPr>
          <w:rFonts w:ascii="仿宋" w:hAnsi="仿宋" w:eastAsia="仿宋" w:cs="仿宋"/>
          <w:color w:val="auto"/>
          <w:sz w:val="30"/>
          <w:szCs w:val="30"/>
          <w:highlight w:val="none"/>
        </w:rPr>
      </w:pPr>
      <w:r>
        <w:rPr>
          <w:rFonts w:hint="eastAsia" w:ascii="黑体" w:hAnsi="黑体" w:eastAsia="黑体" w:cs="黑体"/>
          <w:color w:val="auto"/>
          <w:sz w:val="30"/>
          <w:szCs w:val="30"/>
          <w:highlight w:val="none"/>
        </w:rPr>
        <w:t>第三部分：</w:t>
      </w:r>
      <w:r>
        <w:rPr>
          <w:rFonts w:hint="eastAsia" w:ascii="黑体" w:hAnsi="黑体" w:eastAsia="黑体" w:cs="黑体"/>
          <w:color w:val="auto"/>
          <w:sz w:val="30"/>
          <w:szCs w:val="30"/>
          <w:highlight w:val="none"/>
          <w:u w:color="auto"/>
          <w:lang w:eastAsia="zh-CN"/>
        </w:rPr>
        <w:t>环江毛南族自治县</w:t>
      </w:r>
      <w:r>
        <w:rPr>
          <w:rFonts w:ascii="黑体" w:hAnsi="黑体" w:eastAsia="黑体" w:cs="黑体"/>
          <w:color w:val="auto"/>
          <w:sz w:val="30"/>
          <w:szCs w:val="30"/>
          <w:highlight w:val="none"/>
          <w:u w:color="auto"/>
        </w:rPr>
        <w:t>第一小学</w:t>
      </w:r>
      <w:r>
        <w:rPr>
          <w:rFonts w:hint="eastAsia" w:ascii="黑体" w:hAnsi="黑体" w:eastAsia="黑体" w:cs="黑体"/>
          <w:color w:val="auto"/>
          <w:sz w:val="30"/>
          <w:szCs w:val="30"/>
          <w:highlight w:val="none"/>
        </w:rPr>
        <w:t>2022年度部门决算情况说明</w:t>
      </w:r>
    </w:p>
    <w:p>
      <w:pPr>
        <w:keepNext w:val="0"/>
        <w:keepLines w:val="0"/>
        <w:pageBreakBefore w:val="0"/>
        <w:widowControl w:val="0"/>
        <w:kinsoku/>
        <w:wordWrap/>
        <w:overflowPunct/>
        <w:topLinePunct w:val="0"/>
        <w:autoSpaceDE w:val="0"/>
        <w:autoSpaceDN w:val="0"/>
        <w:bidi w:val="0"/>
        <w:adjustRightInd w:val="0"/>
        <w:snapToGrid/>
        <w:spacing w:line="640" w:lineRule="exact"/>
        <w:jc w:val="left"/>
        <w:textAlignment w:val="auto"/>
        <w:rPr>
          <w:rFonts w:hint="eastAsia" w:ascii="仿宋_GB2312" w:eastAsia="仿宋_GB2312" w:cs="仿宋_GB2312"/>
          <w:color w:val="auto"/>
          <w:kern w:val="0"/>
          <w:sz w:val="30"/>
          <w:szCs w:val="30"/>
          <w:highlight w:val="none"/>
        </w:rPr>
      </w:pPr>
      <w:r>
        <w:rPr>
          <w:rFonts w:hint="eastAsia" w:ascii="仿宋_GB2312" w:eastAsia="仿宋_GB2312" w:cs="仿宋_GB2312"/>
          <w:color w:val="auto"/>
          <w:kern w:val="0"/>
          <w:sz w:val="30"/>
          <w:szCs w:val="30"/>
          <w:highlight w:val="none"/>
        </w:rPr>
        <w:t>一、</w:t>
      </w:r>
      <w:r>
        <w:rPr>
          <w:rFonts w:hint="eastAsia" w:ascii="仿宋_GB2312" w:eastAsia="仿宋_GB2312"/>
          <w:color w:val="auto"/>
          <w:kern w:val="0"/>
          <w:sz w:val="30"/>
          <w:szCs w:val="30"/>
          <w:highlight w:val="none"/>
        </w:rPr>
        <w:t>202</w:t>
      </w:r>
      <w:r>
        <w:rPr>
          <w:rFonts w:hint="eastAsia" w:ascii="仿宋_GB2312" w:eastAsia="仿宋_GB2312"/>
          <w:color w:val="auto"/>
          <w:kern w:val="0"/>
          <w:sz w:val="30"/>
          <w:szCs w:val="30"/>
          <w:highlight w:val="none"/>
          <w:lang w:val="en-US" w:eastAsia="zh-CN"/>
        </w:rPr>
        <w:t>2</w:t>
      </w:r>
      <w:r>
        <w:rPr>
          <w:rFonts w:hint="eastAsia" w:ascii="仿宋_GB2312" w:eastAsia="仿宋_GB2312" w:cs="仿宋_GB2312"/>
          <w:color w:val="auto"/>
          <w:kern w:val="0"/>
          <w:sz w:val="30"/>
          <w:szCs w:val="30"/>
          <w:highlight w:val="none"/>
        </w:rPr>
        <w:t>年度收入支出决算总体情况。</w:t>
      </w:r>
    </w:p>
    <w:p>
      <w:pPr>
        <w:keepNext w:val="0"/>
        <w:keepLines w:val="0"/>
        <w:pageBreakBefore w:val="0"/>
        <w:widowControl w:val="0"/>
        <w:kinsoku/>
        <w:wordWrap/>
        <w:overflowPunct/>
        <w:topLinePunct w:val="0"/>
        <w:autoSpaceDE w:val="0"/>
        <w:autoSpaceDN w:val="0"/>
        <w:bidi w:val="0"/>
        <w:adjustRightInd w:val="0"/>
        <w:snapToGrid/>
        <w:spacing w:line="640" w:lineRule="exact"/>
        <w:jc w:val="left"/>
        <w:textAlignment w:val="auto"/>
        <w:rPr>
          <w:rFonts w:hint="eastAsia" w:ascii="仿宋_GB2312" w:eastAsia="仿宋_GB2312" w:cs="仿宋_GB2312"/>
          <w:color w:val="auto"/>
          <w:kern w:val="0"/>
          <w:sz w:val="30"/>
          <w:szCs w:val="30"/>
          <w:highlight w:val="none"/>
        </w:rPr>
      </w:pPr>
      <w:r>
        <w:rPr>
          <w:rFonts w:hint="eastAsia" w:ascii="仿宋_GB2312" w:eastAsia="仿宋_GB2312" w:cs="仿宋_GB2312"/>
          <w:color w:val="auto"/>
          <w:kern w:val="0"/>
          <w:sz w:val="30"/>
          <w:szCs w:val="30"/>
          <w:highlight w:val="none"/>
        </w:rPr>
        <w:t>二、</w:t>
      </w:r>
      <w:r>
        <w:rPr>
          <w:rFonts w:hint="eastAsia" w:ascii="仿宋_GB2312" w:eastAsia="仿宋_GB2312"/>
          <w:color w:val="auto"/>
          <w:kern w:val="0"/>
          <w:sz w:val="30"/>
          <w:szCs w:val="30"/>
          <w:highlight w:val="none"/>
        </w:rPr>
        <w:t>20</w:t>
      </w:r>
      <w:r>
        <w:rPr>
          <w:rFonts w:hint="eastAsia" w:ascii="仿宋_GB2312" w:eastAsia="仿宋_GB2312"/>
          <w:color w:val="auto"/>
          <w:kern w:val="0"/>
          <w:sz w:val="30"/>
          <w:szCs w:val="30"/>
          <w:highlight w:val="none"/>
          <w:lang w:val="en-US" w:eastAsia="zh-CN"/>
        </w:rPr>
        <w:t>22</w:t>
      </w:r>
      <w:r>
        <w:rPr>
          <w:rFonts w:hint="eastAsia" w:ascii="仿宋_GB2312" w:eastAsia="仿宋_GB2312" w:cs="仿宋_GB2312"/>
          <w:color w:val="auto"/>
          <w:kern w:val="0"/>
          <w:sz w:val="30"/>
          <w:szCs w:val="30"/>
          <w:highlight w:val="none"/>
        </w:rPr>
        <w:t>年度</w:t>
      </w:r>
      <w:r>
        <w:rPr>
          <w:rFonts w:hint="eastAsia" w:ascii="仿宋_GB2312" w:eastAsia="仿宋_GB2312"/>
          <w:color w:val="auto"/>
          <w:sz w:val="30"/>
          <w:szCs w:val="30"/>
          <w:highlight w:val="none"/>
        </w:rPr>
        <w:t>一般</w:t>
      </w:r>
      <w:r>
        <w:rPr>
          <w:rFonts w:hint="eastAsia" w:ascii="仿宋_GB2312" w:eastAsia="仿宋_GB2312" w:cs="仿宋_GB2312"/>
          <w:color w:val="auto"/>
          <w:kern w:val="0"/>
          <w:sz w:val="30"/>
          <w:szCs w:val="30"/>
          <w:highlight w:val="none"/>
        </w:rPr>
        <w:t>公共预算财政拨款支出决算情况。</w:t>
      </w:r>
    </w:p>
    <w:p>
      <w:pPr>
        <w:keepNext w:val="0"/>
        <w:keepLines w:val="0"/>
        <w:pageBreakBefore w:val="0"/>
        <w:widowControl w:val="0"/>
        <w:kinsoku/>
        <w:wordWrap/>
        <w:overflowPunct/>
        <w:topLinePunct w:val="0"/>
        <w:autoSpaceDE w:val="0"/>
        <w:autoSpaceDN w:val="0"/>
        <w:bidi w:val="0"/>
        <w:adjustRightInd w:val="0"/>
        <w:snapToGrid/>
        <w:spacing w:line="640" w:lineRule="exact"/>
        <w:jc w:val="left"/>
        <w:textAlignment w:val="auto"/>
        <w:rPr>
          <w:rFonts w:hint="eastAsia" w:ascii="仿宋_GB2312" w:eastAsia="仿宋_GB2312" w:cs="仿宋_GB2312"/>
          <w:color w:val="auto"/>
          <w:kern w:val="0"/>
          <w:sz w:val="30"/>
          <w:szCs w:val="30"/>
          <w:highlight w:val="none"/>
        </w:rPr>
      </w:pPr>
      <w:r>
        <w:rPr>
          <w:rFonts w:hint="eastAsia" w:ascii="仿宋_GB2312" w:eastAsia="仿宋_GB2312" w:cs="仿宋_GB2312"/>
          <w:color w:val="auto"/>
          <w:kern w:val="0"/>
          <w:sz w:val="30"/>
          <w:szCs w:val="30"/>
          <w:highlight w:val="none"/>
        </w:rPr>
        <w:t>三、20</w:t>
      </w:r>
      <w:r>
        <w:rPr>
          <w:rFonts w:hint="eastAsia" w:ascii="仿宋_GB2312" w:eastAsia="仿宋_GB2312" w:cs="仿宋_GB2312"/>
          <w:color w:val="auto"/>
          <w:kern w:val="0"/>
          <w:sz w:val="30"/>
          <w:szCs w:val="30"/>
          <w:highlight w:val="none"/>
          <w:lang w:val="en-US" w:eastAsia="zh-CN"/>
        </w:rPr>
        <w:t>22</w:t>
      </w:r>
      <w:r>
        <w:rPr>
          <w:rFonts w:hint="eastAsia" w:ascii="仿宋_GB2312" w:eastAsia="仿宋_GB2312" w:cs="仿宋_GB2312"/>
          <w:color w:val="auto"/>
          <w:kern w:val="0"/>
          <w:sz w:val="30"/>
          <w:szCs w:val="30"/>
          <w:highlight w:val="none"/>
        </w:rPr>
        <w:t>年度一般公共预算财政拨款基本支出决算情况说明。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640" w:lineRule="exact"/>
        <w:jc w:val="left"/>
        <w:textAlignment w:val="auto"/>
        <w:rPr>
          <w:rFonts w:hint="eastAsia" w:ascii="仿宋_GB2312" w:eastAsia="仿宋_GB2312" w:cs="仿宋_GB2312"/>
          <w:color w:val="auto"/>
          <w:kern w:val="0"/>
          <w:sz w:val="30"/>
          <w:szCs w:val="30"/>
          <w:highlight w:val="none"/>
        </w:rPr>
      </w:pPr>
    </w:p>
    <w:p>
      <w:pPr>
        <w:keepNext w:val="0"/>
        <w:keepLines w:val="0"/>
        <w:pageBreakBefore w:val="0"/>
        <w:widowControl w:val="0"/>
        <w:kinsoku/>
        <w:wordWrap/>
        <w:overflowPunct/>
        <w:topLinePunct w:val="0"/>
        <w:autoSpaceDE w:val="0"/>
        <w:autoSpaceDN w:val="0"/>
        <w:bidi w:val="0"/>
        <w:adjustRightInd w:val="0"/>
        <w:snapToGrid/>
        <w:spacing w:line="640" w:lineRule="exact"/>
        <w:jc w:val="left"/>
        <w:textAlignment w:val="auto"/>
        <w:rPr>
          <w:rFonts w:hint="eastAsia" w:ascii="仿宋_GB2312" w:eastAsia="仿宋_GB2312" w:cs="仿宋_GB2312"/>
          <w:color w:val="auto"/>
          <w:kern w:val="0"/>
          <w:sz w:val="30"/>
          <w:szCs w:val="30"/>
          <w:highlight w:val="none"/>
        </w:rPr>
      </w:pPr>
      <w:r>
        <w:rPr>
          <w:rFonts w:hint="eastAsia" w:ascii="仿宋_GB2312" w:eastAsia="仿宋_GB2312" w:cs="仿宋_GB2312"/>
          <w:color w:val="auto"/>
          <w:kern w:val="0"/>
          <w:sz w:val="30"/>
          <w:szCs w:val="30"/>
          <w:highlight w:val="none"/>
        </w:rPr>
        <w:t>四、</w:t>
      </w:r>
      <w:r>
        <w:rPr>
          <w:rFonts w:hint="eastAsia" w:ascii="仿宋_GB2312" w:eastAsia="仿宋_GB2312"/>
          <w:color w:val="auto"/>
          <w:kern w:val="0"/>
          <w:sz w:val="30"/>
          <w:szCs w:val="30"/>
          <w:highlight w:val="none"/>
        </w:rPr>
        <w:t>20</w:t>
      </w:r>
      <w:r>
        <w:rPr>
          <w:rFonts w:hint="eastAsia" w:ascii="仿宋_GB2312" w:eastAsia="仿宋_GB2312"/>
          <w:color w:val="auto"/>
          <w:kern w:val="0"/>
          <w:sz w:val="30"/>
          <w:szCs w:val="30"/>
          <w:highlight w:val="none"/>
          <w:lang w:val="en-US" w:eastAsia="zh-CN"/>
        </w:rPr>
        <w:t>22</w:t>
      </w:r>
      <w:r>
        <w:rPr>
          <w:rFonts w:hint="eastAsia" w:ascii="仿宋_GB2312" w:eastAsia="仿宋_GB2312" w:cs="仿宋_GB2312"/>
          <w:color w:val="auto"/>
          <w:kern w:val="0"/>
          <w:sz w:val="30"/>
          <w:szCs w:val="30"/>
          <w:highlight w:val="none"/>
        </w:rPr>
        <w:t>年度政府性基金支出决算情况。</w:t>
      </w:r>
    </w:p>
    <w:p>
      <w:pPr>
        <w:keepNext w:val="0"/>
        <w:keepLines w:val="0"/>
        <w:pageBreakBefore w:val="0"/>
        <w:widowControl w:val="0"/>
        <w:kinsoku/>
        <w:wordWrap/>
        <w:overflowPunct/>
        <w:topLinePunct w:val="0"/>
        <w:autoSpaceDE w:val="0"/>
        <w:autoSpaceDN w:val="0"/>
        <w:bidi w:val="0"/>
        <w:adjustRightInd w:val="0"/>
        <w:snapToGrid/>
        <w:spacing w:line="640" w:lineRule="exact"/>
        <w:jc w:val="left"/>
        <w:textAlignment w:val="auto"/>
        <w:rPr>
          <w:rFonts w:hint="eastAsia" w:ascii="仿宋_GB2312" w:eastAsia="仿宋_GB2312" w:cs="仿宋_GB2312"/>
          <w:color w:val="auto"/>
          <w:kern w:val="0"/>
          <w:sz w:val="30"/>
          <w:szCs w:val="30"/>
          <w:highlight w:val="none"/>
          <w:lang w:eastAsia="zh-CN"/>
        </w:rPr>
      </w:pPr>
      <w:r>
        <w:rPr>
          <w:rFonts w:hint="eastAsia" w:ascii="仿宋_GB2312" w:eastAsia="仿宋_GB2312" w:cs="仿宋_GB2312"/>
          <w:color w:val="auto"/>
          <w:kern w:val="0"/>
          <w:sz w:val="30"/>
          <w:szCs w:val="30"/>
          <w:highlight w:val="none"/>
        </w:rPr>
        <w:t>五、20</w:t>
      </w:r>
      <w:r>
        <w:rPr>
          <w:rFonts w:hint="eastAsia" w:ascii="仿宋_GB2312" w:eastAsia="仿宋_GB2312" w:cs="仿宋_GB2312"/>
          <w:color w:val="auto"/>
          <w:kern w:val="0"/>
          <w:sz w:val="30"/>
          <w:szCs w:val="30"/>
          <w:highlight w:val="none"/>
          <w:lang w:val="en-US" w:eastAsia="zh-CN"/>
        </w:rPr>
        <w:t>22</w:t>
      </w:r>
      <w:r>
        <w:rPr>
          <w:rFonts w:hint="eastAsia" w:ascii="仿宋_GB2312" w:eastAsia="仿宋_GB2312" w:cs="仿宋_GB2312"/>
          <w:color w:val="auto"/>
          <w:kern w:val="0"/>
          <w:sz w:val="30"/>
          <w:szCs w:val="30"/>
          <w:highlight w:val="none"/>
        </w:rPr>
        <w:t>年度国有资本经营预算支出决算情况</w:t>
      </w:r>
      <w:r>
        <w:rPr>
          <w:rFonts w:hint="eastAsia" w:ascii="仿宋_GB2312" w:eastAsia="仿宋_GB2312" w:cs="仿宋_GB2312"/>
          <w:color w:val="auto"/>
          <w:kern w:val="0"/>
          <w:sz w:val="30"/>
          <w:szCs w:val="30"/>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640" w:lineRule="exact"/>
        <w:jc w:val="left"/>
        <w:textAlignment w:val="auto"/>
        <w:rPr>
          <w:rFonts w:hint="eastAsia" w:ascii="仿宋_GB2312" w:eastAsia="仿宋_GB2312" w:cs="仿宋_GB2312"/>
          <w:color w:val="auto"/>
          <w:kern w:val="0"/>
          <w:sz w:val="30"/>
          <w:szCs w:val="30"/>
          <w:highlight w:val="none"/>
        </w:rPr>
      </w:pPr>
      <w:r>
        <w:rPr>
          <w:rFonts w:hint="eastAsia" w:ascii="仿宋_GB2312" w:eastAsia="仿宋_GB2312" w:cs="仿宋_GB2312"/>
          <w:color w:val="auto"/>
          <w:kern w:val="0"/>
          <w:sz w:val="30"/>
          <w:szCs w:val="30"/>
          <w:highlight w:val="none"/>
        </w:rPr>
        <w:t>六、财政拨款“三公”经费支出决算情况说明。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640" w:lineRule="exact"/>
        <w:jc w:val="left"/>
        <w:textAlignment w:val="auto"/>
        <w:rPr>
          <w:rFonts w:hint="eastAsia" w:ascii="仿宋_GB2312" w:eastAsia="仿宋_GB2312" w:cs="仿宋_GB2312"/>
          <w:color w:val="auto"/>
          <w:kern w:val="0"/>
          <w:sz w:val="30"/>
          <w:szCs w:val="30"/>
          <w:highlight w:val="none"/>
        </w:rPr>
      </w:pPr>
      <w:r>
        <w:rPr>
          <w:rFonts w:hint="eastAsia" w:ascii="仿宋_GB2312" w:eastAsia="仿宋_GB2312" w:cs="仿宋_GB2312"/>
          <w:color w:val="auto"/>
          <w:kern w:val="0"/>
          <w:sz w:val="30"/>
          <w:szCs w:val="30"/>
          <w:highlight w:val="none"/>
        </w:rPr>
        <w:t>七、其他重要事项情况说明。</w:t>
      </w:r>
    </w:p>
    <w:p>
      <w:pPr>
        <w:keepNext w:val="0"/>
        <w:keepLines w:val="0"/>
        <w:pageBreakBefore w:val="0"/>
        <w:widowControl w:val="0"/>
        <w:kinsoku/>
        <w:wordWrap/>
        <w:overflowPunct/>
        <w:topLinePunct w:val="0"/>
        <w:bidi w:val="0"/>
        <w:snapToGrid/>
        <w:spacing w:line="640" w:lineRule="exact"/>
        <w:jc w:val="left"/>
        <w:textAlignment w:val="auto"/>
        <w:rPr>
          <w:rFonts w:hint="eastAsia" w:ascii="黑体" w:hAnsi="黑体" w:eastAsia="黑体" w:cs="黑体"/>
          <w:b/>
          <w:bCs/>
          <w:color w:val="auto"/>
          <w:sz w:val="30"/>
          <w:szCs w:val="30"/>
          <w:highlight w:val="none"/>
        </w:rPr>
      </w:pPr>
      <w:r>
        <w:rPr>
          <w:rFonts w:hint="eastAsia" w:ascii="黑体" w:hAnsi="黑体" w:eastAsia="黑体" w:cs="黑体"/>
          <w:color w:val="auto"/>
          <w:sz w:val="30"/>
          <w:szCs w:val="30"/>
          <w:highlight w:val="none"/>
        </w:rPr>
        <w:t>第四部分：名词解释</w:t>
      </w:r>
    </w:p>
    <w:p>
      <w:pPr>
        <w:ind w:firstLine="964" w:firstLineChars="300"/>
        <w:jc w:val="left"/>
        <w:rPr>
          <w:rFonts w:hint="eastAsia" w:ascii="黑体" w:hAnsi="黑体" w:eastAsia="黑体" w:cs="黑体"/>
          <w:b/>
          <w:bCs/>
          <w:color w:val="auto"/>
          <w:sz w:val="32"/>
          <w:szCs w:val="32"/>
          <w:highlight w:val="none"/>
        </w:rPr>
      </w:pPr>
    </w:p>
    <w:p>
      <w:pPr>
        <w:ind w:firstLine="964" w:firstLineChars="300"/>
        <w:jc w:val="left"/>
        <w:rPr>
          <w:rFonts w:hint="eastAsia" w:ascii="黑体" w:hAnsi="黑体" w:eastAsia="黑体" w:cs="黑体"/>
          <w:b/>
          <w:bCs/>
          <w:color w:val="auto"/>
          <w:sz w:val="32"/>
          <w:szCs w:val="32"/>
          <w:highlight w:val="none"/>
        </w:rPr>
      </w:pPr>
    </w:p>
    <w:p>
      <w:pPr>
        <w:ind w:firstLine="964" w:firstLineChars="300"/>
        <w:jc w:val="left"/>
        <w:rPr>
          <w:rFonts w:hint="eastAsia" w:ascii="黑体" w:hAnsi="黑体" w:eastAsia="黑体" w:cs="黑体"/>
          <w:b/>
          <w:bCs/>
          <w:color w:val="auto"/>
          <w:sz w:val="32"/>
          <w:szCs w:val="32"/>
          <w:highlight w:val="none"/>
        </w:rPr>
      </w:pPr>
    </w:p>
    <w:p>
      <w:pPr>
        <w:ind w:firstLine="964" w:firstLineChars="300"/>
        <w:jc w:val="left"/>
        <w:rPr>
          <w:rFonts w:hint="eastAsia" w:ascii="黑体" w:hAnsi="黑体" w:eastAsia="黑体" w:cs="黑体"/>
          <w:b/>
          <w:bCs/>
          <w:color w:val="auto"/>
          <w:sz w:val="32"/>
          <w:szCs w:val="32"/>
          <w:highlight w:val="none"/>
        </w:rPr>
      </w:pPr>
    </w:p>
    <w:p>
      <w:pPr>
        <w:ind w:firstLine="964" w:firstLineChars="300"/>
        <w:jc w:val="left"/>
        <w:rPr>
          <w:rFonts w:hint="eastAsia" w:ascii="黑体" w:hAnsi="黑体" w:eastAsia="黑体" w:cs="黑体"/>
          <w:b/>
          <w:bCs/>
          <w:color w:val="auto"/>
          <w:sz w:val="32"/>
          <w:szCs w:val="32"/>
          <w:highlight w:val="none"/>
        </w:rPr>
      </w:pPr>
    </w:p>
    <w:p>
      <w:pPr>
        <w:ind w:firstLine="964" w:firstLineChars="300"/>
        <w:jc w:val="left"/>
        <w:rPr>
          <w:rFonts w:hint="eastAsia" w:ascii="黑体" w:hAnsi="黑体" w:eastAsia="黑体" w:cs="黑体"/>
          <w:b/>
          <w:bCs/>
          <w:color w:val="auto"/>
          <w:sz w:val="32"/>
          <w:szCs w:val="32"/>
          <w:highlight w:val="none"/>
        </w:rPr>
      </w:pPr>
    </w:p>
    <w:p>
      <w:pPr>
        <w:ind w:firstLine="964" w:firstLineChars="300"/>
        <w:jc w:val="left"/>
        <w:rPr>
          <w:rFonts w:hint="eastAsia" w:ascii="黑体" w:hAnsi="黑体" w:eastAsia="黑体" w:cs="黑体"/>
          <w:b/>
          <w:bCs/>
          <w:color w:val="auto"/>
          <w:sz w:val="32"/>
          <w:szCs w:val="32"/>
          <w:highlight w:val="none"/>
        </w:rPr>
      </w:pPr>
    </w:p>
    <w:p>
      <w:pPr>
        <w:ind w:firstLine="964" w:firstLineChars="300"/>
        <w:jc w:val="left"/>
        <w:rPr>
          <w:rFonts w:hint="eastAsia" w:ascii="黑体" w:hAnsi="黑体" w:eastAsia="黑体" w:cs="黑体"/>
          <w:b/>
          <w:bCs/>
          <w:color w:val="auto"/>
          <w:sz w:val="32"/>
          <w:szCs w:val="32"/>
          <w:highlight w:val="none"/>
        </w:rPr>
      </w:pPr>
    </w:p>
    <w:p>
      <w:pPr>
        <w:ind w:firstLine="964" w:firstLineChars="300"/>
        <w:jc w:val="left"/>
        <w:rPr>
          <w:rFonts w:hint="eastAsia" w:ascii="黑体" w:hAnsi="黑体" w:eastAsia="黑体" w:cs="黑体"/>
          <w:b/>
          <w:bCs/>
          <w:color w:val="auto"/>
          <w:sz w:val="32"/>
          <w:szCs w:val="32"/>
          <w:highlight w:val="none"/>
        </w:rPr>
      </w:pPr>
    </w:p>
    <w:p>
      <w:pPr>
        <w:ind w:firstLine="964" w:firstLineChars="300"/>
        <w:jc w:val="left"/>
        <w:rPr>
          <w:rFonts w:hint="eastAsia" w:ascii="黑体" w:hAnsi="黑体" w:eastAsia="黑体" w:cs="黑体"/>
          <w:b/>
          <w:bCs/>
          <w:color w:val="auto"/>
          <w:sz w:val="32"/>
          <w:szCs w:val="32"/>
          <w:highlight w:val="none"/>
        </w:rPr>
      </w:pPr>
    </w:p>
    <w:p>
      <w:pPr>
        <w:ind w:firstLine="964" w:firstLineChars="300"/>
        <w:jc w:val="left"/>
        <w:rPr>
          <w:rFonts w:hint="eastAsia" w:ascii="黑体" w:hAnsi="黑体" w:eastAsia="黑体" w:cs="黑体"/>
          <w:b/>
          <w:bCs/>
          <w:color w:val="auto"/>
          <w:sz w:val="32"/>
          <w:szCs w:val="32"/>
          <w:highlight w:val="none"/>
        </w:rPr>
      </w:pPr>
    </w:p>
    <w:p>
      <w:pPr>
        <w:ind w:firstLine="964" w:firstLineChars="300"/>
        <w:jc w:val="left"/>
        <w:rPr>
          <w:rFonts w:hint="eastAsia" w:ascii="黑体" w:hAnsi="黑体" w:eastAsia="黑体" w:cs="黑体"/>
          <w:b/>
          <w:bCs/>
          <w:color w:val="auto"/>
          <w:sz w:val="32"/>
          <w:szCs w:val="32"/>
          <w:highlight w:val="none"/>
        </w:rPr>
      </w:pPr>
    </w:p>
    <w:p>
      <w:pPr>
        <w:ind w:firstLine="964" w:firstLineChars="300"/>
        <w:jc w:val="left"/>
        <w:rPr>
          <w:rFonts w:hint="eastAsia" w:ascii="黑体" w:hAnsi="黑体" w:eastAsia="黑体" w:cs="黑体"/>
          <w:b/>
          <w:bCs/>
          <w:color w:val="auto"/>
          <w:sz w:val="32"/>
          <w:szCs w:val="32"/>
          <w:highlight w:val="none"/>
        </w:rPr>
      </w:pPr>
    </w:p>
    <w:p>
      <w:pPr>
        <w:ind w:firstLine="964" w:firstLineChars="300"/>
        <w:jc w:val="left"/>
        <w:rPr>
          <w:rFonts w:hint="eastAsia" w:ascii="黑体" w:hAnsi="黑体" w:eastAsia="黑体" w:cs="黑体"/>
          <w:b/>
          <w:bCs/>
          <w:color w:val="auto"/>
          <w:sz w:val="32"/>
          <w:szCs w:val="32"/>
          <w:highlight w:val="none"/>
        </w:rPr>
      </w:pPr>
    </w:p>
    <w:p>
      <w:pPr>
        <w:ind w:firstLine="964" w:firstLineChars="300"/>
        <w:jc w:val="left"/>
        <w:rPr>
          <w:rFonts w:hint="eastAsia" w:ascii="黑体" w:hAnsi="黑体" w:eastAsia="黑体" w:cs="黑体"/>
          <w:b/>
          <w:bCs/>
          <w:color w:val="auto"/>
          <w:sz w:val="32"/>
          <w:szCs w:val="32"/>
          <w:highlight w:val="none"/>
        </w:rPr>
      </w:pPr>
    </w:p>
    <w:p>
      <w:pPr>
        <w:ind w:firstLine="964" w:firstLineChars="300"/>
        <w:jc w:val="left"/>
        <w:rPr>
          <w:rFonts w:hint="eastAsia" w:ascii="黑体" w:hAnsi="黑体" w:eastAsia="黑体" w:cs="黑体"/>
          <w:b/>
          <w:bCs/>
          <w:color w:val="auto"/>
          <w:sz w:val="32"/>
          <w:szCs w:val="32"/>
          <w:highlight w:val="none"/>
        </w:rPr>
      </w:pPr>
    </w:p>
    <w:p>
      <w:pPr>
        <w:ind w:firstLine="964" w:firstLineChars="300"/>
        <w:jc w:val="left"/>
        <w:rPr>
          <w:rFonts w:hint="eastAsia" w:ascii="黑体" w:hAnsi="黑体" w:eastAsia="黑体" w:cs="黑体"/>
          <w:b/>
          <w:bCs/>
          <w:color w:val="auto"/>
          <w:sz w:val="32"/>
          <w:szCs w:val="32"/>
          <w:highlight w:val="none"/>
        </w:rPr>
      </w:pPr>
    </w:p>
    <w:p>
      <w:pPr>
        <w:ind w:firstLine="964" w:firstLineChars="300"/>
        <w:jc w:val="left"/>
        <w:rPr>
          <w:rFonts w:ascii="仿宋" w:hAnsi="仿宋" w:eastAsia="仿宋" w:cs="仿宋"/>
          <w:color w:val="auto"/>
          <w:sz w:val="32"/>
          <w:szCs w:val="32"/>
          <w:highlight w:val="none"/>
        </w:rPr>
      </w:pPr>
      <w:r>
        <w:rPr>
          <w:rFonts w:hint="eastAsia" w:ascii="黑体" w:hAnsi="黑体" w:eastAsia="黑体" w:cs="黑体"/>
          <w:b/>
          <w:bCs/>
          <w:color w:val="auto"/>
          <w:sz w:val="32"/>
          <w:szCs w:val="32"/>
          <w:highlight w:val="none"/>
        </w:rPr>
        <w:t>第一部分：</w:t>
      </w:r>
      <w:r>
        <w:rPr>
          <w:rFonts w:hint="eastAsia" w:ascii="黑体" w:hAnsi="黑体" w:eastAsia="黑体" w:cs="黑体"/>
          <w:b/>
          <w:color w:val="auto"/>
          <w:sz w:val="32"/>
          <w:highlight w:val="none"/>
          <w:u w:color="auto"/>
          <w:lang w:eastAsia="zh-CN"/>
        </w:rPr>
        <w:t>环江毛南族自治县</w:t>
      </w:r>
      <w:r>
        <w:rPr>
          <w:rFonts w:ascii="黑体" w:hAnsi="黑体" w:eastAsia="黑体" w:cs="黑体"/>
          <w:b/>
          <w:color w:val="auto"/>
          <w:sz w:val="32"/>
          <w:highlight w:val="none"/>
          <w:u w:color="auto"/>
        </w:rPr>
        <w:t>第一小学</w:t>
      </w:r>
      <w:r>
        <w:rPr>
          <w:rFonts w:hint="eastAsia" w:ascii="黑体" w:hAnsi="黑体" w:eastAsia="黑体" w:cs="黑体"/>
          <w:b/>
          <w:bCs/>
          <w:color w:val="auto"/>
          <w:sz w:val="32"/>
          <w:szCs w:val="32"/>
          <w:highlight w:val="none"/>
        </w:rPr>
        <w:t>概况</w:t>
      </w:r>
    </w:p>
    <w:p>
      <w:pPr>
        <w:jc w:val="left"/>
        <w:rPr>
          <w:rFonts w:hint="eastAsia" w:ascii="黑体" w:hAnsi="黑体" w:eastAsia="黑体" w:cs="黑体"/>
          <w:color w:val="auto"/>
          <w:sz w:val="32"/>
          <w:szCs w:val="32"/>
          <w:highlight w:val="none"/>
        </w:rPr>
      </w:pP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一、主要职能</w:t>
      </w:r>
    </w:p>
    <w:p>
      <w:pPr>
        <w:keepNext w:val="0"/>
        <w:keepLines w:val="0"/>
        <w:pageBreakBefore w:val="0"/>
        <w:widowControl w:val="0"/>
        <w:kinsoku/>
        <w:wordWrap/>
        <w:overflowPunct/>
        <w:topLinePunct w:val="0"/>
        <w:autoSpaceDE/>
        <w:autoSpaceDN/>
        <w:bidi w:val="0"/>
        <w:adjustRightInd/>
        <w:snapToGrid/>
        <w:spacing w:line="440" w:lineRule="exact"/>
        <w:ind w:firstLine="646"/>
        <w:textAlignment w:val="auto"/>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lang w:eastAsia="zh-CN"/>
        </w:rPr>
        <w:t>（一）</w:t>
      </w:r>
      <w:r>
        <w:rPr>
          <w:rFonts w:hint="eastAsia" w:ascii="仿宋_GB2312" w:eastAsia="仿宋_GB2312" w:cs="仿宋_GB2312"/>
          <w:color w:val="auto"/>
          <w:kern w:val="0"/>
          <w:sz w:val="32"/>
          <w:szCs w:val="32"/>
          <w:highlight w:val="none"/>
        </w:rPr>
        <w:t>负责贯彻党的教育方针，坚持社会主义办学方向，实行教育与生产劳动相结合，对学生进行德育、智育、体育、美育和劳动等方面的教育。</w:t>
      </w:r>
    </w:p>
    <w:p>
      <w:pPr>
        <w:keepNext w:val="0"/>
        <w:keepLines w:val="0"/>
        <w:pageBreakBefore w:val="0"/>
        <w:widowControl w:val="0"/>
        <w:kinsoku/>
        <w:wordWrap/>
        <w:overflowPunct/>
        <w:topLinePunct w:val="0"/>
        <w:autoSpaceDE/>
        <w:autoSpaceDN/>
        <w:bidi w:val="0"/>
        <w:adjustRightInd/>
        <w:snapToGrid/>
        <w:spacing w:line="440" w:lineRule="exact"/>
        <w:ind w:firstLine="646"/>
        <w:textAlignment w:val="auto"/>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lang w:eastAsia="zh-CN"/>
        </w:rPr>
        <w:t>（二）</w:t>
      </w:r>
      <w:r>
        <w:rPr>
          <w:rFonts w:hint="eastAsia" w:ascii="仿宋_GB2312" w:eastAsia="仿宋_GB2312" w:cs="仿宋_GB2312"/>
          <w:color w:val="auto"/>
          <w:kern w:val="0"/>
          <w:sz w:val="32"/>
          <w:szCs w:val="32"/>
          <w:highlight w:val="none"/>
        </w:rPr>
        <w:t>负责依法制定学校章程，并按照章程自主管理。</w:t>
      </w:r>
    </w:p>
    <w:p>
      <w:pPr>
        <w:keepNext w:val="0"/>
        <w:keepLines w:val="0"/>
        <w:pageBreakBefore w:val="0"/>
        <w:widowControl w:val="0"/>
        <w:kinsoku/>
        <w:wordWrap/>
        <w:overflowPunct/>
        <w:topLinePunct w:val="0"/>
        <w:autoSpaceDE/>
        <w:autoSpaceDN/>
        <w:bidi w:val="0"/>
        <w:adjustRightInd/>
        <w:snapToGrid/>
        <w:spacing w:line="440" w:lineRule="exact"/>
        <w:ind w:firstLine="646"/>
        <w:textAlignment w:val="auto"/>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lang w:eastAsia="zh-CN"/>
        </w:rPr>
        <w:t>（三）</w:t>
      </w:r>
      <w:r>
        <w:rPr>
          <w:rFonts w:hint="eastAsia" w:ascii="仿宋_GB2312" w:eastAsia="仿宋_GB2312" w:cs="仿宋_GB2312"/>
          <w:color w:val="auto"/>
          <w:kern w:val="0"/>
          <w:sz w:val="32"/>
          <w:szCs w:val="32"/>
          <w:highlight w:val="none"/>
        </w:rPr>
        <w:t>负责配合各级人民政府依法动员、组织适龄儿童、少年入学，严格控制学生辍学，依法保证适龄儿童、少年接受九年义务教育。</w:t>
      </w:r>
    </w:p>
    <w:p>
      <w:pPr>
        <w:keepNext w:val="0"/>
        <w:keepLines w:val="0"/>
        <w:pageBreakBefore w:val="0"/>
        <w:widowControl w:val="0"/>
        <w:kinsoku/>
        <w:wordWrap/>
        <w:overflowPunct/>
        <w:topLinePunct w:val="0"/>
        <w:autoSpaceDE/>
        <w:autoSpaceDN/>
        <w:bidi w:val="0"/>
        <w:adjustRightInd/>
        <w:snapToGrid/>
        <w:spacing w:line="440" w:lineRule="exact"/>
        <w:ind w:firstLine="646"/>
        <w:textAlignment w:val="auto"/>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lang w:eastAsia="zh-CN"/>
        </w:rPr>
        <w:t>（四）</w:t>
      </w:r>
      <w:r>
        <w:rPr>
          <w:rFonts w:hint="eastAsia" w:ascii="仿宋_GB2312" w:eastAsia="仿宋_GB2312" w:cs="仿宋_GB2312"/>
          <w:color w:val="auto"/>
          <w:kern w:val="0"/>
          <w:sz w:val="32"/>
          <w:szCs w:val="32"/>
          <w:highlight w:val="none"/>
        </w:rPr>
        <w:t>负责制定学校教育发展规划，并抓好组织实施和落实工作。</w:t>
      </w:r>
    </w:p>
    <w:p>
      <w:pPr>
        <w:keepNext w:val="0"/>
        <w:keepLines w:val="0"/>
        <w:pageBreakBefore w:val="0"/>
        <w:widowControl w:val="0"/>
        <w:kinsoku/>
        <w:wordWrap/>
        <w:overflowPunct/>
        <w:topLinePunct w:val="0"/>
        <w:autoSpaceDE/>
        <w:autoSpaceDN/>
        <w:bidi w:val="0"/>
        <w:adjustRightInd/>
        <w:snapToGrid/>
        <w:spacing w:line="440" w:lineRule="exact"/>
        <w:ind w:firstLine="646"/>
        <w:textAlignment w:val="auto"/>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lang w:eastAsia="zh-CN"/>
        </w:rPr>
        <w:t>（五）</w:t>
      </w:r>
      <w:r>
        <w:rPr>
          <w:rFonts w:hint="eastAsia" w:ascii="仿宋_GB2312" w:eastAsia="仿宋_GB2312" w:cs="仿宋_GB2312"/>
          <w:color w:val="auto"/>
          <w:kern w:val="0"/>
          <w:sz w:val="32"/>
          <w:szCs w:val="32"/>
          <w:highlight w:val="none"/>
        </w:rPr>
        <w:t>负责按照教育主管部门发布的指导性教学计划、教学大纲，组织实施教育教学活动。</w:t>
      </w:r>
    </w:p>
    <w:p>
      <w:pPr>
        <w:keepNext w:val="0"/>
        <w:keepLines w:val="0"/>
        <w:pageBreakBefore w:val="0"/>
        <w:widowControl w:val="0"/>
        <w:kinsoku/>
        <w:wordWrap/>
        <w:overflowPunct/>
        <w:topLinePunct w:val="0"/>
        <w:autoSpaceDE/>
        <w:autoSpaceDN/>
        <w:bidi w:val="0"/>
        <w:adjustRightInd/>
        <w:snapToGrid/>
        <w:spacing w:line="440" w:lineRule="exact"/>
        <w:ind w:firstLine="646"/>
        <w:textAlignment w:val="auto"/>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lang w:eastAsia="zh-CN"/>
        </w:rPr>
        <w:t>（六）</w:t>
      </w:r>
      <w:r>
        <w:rPr>
          <w:rFonts w:hint="eastAsia" w:ascii="仿宋_GB2312" w:eastAsia="仿宋_GB2312" w:cs="仿宋_GB2312"/>
          <w:color w:val="auto"/>
          <w:kern w:val="0"/>
          <w:sz w:val="32"/>
          <w:szCs w:val="32"/>
          <w:highlight w:val="none"/>
        </w:rPr>
        <w:t>负责依据国家教育主管部门有关教学计划、课程设置等方面的规定，决定和实施本校的教学计划，组织教学评比、集体备课，对学生进行统考核、考试等。</w:t>
      </w:r>
    </w:p>
    <w:p>
      <w:pPr>
        <w:keepNext w:val="0"/>
        <w:keepLines w:val="0"/>
        <w:pageBreakBefore w:val="0"/>
        <w:widowControl w:val="0"/>
        <w:kinsoku/>
        <w:wordWrap/>
        <w:overflowPunct/>
        <w:topLinePunct w:val="0"/>
        <w:autoSpaceDE/>
        <w:autoSpaceDN/>
        <w:bidi w:val="0"/>
        <w:adjustRightInd/>
        <w:snapToGrid/>
        <w:spacing w:line="440" w:lineRule="exact"/>
        <w:ind w:firstLine="646"/>
        <w:textAlignment w:val="auto"/>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lang w:eastAsia="zh-CN"/>
        </w:rPr>
        <w:t>（七）</w:t>
      </w:r>
      <w:r>
        <w:rPr>
          <w:rFonts w:hint="eastAsia" w:ascii="仿宋_GB2312" w:eastAsia="仿宋_GB2312" w:cs="仿宋_GB2312"/>
          <w:color w:val="auto"/>
          <w:kern w:val="0"/>
          <w:sz w:val="32"/>
          <w:szCs w:val="32"/>
          <w:highlight w:val="none"/>
        </w:rPr>
        <w:t>负责学籍管理并对学生实施奖励或处分</w:t>
      </w:r>
    </w:p>
    <w:p>
      <w:pPr>
        <w:keepNext w:val="0"/>
        <w:keepLines w:val="0"/>
        <w:pageBreakBefore w:val="0"/>
        <w:widowControl w:val="0"/>
        <w:kinsoku/>
        <w:wordWrap/>
        <w:overflowPunct/>
        <w:topLinePunct w:val="0"/>
        <w:autoSpaceDE/>
        <w:autoSpaceDN/>
        <w:bidi w:val="0"/>
        <w:adjustRightInd/>
        <w:snapToGrid/>
        <w:spacing w:line="440" w:lineRule="exact"/>
        <w:ind w:firstLine="646"/>
        <w:textAlignment w:val="auto"/>
        <w:rPr>
          <w:rFonts w:hint="eastAsia" w:ascii="仿宋_GB2312" w:eastAsia="仿宋_GB2312" w:cs="仿宋_GB2312"/>
          <w:color w:val="auto"/>
          <w:kern w:val="0"/>
          <w:sz w:val="32"/>
          <w:szCs w:val="32"/>
          <w:highlight w:val="none"/>
          <w:lang w:val="en-US" w:eastAsia="zh-CN"/>
        </w:rPr>
      </w:pPr>
      <w:r>
        <w:rPr>
          <w:rFonts w:hint="eastAsia" w:ascii="仿宋_GB2312" w:eastAsia="仿宋_GB2312" w:cs="仿宋_GB2312"/>
          <w:color w:val="auto"/>
          <w:kern w:val="0"/>
          <w:sz w:val="32"/>
          <w:szCs w:val="32"/>
          <w:highlight w:val="none"/>
          <w:lang w:eastAsia="zh-CN"/>
        </w:rPr>
        <w:t>（八）</w:t>
      </w:r>
      <w:r>
        <w:rPr>
          <w:rFonts w:hint="eastAsia" w:ascii="仿宋_GB2312" w:eastAsia="仿宋_GB2312" w:cs="仿宋_GB2312"/>
          <w:color w:val="auto"/>
          <w:kern w:val="0"/>
          <w:sz w:val="32"/>
          <w:szCs w:val="32"/>
          <w:highlight w:val="none"/>
        </w:rPr>
        <w:t>负责依法制定本校教师及其他职工聘任办法并对教师及其他员工实施包括奖励、处分在内的具体管理活动，依法聘任、解聘有关教师和其他职</w:t>
      </w:r>
      <w:r>
        <w:rPr>
          <w:rFonts w:hint="eastAsia" w:ascii="仿宋_GB2312" w:eastAsia="仿宋_GB2312" w:cs="仿宋_GB2312"/>
          <w:color w:val="auto"/>
          <w:kern w:val="0"/>
          <w:sz w:val="32"/>
          <w:szCs w:val="32"/>
          <w:highlight w:val="none"/>
          <w:lang w:val="en-US" w:eastAsia="zh-CN"/>
        </w:rPr>
        <w:t>工。</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lang w:eastAsia="zh-CN"/>
        </w:rPr>
        <w:t>（九）</w:t>
      </w:r>
      <w:r>
        <w:rPr>
          <w:rFonts w:hint="eastAsia" w:ascii="仿宋_GB2312" w:eastAsia="仿宋_GB2312" w:cs="仿宋_GB2312"/>
          <w:color w:val="auto"/>
          <w:kern w:val="0"/>
          <w:sz w:val="32"/>
          <w:szCs w:val="32"/>
          <w:highlight w:val="none"/>
        </w:rPr>
        <w:t>负责聘任、培训、考核教师，依法奖励或处分教师和其他职工</w:t>
      </w:r>
    </w:p>
    <w:p>
      <w:pPr>
        <w:keepNext w:val="0"/>
        <w:keepLines w:val="0"/>
        <w:pageBreakBefore w:val="0"/>
        <w:widowControl w:val="0"/>
        <w:kinsoku/>
        <w:wordWrap/>
        <w:overflowPunct/>
        <w:topLinePunct w:val="0"/>
        <w:autoSpaceDE/>
        <w:autoSpaceDN/>
        <w:bidi w:val="0"/>
        <w:adjustRightInd/>
        <w:snapToGrid/>
        <w:spacing w:line="440" w:lineRule="exact"/>
        <w:ind w:firstLine="646"/>
        <w:textAlignment w:val="auto"/>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lang w:eastAsia="zh-CN"/>
        </w:rPr>
        <w:t>（十）负责科学管理、合理使用学校的设施和经费并积极筹措资金，改善办学条件</w:t>
      </w:r>
      <w:r>
        <w:rPr>
          <w:rFonts w:hint="eastAsia" w:asci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646"/>
        <w:textAlignment w:val="auto"/>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lang w:eastAsia="zh-CN"/>
        </w:rPr>
        <w:t>（十一）</w:t>
      </w:r>
      <w:r>
        <w:rPr>
          <w:rFonts w:hint="eastAsia" w:ascii="仿宋_GB2312" w:eastAsia="仿宋_GB2312" w:cs="仿宋_GB2312"/>
          <w:color w:val="auto"/>
          <w:kern w:val="0"/>
          <w:sz w:val="32"/>
          <w:szCs w:val="32"/>
          <w:highlight w:val="none"/>
        </w:rPr>
        <w:t>负责维护学校、师生的合法权益，有权拒绝任何组织和个人对教育教学活动进行非法干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17" w:firstLineChars="193"/>
        <w:textAlignment w:val="auto"/>
        <w:outlineLvl w:val="9"/>
        <w:rPr>
          <w:rFonts w:hint="eastAsia" w:ascii="仿宋_GB2312" w:eastAsia="仿宋_GB2312" w:cs="仿宋_GB2312"/>
          <w:color w:val="auto"/>
          <w:kern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17" w:firstLineChars="193"/>
        <w:textAlignment w:val="auto"/>
        <w:outlineLvl w:val="9"/>
        <w:rPr>
          <w:rFonts w:hint="eastAsia" w:ascii="仿宋_GB2312" w:eastAsia="仿宋_GB2312" w:cs="仿宋_GB2312"/>
          <w:color w:val="auto"/>
          <w:kern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17" w:firstLineChars="193"/>
        <w:textAlignment w:val="auto"/>
        <w:outlineLvl w:val="9"/>
        <w:rPr>
          <w:rFonts w:hint="eastAsia" w:ascii="仿宋_GB2312" w:eastAsia="仿宋_GB2312" w:cs="仿宋_GB2312"/>
          <w:color w:val="auto"/>
          <w:kern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17" w:firstLineChars="193"/>
        <w:textAlignment w:val="auto"/>
        <w:outlineLvl w:val="9"/>
        <w:rPr>
          <w:rFonts w:hint="eastAsia" w:ascii="仿宋_GB2312" w:eastAsia="仿宋_GB2312" w:cs="仿宋_GB2312"/>
          <w:color w:val="auto"/>
          <w:kern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17" w:firstLineChars="193"/>
        <w:textAlignment w:val="auto"/>
        <w:outlineLvl w:val="9"/>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lang w:eastAsia="zh-CN"/>
        </w:rPr>
        <w:t>（十二）</w:t>
      </w:r>
      <w:r>
        <w:rPr>
          <w:rFonts w:hint="eastAsia" w:ascii="仿宋_GB2312" w:eastAsia="仿宋_GB2312" w:cs="仿宋_GB2312"/>
          <w:color w:val="auto"/>
          <w:kern w:val="0"/>
          <w:sz w:val="32"/>
          <w:szCs w:val="32"/>
          <w:highlight w:val="none"/>
        </w:rPr>
        <w:t>依法接受各级教育行政部门的检查指导和人民群众的监督</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auto"/>
          <w:sz w:val="32"/>
          <w:szCs w:val="32"/>
          <w:highlight w:val="none"/>
        </w:rPr>
      </w:pPr>
      <w:r>
        <w:rPr>
          <w:rFonts w:hint="default" w:ascii="Times New Roman" w:hAnsi="Times New Roman" w:eastAsia="仿宋_GB2312" w:cs="Times New Roman"/>
          <w:color w:val="auto"/>
          <w:sz w:val="32"/>
          <w:szCs w:val="32"/>
          <w:highlight w:val="none"/>
        </w:rPr>
        <w:t>　</w:t>
      </w:r>
      <w:r>
        <w:rPr>
          <w:rFonts w:hint="eastAsia"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 xml:space="preserve"> （十三）承办自治区人民政府交办的其他事项。 </w:t>
      </w:r>
    </w:p>
    <w:p>
      <w:pPr>
        <w:numPr>
          <w:ilvl w:val="0"/>
          <w:numId w:val="1"/>
        </w:num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部门决算单位构成</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s="宋体"/>
          <w:color w:val="auto"/>
          <w:sz w:val="32"/>
          <w:szCs w:val="32"/>
          <w:highlight w:val="none"/>
          <w:lang w:eastAsia="zh-CN"/>
        </w:rPr>
      </w:pPr>
      <w:r>
        <w:rPr>
          <w:rFonts w:hint="eastAsia" w:ascii="黑体" w:hAnsi="黑体" w:eastAsia="黑体" w:cs="黑体"/>
          <w:color w:val="auto"/>
          <w:sz w:val="32"/>
          <w:szCs w:val="32"/>
          <w:highlight w:val="none"/>
          <w:lang w:val="en-US" w:eastAsia="zh-CN"/>
        </w:rPr>
        <w:t xml:space="preserve">  </w:t>
      </w:r>
      <w:r>
        <w:rPr>
          <w:rFonts w:hint="eastAsia" w:ascii="仿宋_GB2312" w:hAnsi="宋体" w:eastAsia="仿宋_GB2312" w:cs="宋体"/>
          <w:color w:val="auto"/>
          <w:sz w:val="32"/>
          <w:szCs w:val="32"/>
          <w:highlight w:val="none"/>
          <w:lang w:val="en-US" w:eastAsia="zh-CN"/>
        </w:rPr>
        <w:t>学校</w:t>
      </w:r>
      <w:r>
        <w:rPr>
          <w:rFonts w:hint="eastAsia" w:ascii="仿宋_GB2312" w:hAnsi="宋体" w:eastAsia="仿宋_GB2312" w:cs="宋体"/>
          <w:color w:val="auto"/>
          <w:sz w:val="32"/>
          <w:szCs w:val="32"/>
          <w:highlight w:val="none"/>
          <w:lang w:eastAsia="zh-CN"/>
        </w:rPr>
        <w:t>有</w:t>
      </w:r>
      <w:r>
        <w:rPr>
          <w:rFonts w:hint="eastAsia" w:ascii="仿宋_GB2312" w:hAnsi="宋体" w:eastAsia="仿宋_GB2312" w:cs="宋体"/>
          <w:color w:val="auto"/>
          <w:sz w:val="32"/>
          <w:szCs w:val="32"/>
          <w:highlight w:val="none"/>
          <w:lang w:val="en-US" w:eastAsia="zh-CN"/>
        </w:rPr>
        <w:t>七</w:t>
      </w:r>
      <w:r>
        <w:rPr>
          <w:rFonts w:hint="eastAsia" w:ascii="仿宋_GB2312" w:hAnsi="宋体" w:eastAsia="仿宋_GB2312" w:cs="宋体"/>
          <w:color w:val="auto"/>
          <w:sz w:val="32"/>
          <w:szCs w:val="32"/>
          <w:highlight w:val="none"/>
          <w:lang w:eastAsia="zh-CN"/>
        </w:rPr>
        <w:t>个内设机构，分别为：党工委办公室、行政办公室、</w:t>
      </w:r>
      <w:r>
        <w:rPr>
          <w:rFonts w:hint="eastAsia" w:ascii="仿宋_GB2312" w:hAnsi="宋体" w:eastAsia="仿宋_GB2312" w:cs="宋体"/>
          <w:color w:val="auto"/>
          <w:sz w:val="32"/>
          <w:szCs w:val="32"/>
          <w:highlight w:val="none"/>
          <w:lang w:val="en-US" w:eastAsia="zh-CN"/>
        </w:rPr>
        <w:t>工会室、安全办、政教处、教务处、总务处</w:t>
      </w:r>
      <w:r>
        <w:rPr>
          <w:rFonts w:hint="eastAsia" w:ascii="仿宋_GB2312" w:hAnsi="宋体" w:eastAsia="仿宋_GB2312" w:cs="宋体"/>
          <w:color w:val="auto"/>
          <w:sz w:val="32"/>
          <w:szCs w:val="32"/>
          <w:highlight w:val="none"/>
          <w:lang w:eastAsia="zh-CN"/>
        </w:rPr>
        <w:t>。</w:t>
      </w:r>
    </w:p>
    <w:p>
      <w:pPr>
        <w:numPr>
          <w:ilvl w:val="0"/>
          <w:numId w:val="0"/>
        </w:numPr>
        <w:jc w:val="left"/>
        <w:rPr>
          <w:rFonts w:hint="default" w:ascii="黑体" w:hAnsi="黑体" w:eastAsia="黑体" w:cs="黑体"/>
          <w:color w:val="auto"/>
          <w:sz w:val="32"/>
          <w:szCs w:val="32"/>
          <w:highlight w:val="none"/>
          <w:lang w:val="en-US" w:eastAsia="zh-CN"/>
        </w:rPr>
      </w:pPr>
    </w:p>
    <w:p>
      <w:pPr>
        <w:jc w:val="center"/>
        <w:rPr>
          <w:rFonts w:hint="eastAsia" w:ascii="仿宋" w:hAnsi="仿宋" w:eastAsia="仿宋" w:cs="仿宋"/>
          <w:color w:val="auto"/>
          <w:sz w:val="32"/>
          <w:szCs w:val="32"/>
          <w:highlight w:val="none"/>
          <w:lang w:val="en-US" w:eastAsia="zh-CN"/>
        </w:rPr>
      </w:pPr>
    </w:p>
    <w:p>
      <w:pPr>
        <w:jc w:val="center"/>
        <w:rPr>
          <w:rFonts w:hint="eastAsia" w:ascii="黑体" w:hAnsi="黑体" w:eastAsia="黑体" w:cs="黑体"/>
          <w:color w:val="auto"/>
          <w:sz w:val="32"/>
          <w:szCs w:val="32"/>
          <w:highlight w:val="none"/>
          <w:lang w:val="en-US" w:eastAsia="zh-CN"/>
        </w:rPr>
      </w:pPr>
    </w:p>
    <w:p>
      <w:pPr>
        <w:jc w:val="center"/>
        <w:rPr>
          <w:rFonts w:hint="eastAsia" w:ascii="黑体" w:hAnsi="黑体" w:eastAsia="黑体" w:cs="黑体"/>
          <w:color w:val="auto"/>
          <w:sz w:val="32"/>
          <w:szCs w:val="32"/>
          <w:highlight w:val="none"/>
          <w:lang w:val="en-US" w:eastAsia="zh-CN"/>
        </w:rPr>
      </w:pPr>
    </w:p>
    <w:p>
      <w:pPr>
        <w:jc w:val="center"/>
        <w:rPr>
          <w:rFonts w:hint="eastAsia" w:ascii="黑体" w:hAnsi="黑体" w:eastAsia="黑体" w:cs="黑体"/>
          <w:color w:val="auto"/>
          <w:sz w:val="32"/>
          <w:szCs w:val="32"/>
          <w:highlight w:val="none"/>
          <w:lang w:val="en-US" w:eastAsia="zh-CN"/>
        </w:rPr>
        <w:sectPr>
          <w:pgSz w:w="11906" w:h="16838"/>
          <w:pgMar w:top="1440" w:right="1860" w:bottom="1440" w:left="1860" w:header="851" w:footer="992" w:gutter="0"/>
          <w:cols w:space="0" w:num="1"/>
          <w:rtlGutter w:val="0"/>
          <w:docGrid w:type="lines" w:linePitch="312" w:charSpace="0"/>
        </w:sectPr>
      </w:pPr>
    </w:p>
    <w:p>
      <w:pPr>
        <w:ind w:firstLine="1600" w:firstLineChars="500"/>
        <w:jc w:val="both"/>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w:t>
      </w:r>
      <w:r>
        <w:rPr>
          <w:rFonts w:hint="eastAsia" w:ascii="黑体" w:hAnsi="黑体" w:eastAsia="黑体" w:cs="黑体"/>
          <w:color w:val="auto"/>
          <w:sz w:val="32"/>
          <w:highlight w:val="none"/>
          <w:u w:color="auto"/>
          <w:lang w:eastAsia="zh-CN"/>
        </w:rPr>
        <w:t>环江毛南族自治县</w:t>
      </w:r>
      <w:r>
        <w:rPr>
          <w:rFonts w:ascii="黑体" w:hAnsi="黑体" w:eastAsia="黑体" w:cs="黑体"/>
          <w:color w:val="auto"/>
          <w:sz w:val="32"/>
          <w:highlight w:val="none"/>
          <w:u w:color="auto"/>
        </w:rPr>
        <w:t>第一小学</w:t>
      </w:r>
      <w:r>
        <w:rPr>
          <w:rFonts w:hint="eastAsia" w:ascii="黑体" w:hAnsi="黑体" w:eastAsia="黑体" w:cs="黑体"/>
          <w:color w:val="auto"/>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color w:val="auto"/>
                <w:sz w:val="24"/>
                <w:highlight w:val="none"/>
              </w:rPr>
            </w:pPr>
            <w:r>
              <w:rPr>
                <w:rFonts w:hint="eastAsia" w:ascii="仿宋" w:hAnsi="仿宋" w:eastAsia="仿宋" w:cs="仿宋"/>
                <w:color w:val="auto"/>
                <w:sz w:val="24"/>
                <w:highlight w:val="none"/>
              </w:rPr>
              <w:t>表一：收入支出决算总表</w:t>
            </w: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eastAsia" w:ascii="宋体" w:hAnsi="宋体" w:eastAsia="宋体" w:cs="宋体"/>
                <w:color w:val="auto"/>
                <w:sz w:val="20"/>
                <w:highlight w:val="none"/>
                <w:u w:color="auto"/>
                <w:lang w:eastAsia="zh-CN"/>
              </w:rPr>
              <w:t>环江毛南族自治县</w:t>
            </w:r>
            <w:r>
              <w:rPr>
                <w:rFonts w:hint="default" w:ascii="宋体" w:hAnsi="宋体" w:eastAsia="宋体" w:cs="宋体"/>
                <w:color w:val="auto"/>
                <w:sz w:val="20"/>
                <w:highlight w:val="none"/>
                <w:u w:color="auto"/>
              </w:rPr>
              <w:t>第一小学</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1342.74</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14.03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967.69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106.75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80.01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174.26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1342.74</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1342.74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1342.74</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1342.74</w:t>
            </w:r>
          </w:p>
        </w:tc>
      </w:tr>
    </w:tbl>
    <w:p>
      <w:pPr>
        <w:rPr>
          <w:rFonts w:ascii="宋体" w:hAnsi="宋体" w:eastAsia="宋体" w:cs="宋体"/>
          <w:color w:val="auto"/>
          <w:kern w:val="0"/>
          <w:sz w:val="30"/>
          <w:szCs w:val="30"/>
          <w:highlight w:val="none"/>
          <w:lang w:bidi="ar"/>
        </w:rPr>
      </w:pPr>
      <w:r>
        <w:rPr>
          <w:rFonts w:hint="eastAsia" w:ascii="宋体" w:hAnsi="宋体" w:eastAsia="宋体" w:cs="宋体"/>
          <w:color w:val="auto"/>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color w:val="auto"/>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eastAsia" w:ascii="宋体" w:hAnsi="宋体" w:eastAsia="宋体" w:cs="宋体"/>
                <w:color w:val="auto"/>
                <w:sz w:val="20"/>
                <w:highlight w:val="none"/>
                <w:u w:color="auto"/>
                <w:lang w:eastAsia="zh-CN"/>
              </w:rPr>
              <w:t>环江毛南族自治县</w:t>
            </w:r>
            <w:r>
              <w:rPr>
                <w:rFonts w:hint="default" w:ascii="宋体" w:hAnsi="宋体" w:eastAsia="宋体" w:cs="宋体"/>
                <w:color w:val="auto"/>
                <w:sz w:val="20"/>
                <w:highlight w:val="none"/>
                <w:u w:color="auto"/>
              </w:rPr>
              <w:t>第一小学</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1342.74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1342.74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14.03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14.03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14.03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14.03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14.03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14.03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967.69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967.69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967.69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967.69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2050202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小学教育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882.85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882.85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84.84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84.84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106.75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106.75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106.75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106.75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106.75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106.75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80.01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80.01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80.01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80.01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80.01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80.01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174.26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174.26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174.26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174.26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174.26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174.26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注：本表反映部门本年度取得的各项收入情况。</w:t>
            </w:r>
          </w:p>
        </w:tc>
      </w:tr>
    </w:tbl>
    <w:p>
      <w:pPr>
        <w:jc w:val="center"/>
        <w:rPr>
          <w:rFonts w:ascii="仿宋" w:hAnsi="仿宋" w:eastAsia="仿宋" w:cs="仿宋"/>
          <w:color w:val="auto"/>
          <w:sz w:val="24"/>
          <w:highlight w:val="none"/>
        </w:rPr>
      </w:pPr>
    </w:p>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center"/>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表三：支出决算表</w:t>
      </w:r>
    </w:p>
    <w:p>
      <w:pPr>
        <w:jc w:val="left"/>
        <w:rPr>
          <w:rFonts w:hint="eastAsia" w:ascii="仿宋" w:hAnsi="仿宋" w:eastAsia="仿宋" w:cs="仿宋"/>
          <w:color w:val="auto"/>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eastAsia" w:ascii="宋体" w:hAnsi="宋体" w:eastAsia="宋体" w:cs="宋体"/>
                <w:color w:val="auto"/>
                <w:sz w:val="20"/>
                <w:highlight w:val="none"/>
                <w:u w:color="auto"/>
                <w:lang w:eastAsia="zh-CN"/>
              </w:rPr>
              <w:t>环江毛南族自治县</w:t>
            </w:r>
            <w:r>
              <w:rPr>
                <w:rFonts w:hint="default" w:ascii="宋体" w:hAnsi="宋体" w:eastAsia="宋体" w:cs="宋体"/>
                <w:color w:val="auto"/>
                <w:sz w:val="20"/>
                <w:highlight w:val="none"/>
                <w:u w:color="auto"/>
              </w:rPr>
              <w:t>第一小学</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default" w:ascii="宋体" w:hAnsi="宋体" w:eastAsia="宋体" w:cs="宋体"/>
                <w:b/>
                <w:bCs/>
                <w:color w:val="auto"/>
                <w:sz w:val="22"/>
                <w:szCs w:val="22"/>
                <w:highlight w:val="none"/>
              </w:rPr>
              <w:t>1342.74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default" w:ascii="宋体" w:hAnsi="宋体" w:eastAsia="宋体" w:cs="宋体"/>
                <w:b/>
                <w:bCs/>
                <w:color w:val="auto"/>
                <w:sz w:val="22"/>
                <w:szCs w:val="22"/>
                <w:highlight w:val="none"/>
              </w:rPr>
              <w:t>1185.18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157.56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default"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14.03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14.03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14.03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14.03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14.03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14.03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967.69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879.60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88.09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967.69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879.60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88.09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2050202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小学教育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882.85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879.60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3.25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84.84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84.84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106.75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106.75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106.75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106.75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106.75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106.75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80.01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80.01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80.01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80.01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80.01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80.01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174.26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104.80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69.47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174.26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104.80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69.47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174.26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104.80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69.47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注：本表反映部门本年度各项支出情况。</w:t>
            </w:r>
          </w:p>
        </w:tc>
      </w:tr>
    </w:tbl>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center"/>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表四：财政拨款收入支出决算总表</w:t>
      </w:r>
    </w:p>
    <w:p>
      <w:pPr>
        <w:jc w:val="left"/>
        <w:rPr>
          <w:rFonts w:hint="eastAsia" w:ascii="仿宋" w:hAnsi="仿宋" w:eastAsia="仿宋" w:cs="仿宋"/>
          <w:color w:val="auto"/>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eastAsia" w:ascii="宋体" w:hAnsi="宋体" w:eastAsia="宋体" w:cs="宋体"/>
                <w:color w:val="auto"/>
                <w:sz w:val="20"/>
                <w:highlight w:val="none"/>
                <w:u w:color="auto"/>
                <w:lang w:eastAsia="zh-CN"/>
              </w:rPr>
              <w:t>环江毛南族自治县</w:t>
            </w:r>
            <w:r>
              <w:rPr>
                <w:rFonts w:hint="default" w:ascii="宋体" w:hAnsi="宋体" w:eastAsia="宋体" w:cs="宋体"/>
                <w:color w:val="auto"/>
                <w:sz w:val="20"/>
                <w:highlight w:val="none"/>
                <w:u w:color="auto"/>
              </w:rPr>
              <w:t>第一小学</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1342.74</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14.03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14.03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967.69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967.69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106.75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106.75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80.01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80.01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174.26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174.26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1342.74</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1342.74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1342.74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1342.74</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1342.74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1342.74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0"/>
                <w:szCs w:val="20"/>
                <w:highlight w:val="none"/>
              </w:rPr>
            </w:pPr>
          </w:p>
        </w:tc>
      </w:tr>
    </w:tbl>
    <w:p>
      <w:pPr>
        <w:jc w:val="left"/>
        <w:rPr>
          <w:rFonts w:ascii="仿宋" w:hAnsi="仿宋" w:eastAsia="仿宋" w:cs="仿宋"/>
          <w:color w:val="auto"/>
          <w:sz w:val="24"/>
          <w:highlight w:val="none"/>
        </w:rPr>
      </w:pPr>
    </w:p>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表五：一般公共预算财政拨款支出决算表</w:t>
      </w:r>
    </w:p>
    <w:p>
      <w:pPr>
        <w:jc w:val="left"/>
        <w:rPr>
          <w:rFonts w:hint="eastAsia" w:ascii="仿宋" w:hAnsi="仿宋" w:eastAsia="仿宋" w:cs="仿宋"/>
          <w:color w:val="auto"/>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eastAsia" w:ascii="宋体" w:hAnsi="宋体" w:eastAsia="宋体" w:cs="宋体"/>
                <w:color w:val="auto"/>
                <w:sz w:val="20"/>
                <w:highlight w:val="none"/>
                <w:u w:color="auto"/>
                <w:lang w:eastAsia="zh-CN"/>
              </w:rPr>
              <w:t>环江毛南族自治县</w:t>
            </w:r>
            <w:r>
              <w:rPr>
                <w:rFonts w:hint="default" w:ascii="宋体" w:hAnsi="宋体" w:eastAsia="宋体" w:cs="宋体"/>
                <w:color w:val="auto"/>
                <w:sz w:val="20"/>
                <w:highlight w:val="none"/>
                <w:u w:color="auto"/>
              </w:rPr>
              <w:t>第一小学</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default" w:ascii="宋体" w:hAnsi="宋体" w:eastAsia="宋体" w:cs="宋体"/>
                <w:b/>
                <w:bCs/>
                <w:color w:val="auto"/>
                <w:sz w:val="22"/>
                <w:szCs w:val="22"/>
                <w:highlight w:val="none"/>
              </w:rPr>
              <w:t>1342.74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1185.18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157.56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14.03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14.03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14.03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14.03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14.03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14.03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967.69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879.60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88.09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967.69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879.60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88.09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2050202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小学教育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882.85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879.60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3.25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84.84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84.84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106.75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106.75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106.75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106.75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106.75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106.75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80.01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80.01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80.01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80.01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80.01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80.01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174.26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104.80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69.47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174.26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104.80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69.47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174.26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104.80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69.47</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注：本表反映部门本年度一般公共预算财政拨款支出情况。</w:t>
            </w:r>
          </w:p>
        </w:tc>
      </w:tr>
    </w:tbl>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表六：一般公共预算财政拨款基本支出决算表</w:t>
      </w:r>
    </w:p>
    <w:p>
      <w:pPr>
        <w:jc w:val="left"/>
        <w:rPr>
          <w:rFonts w:hint="eastAsia" w:ascii="仿宋" w:hAnsi="仿宋" w:eastAsia="仿宋" w:cs="仿宋"/>
          <w:color w:val="auto"/>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eastAsia" w:ascii="宋体" w:hAnsi="宋体" w:eastAsia="宋体" w:cs="宋体"/>
                <w:color w:val="auto"/>
                <w:sz w:val="20"/>
                <w:highlight w:val="none"/>
                <w:u w:color="auto"/>
                <w:lang w:eastAsia="zh-CN"/>
              </w:rPr>
              <w:t>环江毛南族自治县</w:t>
            </w:r>
            <w:r>
              <w:rPr>
                <w:rFonts w:hint="default" w:ascii="宋体" w:hAnsi="宋体" w:eastAsia="宋体" w:cs="宋体"/>
                <w:color w:val="auto"/>
                <w:sz w:val="20"/>
                <w:highlight w:val="none"/>
                <w:u w:color="auto"/>
              </w:rPr>
              <w:t>第一小学</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工资福利支出</w:t>
            </w: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1014.02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88.79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400.09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61.74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28.17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168.70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174.56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0.55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106.75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1.35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0.65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48.38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2.49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80.01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7.71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1.36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82.38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16.50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51.85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0.28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10.83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14.03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3.21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1096.40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88.79</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注：本表反映部门本年度一般公共预算财政拨款基本支出明细情况。</w:t>
            </w:r>
          </w:p>
        </w:tc>
      </w:tr>
    </w:tbl>
    <w:p>
      <w:pPr>
        <w:jc w:val="left"/>
        <w:rPr>
          <w:rFonts w:ascii="仿宋" w:hAnsi="仿宋" w:eastAsia="仿宋" w:cs="仿宋"/>
          <w:color w:val="auto"/>
          <w:sz w:val="24"/>
          <w:highlight w:val="none"/>
        </w:rPr>
      </w:pPr>
    </w:p>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w:t>
      </w:r>
      <w:r>
        <w:rPr>
          <w:rFonts w:hint="eastAsia" w:ascii="仿宋" w:hAnsi="仿宋" w:eastAsia="仿宋" w:cs="仿宋"/>
          <w:color w:val="auto"/>
          <w:sz w:val="24"/>
          <w:highlight w:val="none"/>
          <w:lang w:val="en-US" w:eastAsia="zh-CN"/>
        </w:rPr>
        <w:t>七</w:t>
      </w:r>
      <w:r>
        <w:rPr>
          <w:rFonts w:hint="eastAsia" w:ascii="仿宋" w:hAnsi="仿宋" w:eastAsia="仿宋" w:cs="仿宋"/>
          <w:color w:val="auto"/>
          <w:sz w:val="24"/>
          <w:highlight w:val="none"/>
        </w:rPr>
        <w:t>：政府性基金预算财政拨款收入支出决算表</w:t>
      </w:r>
    </w:p>
    <w:p>
      <w:pPr>
        <w:jc w:val="left"/>
        <w:rPr>
          <w:rFonts w:hint="eastAsia" w:ascii="仿宋" w:hAnsi="仿宋" w:eastAsia="仿宋" w:cs="仿宋"/>
          <w:color w:val="auto"/>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w:t>
            </w:r>
            <w:r>
              <w:rPr>
                <w:rFonts w:hint="eastAsia" w:ascii="宋体" w:hAnsi="宋体" w:eastAsia="宋体" w:cs="宋体"/>
                <w:color w:val="auto"/>
                <w:kern w:val="0"/>
                <w:sz w:val="20"/>
                <w:szCs w:val="20"/>
                <w:highlight w:val="none"/>
                <w:lang w:val="en-US" w:eastAsia="zh-CN" w:bidi="ar"/>
              </w:rPr>
              <w:t>7</w:t>
            </w:r>
            <w:r>
              <w:rPr>
                <w:rFonts w:hint="eastAsia" w:ascii="宋体" w:hAnsi="宋体" w:eastAsia="宋体" w:cs="宋体"/>
                <w:color w:val="auto"/>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eastAsia" w:ascii="宋体" w:hAnsi="宋体" w:eastAsia="宋体" w:cs="宋体"/>
                <w:color w:val="auto"/>
                <w:sz w:val="20"/>
                <w:highlight w:val="none"/>
                <w:u w:color="auto"/>
                <w:lang w:eastAsia="zh-CN"/>
              </w:rPr>
              <w:t>环江毛南族自治县</w:t>
            </w:r>
            <w:r>
              <w:rPr>
                <w:rFonts w:hint="default" w:ascii="宋体" w:hAnsi="宋体" w:eastAsia="宋体" w:cs="宋体"/>
                <w:color w:val="auto"/>
                <w:sz w:val="20"/>
                <w:highlight w:val="none"/>
                <w:u w:color="auto"/>
              </w:rPr>
              <w:t>第一小学</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highlight w:val="none"/>
              </w:rPr>
            </w:pPr>
            <w:r>
              <w:rPr>
                <w:rFonts w:hint="eastAsia" w:ascii="宋体" w:hAnsi="宋体" w:eastAsia="宋体" w:cs="宋体"/>
                <w:color w:val="auto"/>
                <w:kern w:val="2"/>
                <w:sz w:val="21"/>
                <w:szCs w:val="21"/>
                <w:highlight w:val="none"/>
                <w:lang w:val="en-US" w:eastAsia="zh-CN" w:bidi="ar"/>
              </w:rPr>
              <w:t>本部门</w:t>
            </w:r>
            <w:r>
              <w:rPr>
                <w:rFonts w:hint="default" w:ascii="Times New Roman" w:hAnsi="Times New Roman" w:eastAsia="宋体" w:cs="Times New Roman"/>
                <w:color w:val="auto"/>
                <w:kern w:val="2"/>
                <w:sz w:val="21"/>
                <w:szCs w:val="21"/>
                <w:highlight w:val="none"/>
                <w:lang w:val="en-US" w:eastAsia="zh-CN" w:bidi="ar"/>
              </w:rPr>
              <w:t>2022</w:t>
            </w:r>
            <w:r>
              <w:rPr>
                <w:rFonts w:hint="eastAsia" w:ascii="宋体" w:hAnsi="宋体" w:eastAsia="宋体" w:cs="宋体"/>
                <w:color w:val="auto"/>
                <w:kern w:val="2"/>
                <w:sz w:val="21"/>
                <w:szCs w:val="21"/>
                <w:highlight w:val="none"/>
                <w:lang w:val="en-US" w:eastAsia="zh-CN" w:bidi="ar"/>
              </w:rPr>
              <w:t>年度没有政府性基金预算财政拨款收入，也没有政府性基金预算财政拨款安排的支出，故本表无数据。</w:t>
            </w:r>
            <w:r>
              <w:rPr>
                <w:rFonts w:hint="eastAsia" w:ascii="Times New Roman" w:hAnsi="Times New Roman" w:eastAsia="宋体" w:cs="Times New Roman"/>
                <w:color w:val="auto"/>
                <w:kern w:val="2"/>
                <w:sz w:val="21"/>
                <w:szCs w:val="21"/>
                <w:highlight w:val="none"/>
                <w:lang w:val="en-US" w:eastAsia="zh-CN" w:bidi="ar"/>
              </w:rPr>
              <w:t xml:space="preserve"> </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r>
    </w:tbl>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w:t>
      </w:r>
      <w:r>
        <w:rPr>
          <w:rFonts w:hint="eastAsia" w:ascii="仿宋" w:hAnsi="仿宋" w:eastAsia="仿宋" w:cs="仿宋"/>
          <w:color w:val="auto"/>
          <w:sz w:val="24"/>
          <w:highlight w:val="none"/>
          <w:lang w:val="en-US" w:eastAsia="zh-CN"/>
        </w:rPr>
        <w:t>八</w:t>
      </w:r>
      <w:r>
        <w:rPr>
          <w:rFonts w:hint="eastAsia" w:ascii="仿宋" w:hAnsi="仿宋" w:eastAsia="仿宋" w:cs="仿宋"/>
          <w:color w:val="auto"/>
          <w:sz w:val="24"/>
          <w:highlight w:val="none"/>
        </w:rPr>
        <w:t>：国有资本经营预算财政拨款支出决算表</w:t>
      </w:r>
    </w:p>
    <w:p>
      <w:pPr>
        <w:jc w:val="left"/>
        <w:rPr>
          <w:rFonts w:hint="eastAsia" w:ascii="仿宋" w:hAnsi="仿宋" w:eastAsia="仿宋" w:cs="仿宋"/>
          <w:color w:val="auto"/>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w:t>
            </w:r>
            <w:r>
              <w:rPr>
                <w:rFonts w:hint="eastAsia" w:ascii="宋体" w:hAnsi="宋体" w:eastAsia="宋体" w:cs="宋体"/>
                <w:color w:val="auto"/>
                <w:kern w:val="0"/>
                <w:sz w:val="20"/>
                <w:szCs w:val="20"/>
                <w:highlight w:val="none"/>
                <w:lang w:val="en-US" w:eastAsia="zh-CN" w:bidi="ar"/>
              </w:rPr>
              <w:t>8</w:t>
            </w:r>
            <w:r>
              <w:rPr>
                <w:rFonts w:hint="eastAsia" w:ascii="宋体" w:hAnsi="宋体" w:eastAsia="宋体" w:cs="宋体"/>
                <w:color w:val="auto"/>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eastAsia" w:ascii="宋体" w:hAnsi="宋体" w:eastAsia="宋体" w:cs="宋体"/>
                <w:color w:val="auto"/>
                <w:sz w:val="20"/>
                <w:highlight w:val="none"/>
                <w:u w:color="auto"/>
                <w:lang w:eastAsia="zh-CN"/>
              </w:rPr>
              <w:t>环江毛南族自治县</w:t>
            </w:r>
            <w:r>
              <w:rPr>
                <w:rFonts w:hint="default" w:ascii="宋体" w:hAnsi="宋体" w:eastAsia="宋体" w:cs="宋体"/>
                <w:color w:val="auto"/>
                <w:sz w:val="20"/>
                <w:highlight w:val="none"/>
                <w:u w:color="auto"/>
              </w:rPr>
              <w:t>第一小学</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highlight w:val="none"/>
          <w:lang w:val="en-US" w:eastAsia="zh-CN" w:bidi="ar"/>
        </w:rPr>
        <w:t>本部门</w:t>
      </w:r>
      <w:r>
        <w:rPr>
          <w:rFonts w:hint="default" w:ascii="Times New Roman" w:hAnsi="Times New Roman" w:eastAsia="宋体" w:cs="Times New Roman"/>
          <w:color w:val="auto"/>
          <w:kern w:val="2"/>
          <w:sz w:val="21"/>
          <w:szCs w:val="21"/>
          <w:highlight w:val="none"/>
          <w:lang w:val="en-US" w:eastAsia="zh-CN" w:bidi="ar"/>
        </w:rPr>
        <w:t>2022</w:t>
      </w:r>
      <w:r>
        <w:rPr>
          <w:rFonts w:hint="eastAsia" w:ascii="宋体" w:hAnsi="宋体" w:eastAsia="宋体" w:cs="宋体"/>
          <w:color w:val="auto"/>
          <w:kern w:val="2"/>
          <w:sz w:val="21"/>
          <w:szCs w:val="21"/>
          <w:highlight w:val="none"/>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color w:val="auto"/>
                <w:sz w:val="24"/>
                <w:highlight w:val="none"/>
              </w:rPr>
            </w:pPr>
            <w:r>
              <w:rPr>
                <w:rFonts w:hint="eastAsia" w:ascii="仿宋" w:hAnsi="仿宋" w:eastAsia="仿宋" w:cs="仿宋"/>
                <w:color w:val="auto"/>
                <w:sz w:val="24"/>
                <w:highlight w:val="none"/>
                <w:lang w:val="en-US" w:eastAsia="zh-CN"/>
              </w:rPr>
              <w:t>表九：</w:t>
            </w:r>
            <w:r>
              <w:rPr>
                <w:rFonts w:hint="eastAsia" w:ascii="仿宋" w:hAnsi="仿宋" w:eastAsia="仿宋" w:cs="仿宋"/>
                <w:color w:val="auto"/>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auto"/>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w:t>
            </w:r>
            <w:r>
              <w:rPr>
                <w:rFonts w:hint="eastAsia" w:ascii="宋体" w:hAnsi="宋体" w:eastAsia="宋体" w:cs="宋体"/>
                <w:color w:val="auto"/>
                <w:kern w:val="0"/>
                <w:sz w:val="20"/>
                <w:szCs w:val="20"/>
                <w:highlight w:val="none"/>
                <w:lang w:val="en-US" w:eastAsia="zh-CN" w:bidi="ar"/>
              </w:rPr>
              <w:t>9</w:t>
            </w:r>
            <w:r>
              <w:rPr>
                <w:rFonts w:hint="eastAsia" w:ascii="宋体" w:hAnsi="宋体" w:eastAsia="宋体" w:cs="宋体"/>
                <w:color w:val="auto"/>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eastAsia" w:ascii="宋体" w:hAnsi="宋体" w:eastAsia="宋体" w:cs="宋体"/>
                <w:color w:val="auto"/>
                <w:sz w:val="20"/>
                <w:highlight w:val="none"/>
                <w:u w:color="auto"/>
                <w:lang w:eastAsia="zh-CN"/>
              </w:rPr>
              <w:t>环江毛南族自治县</w:t>
            </w:r>
            <w:r>
              <w:rPr>
                <w:rFonts w:hint="default" w:ascii="宋体" w:hAnsi="宋体" w:eastAsia="宋体" w:cs="宋体"/>
                <w:color w:val="auto"/>
                <w:sz w:val="20"/>
                <w:highlight w:val="none"/>
                <w:u w:color="auto"/>
              </w:rPr>
              <w:t>第一小学</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color w:val="auto"/>
                <w:highlight w:val="none"/>
              </w:rPr>
            </w:pPr>
            <w:r>
              <w:rPr>
                <w:rFonts w:hint="default"/>
                <w:color w:val="auto"/>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color w:val="auto"/>
                <w:highlight w:val="none"/>
              </w:rPr>
            </w:pPr>
            <w:r>
              <w:rPr>
                <w:rFonts w:hint="eastAsia"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highlight w:val="none"/>
                <w:lang w:val="en-US" w:eastAsia="zh-CN" w:bidi="ar"/>
              </w:rPr>
              <w:t>本部门</w:t>
            </w:r>
            <w:r>
              <w:rPr>
                <w:rFonts w:hint="default" w:ascii="Times New Roman" w:hAnsi="Times New Roman" w:eastAsia="宋体" w:cs="Times New Roman"/>
                <w:color w:val="auto"/>
                <w:kern w:val="2"/>
                <w:sz w:val="21"/>
                <w:szCs w:val="21"/>
                <w:highlight w:val="none"/>
                <w:lang w:val="en-US" w:eastAsia="zh-CN" w:bidi="ar"/>
              </w:rPr>
              <w:t>2022</w:t>
            </w:r>
            <w:r>
              <w:rPr>
                <w:rFonts w:hint="eastAsia" w:ascii="宋体" w:hAnsi="宋体" w:eastAsia="宋体" w:cs="宋体"/>
                <w:color w:val="auto"/>
                <w:kern w:val="2"/>
                <w:sz w:val="21"/>
                <w:szCs w:val="21"/>
                <w:highlight w:val="none"/>
                <w:lang w:val="en-US" w:eastAsia="zh-CN" w:bidi="ar"/>
              </w:rPr>
              <w:t>年度没有财政拨款“三公”经费收入，也没有财政拨款“三公”经费安排的支出，故本表无数据。</w:t>
            </w:r>
          </w:p>
        </w:tc>
      </w:tr>
    </w:tbl>
    <w:p>
      <w:pPr>
        <w:ind w:firstLine="420" w:firstLineChars="0"/>
        <w:jc w:val="left"/>
        <w:rPr>
          <w:rFonts w:ascii="仿宋" w:hAnsi="仿宋" w:eastAsia="仿宋" w:cs="仿宋"/>
          <w:color w:val="auto"/>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color w:val="auto"/>
          <w:sz w:val="24"/>
          <w:highlight w:val="none"/>
        </w:rPr>
      </w:pPr>
    </w:p>
    <w:p>
      <w:pPr>
        <w:jc w:val="center"/>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第三部分：</w:t>
      </w:r>
      <w:r>
        <w:rPr>
          <w:rFonts w:hint="eastAsia" w:ascii="黑体" w:hAnsi="黑体" w:eastAsia="黑体" w:cs="黑体"/>
          <w:color w:val="auto"/>
          <w:sz w:val="32"/>
          <w:highlight w:val="none"/>
          <w:u w:color="auto"/>
          <w:lang w:eastAsia="zh-CN"/>
        </w:rPr>
        <w:t>环江毛南族自治县</w:t>
      </w:r>
      <w:r>
        <w:rPr>
          <w:rFonts w:ascii="黑体" w:hAnsi="黑体" w:eastAsia="黑体" w:cs="黑体"/>
          <w:color w:val="auto"/>
          <w:sz w:val="32"/>
          <w:highlight w:val="none"/>
          <w:u w:color="auto"/>
        </w:rPr>
        <w:t>第一小学</w:t>
      </w:r>
      <w:r>
        <w:rPr>
          <w:rFonts w:hint="eastAsia" w:ascii="黑体" w:hAnsi="黑体" w:eastAsia="黑体" w:cs="黑体"/>
          <w:color w:val="auto"/>
          <w:sz w:val="32"/>
          <w:szCs w:val="32"/>
          <w:highlight w:val="none"/>
        </w:rPr>
        <w:t>2022年度部门决算情况说明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一、2022年度收入支出决算总体情况</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（一）本部门2022年度总收入</w:t>
      </w:r>
      <w:r>
        <w:rPr>
          <w:rFonts w:ascii="仿宋" w:hAnsi="仿宋" w:eastAsia="仿宋" w:cs="仿宋"/>
          <w:color w:val="auto"/>
          <w:sz w:val="32"/>
          <w:highlight w:val="none"/>
          <w:u w:color="auto"/>
        </w:rPr>
        <w:t>1342.74</w:t>
      </w:r>
      <w:r>
        <w:rPr>
          <w:rFonts w:hint="eastAsia" w:ascii="仿宋" w:hAnsi="仿宋" w:eastAsia="仿宋" w:cs="仿宋"/>
          <w:color w:val="auto"/>
          <w:sz w:val="32"/>
          <w:szCs w:val="32"/>
          <w:highlight w:val="none"/>
        </w:rPr>
        <w:t>万元，较2021年度决算数</w:t>
      </w:r>
      <w:r>
        <w:rPr>
          <w:rFonts w:ascii="仿宋" w:hAnsi="仿宋" w:eastAsia="仿宋" w:cs="仿宋"/>
          <w:color w:val="auto"/>
          <w:sz w:val="32"/>
          <w:highlight w:val="none"/>
          <w:u w:color="auto"/>
        </w:rPr>
        <w:t>减少108.84</w:t>
      </w:r>
      <w:r>
        <w:rPr>
          <w:rFonts w:hint="eastAsia" w:ascii="仿宋" w:hAnsi="仿宋" w:eastAsia="仿宋" w:cs="仿宋"/>
          <w:color w:val="auto"/>
          <w:sz w:val="32"/>
          <w:szCs w:val="32"/>
          <w:highlight w:val="none"/>
        </w:rPr>
        <w:t>万元，</w:t>
      </w:r>
      <w:r>
        <w:rPr>
          <w:rFonts w:ascii="仿宋" w:hAnsi="仿宋" w:eastAsia="仿宋" w:cs="仿宋"/>
          <w:color w:val="auto"/>
          <w:sz w:val="32"/>
          <w:highlight w:val="none"/>
          <w:u w:color="auto"/>
        </w:rPr>
        <w:t>下降7.50%</w:t>
      </w:r>
      <w:r>
        <w:rPr>
          <w:rFonts w:hint="eastAsia" w:ascii="仿宋" w:hAnsi="仿宋" w:eastAsia="仿宋" w:cs="仿宋"/>
          <w:color w:val="auto"/>
          <w:sz w:val="32"/>
          <w:szCs w:val="32"/>
          <w:highlight w:val="none"/>
        </w:rPr>
        <w:t>，其中本年收入</w:t>
      </w:r>
      <w:r>
        <w:rPr>
          <w:rFonts w:ascii="仿宋" w:hAnsi="仿宋" w:eastAsia="仿宋" w:cs="仿宋"/>
          <w:color w:val="auto"/>
          <w:sz w:val="32"/>
          <w:highlight w:val="none"/>
          <w:u w:color="auto"/>
        </w:rPr>
        <w:t>1342.74</w:t>
      </w:r>
      <w:r>
        <w:rPr>
          <w:rFonts w:hint="eastAsia" w:ascii="仿宋" w:hAnsi="仿宋" w:eastAsia="仿宋" w:cs="仿宋"/>
          <w:color w:val="auto"/>
          <w:sz w:val="32"/>
          <w:szCs w:val="32"/>
          <w:highlight w:val="none"/>
        </w:rPr>
        <w:t>万元。收入具体情况如下。</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 w:hAnsi="仿宋" w:eastAsia="仿宋" w:cs="仿宋"/>
          <w:color w:val="auto"/>
          <w:kern w:val="2"/>
          <w:sz w:val="32"/>
          <w:szCs w:val="32"/>
          <w:highlight w:val="none"/>
          <w:lang w:val="en-US" w:eastAsia="zh-CN" w:bidi="ar"/>
        </w:rPr>
        <w:t>1.一般公共预算财政拨款收入</w:t>
      </w:r>
      <w:r>
        <w:rPr>
          <w:rFonts w:ascii="仿宋" w:hAnsi="仿宋" w:eastAsia="仿宋" w:cs="仿宋"/>
          <w:color w:val="auto"/>
          <w:sz w:val="32"/>
          <w:highlight w:val="none"/>
          <w:u w:color="auto"/>
        </w:rPr>
        <w:t>1342.74</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rPr>
        <w:t>环江毛南族自治县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highlight w:val="none"/>
          <w:u w:color="auto"/>
        </w:rPr>
        <w:t>减少0.21</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highlight w:val="none"/>
          <w:u w:color="auto"/>
        </w:rPr>
        <w:t>下降0.02%</w:t>
      </w:r>
      <w:r>
        <w:rPr>
          <w:rFonts w:hint="eastAsia" w:ascii="仿宋" w:hAnsi="仿宋" w:eastAsia="仿宋" w:cs="仿宋"/>
          <w:color w:val="auto"/>
          <w:kern w:val="2"/>
          <w:sz w:val="32"/>
          <w:szCs w:val="32"/>
          <w:highlight w:val="none"/>
          <w:lang w:val="en-US" w:eastAsia="zh-CN" w:bidi="ar"/>
        </w:rPr>
        <w:t>，主要原因：</w:t>
      </w:r>
      <w:r>
        <w:rPr>
          <w:rFonts w:hint="eastAsia" w:ascii="仿宋_GB2312" w:hAnsi="仿宋_GB2312" w:eastAsia="仿宋_GB2312" w:cs="仿宋_GB2312"/>
          <w:color w:val="auto"/>
          <w:kern w:val="0"/>
          <w:sz w:val="32"/>
          <w:szCs w:val="32"/>
          <w:highlight w:val="none"/>
        </w:rPr>
        <w:t>（1）</w:t>
      </w:r>
      <w:r>
        <w:rPr>
          <w:rFonts w:hint="eastAsia" w:ascii="仿宋_GB2312" w:hAnsi="仿宋_GB2312" w:eastAsia="仿宋_GB2312" w:cs="仿宋_GB2312"/>
          <w:color w:val="auto"/>
          <w:kern w:val="0"/>
          <w:sz w:val="32"/>
          <w:szCs w:val="32"/>
          <w:highlight w:val="none"/>
          <w:lang w:val="en-US" w:eastAsia="zh-CN"/>
        </w:rPr>
        <w:t>在职人员减少；（2）上级专项拨款收入减少。</w:t>
      </w:r>
    </w:p>
    <w:p>
      <w:pPr>
        <w:keepNext w:val="0"/>
        <w:keepLines w:val="0"/>
        <w:pageBreakBefore w:val="0"/>
        <w:kinsoku/>
        <w:wordWrap/>
        <w:overflowPunct/>
        <w:topLinePunct w:val="0"/>
        <w:bidi w:val="0"/>
        <w:snapToGrid/>
        <w:spacing w:line="560" w:lineRule="exact"/>
        <w:ind w:firstLine="640" w:firstLineChars="200"/>
        <w:textAlignment w:val="auto"/>
        <w:rPr>
          <w:rFonts w:hint="eastAsia" w:ascii="华文仿宋" w:hAnsi="华文仿宋" w:eastAsia="华文仿宋" w:cs="华文仿宋"/>
          <w:color w:val="auto"/>
          <w:sz w:val="32"/>
          <w:szCs w:val="32"/>
          <w:highlight w:val="none"/>
          <w:u w:val="none"/>
          <w:lang w:eastAsia="zh-CN"/>
        </w:rPr>
      </w:pPr>
      <w:r>
        <w:rPr>
          <w:rFonts w:hint="eastAsia" w:ascii="仿宋" w:hAnsi="仿宋" w:eastAsia="仿宋" w:cs="仿宋"/>
          <w:color w:val="auto"/>
          <w:kern w:val="2"/>
          <w:sz w:val="32"/>
          <w:szCs w:val="32"/>
          <w:highlight w:val="none"/>
          <w:lang w:val="en-US" w:eastAsia="zh-CN" w:bidi="ar"/>
        </w:rPr>
        <w:t>2.政府性基金预算财政拨款收入</w:t>
      </w:r>
      <w:r>
        <w:rPr>
          <w:rFonts w:ascii="仿宋" w:hAnsi="仿宋" w:eastAsia="仿宋" w:cs="仿宋"/>
          <w:color w:val="auto"/>
          <w:sz w:val="32"/>
          <w:highlight w:val="none"/>
          <w:u w:color="auto"/>
        </w:rPr>
        <w:t>0.00</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rPr>
        <w:t>环江毛南族自治县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highlight w:val="none"/>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highlight w:val="none"/>
          <w:u w:color="auto"/>
        </w:rPr>
        <w:t>增长0%</w:t>
      </w:r>
      <w:r>
        <w:rPr>
          <w:rFonts w:hint="eastAsia" w:ascii="仿宋" w:hAnsi="仿宋" w:eastAsia="仿宋" w:cs="仿宋"/>
          <w:color w:val="auto"/>
          <w:kern w:val="2"/>
          <w:sz w:val="32"/>
          <w:szCs w:val="32"/>
          <w:highlight w:val="none"/>
          <w:lang w:val="en-US" w:eastAsia="zh-CN" w:bidi="ar"/>
        </w:rPr>
        <w:t>，主要原因：</w:t>
      </w:r>
      <w:r>
        <w:rPr>
          <w:rFonts w:hint="eastAsia" w:ascii="华文仿宋" w:hAnsi="华文仿宋" w:eastAsia="华文仿宋" w:cs="华文仿宋"/>
          <w:color w:val="auto"/>
          <w:sz w:val="32"/>
          <w:szCs w:val="32"/>
          <w:highlight w:val="none"/>
          <w:u w:val="none"/>
        </w:rPr>
        <w:t>本</w:t>
      </w:r>
      <w:r>
        <w:rPr>
          <w:rFonts w:hint="eastAsia" w:ascii="华文仿宋" w:hAnsi="华文仿宋" w:eastAsia="华文仿宋" w:cs="华文仿宋"/>
          <w:color w:val="auto"/>
          <w:sz w:val="32"/>
          <w:szCs w:val="32"/>
          <w:highlight w:val="none"/>
          <w:u w:val="none"/>
          <w:lang w:eastAsia="zh-CN"/>
        </w:rPr>
        <w:t>单位</w:t>
      </w:r>
      <w:r>
        <w:rPr>
          <w:rFonts w:hint="eastAsia" w:ascii="华文仿宋" w:hAnsi="华文仿宋" w:eastAsia="华文仿宋" w:cs="华文仿宋"/>
          <w:color w:val="auto"/>
          <w:sz w:val="32"/>
          <w:szCs w:val="32"/>
          <w:highlight w:val="none"/>
          <w:u w:val="none"/>
          <w:lang w:val="en-US" w:eastAsia="zh-CN"/>
        </w:rPr>
        <w:t>2021年度和</w:t>
      </w:r>
      <w:r>
        <w:rPr>
          <w:rFonts w:hint="eastAsia" w:ascii="华文仿宋" w:hAnsi="华文仿宋" w:eastAsia="华文仿宋" w:cs="华文仿宋"/>
          <w:color w:val="auto"/>
          <w:sz w:val="32"/>
          <w:szCs w:val="32"/>
          <w:highlight w:val="none"/>
          <w:u w:val="none"/>
        </w:rPr>
        <w:t>20</w:t>
      </w:r>
      <w:r>
        <w:rPr>
          <w:rFonts w:hint="eastAsia" w:ascii="华文仿宋" w:hAnsi="华文仿宋" w:eastAsia="华文仿宋" w:cs="华文仿宋"/>
          <w:color w:val="auto"/>
          <w:sz w:val="32"/>
          <w:szCs w:val="32"/>
          <w:highlight w:val="none"/>
          <w:u w:val="none"/>
          <w:lang w:val="en-US" w:eastAsia="zh-CN"/>
        </w:rPr>
        <w:t>22</w:t>
      </w:r>
      <w:r>
        <w:rPr>
          <w:rFonts w:hint="eastAsia" w:ascii="华文仿宋" w:hAnsi="华文仿宋" w:eastAsia="华文仿宋" w:cs="华文仿宋"/>
          <w:color w:val="auto"/>
          <w:sz w:val="32"/>
          <w:szCs w:val="32"/>
          <w:highlight w:val="none"/>
          <w:u w:val="none"/>
        </w:rPr>
        <w:t>年度</w:t>
      </w:r>
      <w:r>
        <w:rPr>
          <w:rFonts w:hint="eastAsia" w:ascii="华文仿宋" w:hAnsi="华文仿宋" w:eastAsia="华文仿宋" w:cs="华文仿宋"/>
          <w:color w:val="auto"/>
          <w:sz w:val="32"/>
          <w:szCs w:val="32"/>
          <w:highlight w:val="none"/>
          <w:u w:val="none"/>
          <w:lang w:eastAsia="zh-CN"/>
        </w:rPr>
        <w:t>都</w:t>
      </w:r>
      <w:r>
        <w:rPr>
          <w:rFonts w:hint="eastAsia" w:ascii="华文仿宋" w:hAnsi="华文仿宋" w:eastAsia="华文仿宋" w:cs="华文仿宋"/>
          <w:color w:val="auto"/>
          <w:sz w:val="32"/>
          <w:szCs w:val="32"/>
          <w:highlight w:val="none"/>
          <w:u w:val="none"/>
        </w:rPr>
        <w:t>没有</w:t>
      </w:r>
      <w:r>
        <w:rPr>
          <w:rFonts w:hint="eastAsia" w:ascii="华文仿宋" w:hAnsi="华文仿宋" w:eastAsia="华文仿宋" w:cs="华文仿宋"/>
          <w:i w:val="0"/>
          <w:color w:val="auto"/>
          <w:kern w:val="0"/>
          <w:sz w:val="32"/>
          <w:szCs w:val="32"/>
          <w:highlight w:val="none"/>
          <w:u w:val="none"/>
          <w:lang w:val="en-US" w:eastAsia="zh-CN" w:bidi="ar"/>
        </w:rPr>
        <w:t>政府性基金预算财政拨款</w:t>
      </w:r>
      <w:r>
        <w:rPr>
          <w:rFonts w:hint="eastAsia" w:ascii="华文仿宋" w:hAnsi="华文仿宋" w:eastAsia="华文仿宋" w:cs="华文仿宋"/>
          <w:color w:val="auto"/>
          <w:sz w:val="32"/>
          <w:szCs w:val="32"/>
          <w:highlight w:val="none"/>
          <w:u w:val="none"/>
        </w:rPr>
        <w:t>资金收入，也没有</w:t>
      </w:r>
      <w:r>
        <w:rPr>
          <w:rFonts w:hint="eastAsia" w:ascii="华文仿宋" w:hAnsi="华文仿宋" w:eastAsia="华文仿宋" w:cs="华文仿宋"/>
          <w:i w:val="0"/>
          <w:color w:val="auto"/>
          <w:kern w:val="0"/>
          <w:sz w:val="32"/>
          <w:szCs w:val="32"/>
          <w:highlight w:val="none"/>
          <w:u w:val="none"/>
          <w:lang w:val="en-US" w:eastAsia="zh-CN" w:bidi="ar"/>
        </w:rPr>
        <w:t>政府性基金预算财政拨款</w:t>
      </w:r>
      <w:r>
        <w:rPr>
          <w:rFonts w:hint="eastAsia" w:ascii="华文仿宋" w:hAnsi="华文仿宋" w:eastAsia="华文仿宋" w:cs="华文仿宋"/>
          <w:color w:val="auto"/>
          <w:sz w:val="32"/>
          <w:szCs w:val="32"/>
          <w:highlight w:val="none"/>
          <w:u w:val="none"/>
        </w:rPr>
        <w:t>资金安排的支出，故本表无数据</w:t>
      </w:r>
      <w:r>
        <w:rPr>
          <w:rFonts w:hint="eastAsia" w:ascii="华文仿宋" w:hAnsi="华文仿宋" w:eastAsia="华文仿宋" w:cs="华文仿宋"/>
          <w:color w:val="auto"/>
          <w:sz w:val="32"/>
          <w:szCs w:val="32"/>
          <w:highlight w:val="none"/>
          <w:u w:val="none"/>
          <w:lang w:eastAsia="zh-CN"/>
        </w:rPr>
        <w:t>。</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eastAsia" w:ascii="仿宋" w:hAnsi="仿宋" w:eastAsia="仿宋" w:cs="仿宋"/>
          <w:color w:val="auto"/>
          <w:kern w:val="2"/>
          <w:sz w:val="32"/>
          <w:szCs w:val="32"/>
          <w:highlight w:val="none"/>
          <w:lang w:val="en-US" w:eastAsia="zh-CN" w:bidi="ar"/>
        </w:rPr>
        <w:t>3.国有资本经营预算财政拨款收入</w:t>
      </w:r>
      <w:r>
        <w:rPr>
          <w:rFonts w:ascii="仿宋" w:hAnsi="仿宋" w:eastAsia="仿宋" w:cs="仿宋"/>
          <w:color w:val="auto"/>
          <w:sz w:val="32"/>
          <w:highlight w:val="none"/>
          <w:u w:color="auto"/>
        </w:rPr>
        <w:t>0.00</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rPr>
        <w:t>环江毛南族自治县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highlight w:val="none"/>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highlight w:val="none"/>
          <w:u w:color="auto"/>
        </w:rPr>
        <w:t>增长0%</w:t>
      </w:r>
      <w:r>
        <w:rPr>
          <w:rFonts w:hint="eastAsia" w:ascii="仿宋" w:hAnsi="仿宋" w:eastAsia="仿宋" w:cs="仿宋"/>
          <w:color w:val="auto"/>
          <w:kern w:val="2"/>
          <w:sz w:val="32"/>
          <w:szCs w:val="32"/>
          <w:highlight w:val="none"/>
          <w:lang w:val="en-US" w:eastAsia="zh-CN" w:bidi="ar"/>
        </w:rPr>
        <w:t>，主要原因是：</w:t>
      </w:r>
      <w:r>
        <w:rPr>
          <w:rFonts w:hint="default" w:ascii="Times New Roman" w:hAnsi="Times New Roman" w:eastAsia="仿宋_GB2312" w:cs="Times New Roman"/>
          <w:color w:val="auto"/>
          <w:sz w:val="28"/>
          <w:szCs w:val="28"/>
          <w:highlight w:val="none"/>
          <w:u w:val="none"/>
        </w:rPr>
        <w:t>本</w:t>
      </w:r>
      <w:r>
        <w:rPr>
          <w:rFonts w:hint="eastAsia" w:ascii="Times New Roman" w:hAnsi="Times New Roman" w:eastAsia="仿宋_GB2312" w:cs="Times New Roman"/>
          <w:color w:val="auto"/>
          <w:sz w:val="28"/>
          <w:szCs w:val="28"/>
          <w:highlight w:val="none"/>
          <w:u w:val="none"/>
          <w:lang w:eastAsia="zh-CN"/>
        </w:rPr>
        <w:t>单位</w:t>
      </w:r>
      <w:r>
        <w:rPr>
          <w:rFonts w:hint="eastAsia" w:ascii="Times New Roman" w:hAnsi="Times New Roman" w:eastAsia="仿宋_GB2312" w:cs="Times New Roman"/>
          <w:color w:val="auto"/>
          <w:sz w:val="28"/>
          <w:szCs w:val="28"/>
          <w:highlight w:val="none"/>
          <w:u w:val="none"/>
          <w:lang w:val="en-US" w:eastAsia="zh-CN"/>
        </w:rPr>
        <w:t>2021年度和</w:t>
      </w:r>
      <w:r>
        <w:rPr>
          <w:rFonts w:hint="default" w:ascii="Times New Roman" w:hAnsi="Times New Roman" w:eastAsia="仿宋_GB2312" w:cs="Times New Roman"/>
          <w:color w:val="auto"/>
          <w:sz w:val="28"/>
          <w:szCs w:val="28"/>
          <w:highlight w:val="none"/>
          <w:u w:val="none"/>
        </w:rPr>
        <w:t>20</w:t>
      </w:r>
      <w:r>
        <w:rPr>
          <w:rFonts w:hint="default" w:ascii="Times New Roman" w:hAnsi="Times New Roman" w:eastAsia="仿宋_GB2312" w:cs="Times New Roman"/>
          <w:color w:val="auto"/>
          <w:sz w:val="28"/>
          <w:szCs w:val="28"/>
          <w:highlight w:val="none"/>
          <w:u w:val="none"/>
          <w:lang w:val="en-US" w:eastAsia="zh-CN"/>
        </w:rPr>
        <w:t>2</w:t>
      </w:r>
      <w:r>
        <w:rPr>
          <w:rFonts w:hint="eastAsia" w:ascii="Times New Roman" w:hAnsi="Times New Roman" w:eastAsia="仿宋_GB2312" w:cs="Times New Roman"/>
          <w:color w:val="auto"/>
          <w:sz w:val="28"/>
          <w:szCs w:val="28"/>
          <w:highlight w:val="none"/>
          <w:u w:val="none"/>
          <w:lang w:val="en-US" w:eastAsia="zh-CN"/>
        </w:rPr>
        <w:t>2</w:t>
      </w:r>
      <w:r>
        <w:rPr>
          <w:rFonts w:hint="default" w:ascii="Times New Roman" w:hAnsi="Times New Roman" w:eastAsia="仿宋_GB2312" w:cs="Times New Roman"/>
          <w:color w:val="auto"/>
          <w:sz w:val="28"/>
          <w:szCs w:val="28"/>
          <w:highlight w:val="none"/>
          <w:u w:val="none"/>
        </w:rPr>
        <w:t>年度</w:t>
      </w:r>
      <w:r>
        <w:rPr>
          <w:rFonts w:hint="eastAsia" w:ascii="Times New Roman" w:hAnsi="Times New Roman" w:eastAsia="仿宋_GB2312" w:cs="Times New Roman"/>
          <w:color w:val="auto"/>
          <w:sz w:val="28"/>
          <w:szCs w:val="28"/>
          <w:highlight w:val="none"/>
          <w:u w:val="none"/>
          <w:lang w:eastAsia="zh-CN"/>
        </w:rPr>
        <w:t>都</w:t>
      </w:r>
      <w:r>
        <w:rPr>
          <w:rFonts w:hint="default" w:ascii="Times New Roman" w:hAnsi="Times New Roman" w:eastAsia="仿宋_GB2312" w:cs="Times New Roman"/>
          <w:color w:val="auto"/>
          <w:sz w:val="28"/>
          <w:szCs w:val="28"/>
          <w:highlight w:val="none"/>
          <w:u w:val="none"/>
        </w:rPr>
        <w:t>没有</w:t>
      </w:r>
      <w:r>
        <w:rPr>
          <w:rFonts w:hint="eastAsia" w:ascii="宋体" w:hAnsi="宋体" w:eastAsia="宋体" w:cs="宋体"/>
          <w:i w:val="0"/>
          <w:color w:val="auto"/>
          <w:kern w:val="0"/>
          <w:sz w:val="28"/>
          <w:szCs w:val="28"/>
          <w:highlight w:val="none"/>
          <w:u w:val="none"/>
          <w:lang w:val="en-US" w:eastAsia="zh-CN" w:bidi="ar"/>
        </w:rPr>
        <w:t>国有资本经营预算财政拨款</w:t>
      </w:r>
      <w:r>
        <w:rPr>
          <w:rFonts w:hint="default" w:ascii="Times New Roman" w:hAnsi="Times New Roman" w:eastAsia="仿宋_GB2312" w:cs="Times New Roman"/>
          <w:color w:val="auto"/>
          <w:sz w:val="28"/>
          <w:szCs w:val="28"/>
          <w:highlight w:val="none"/>
          <w:u w:val="none"/>
        </w:rPr>
        <w:t>资金收入，也没有</w:t>
      </w:r>
      <w:r>
        <w:rPr>
          <w:rFonts w:hint="eastAsia" w:ascii="宋体" w:hAnsi="宋体" w:eastAsia="宋体" w:cs="宋体"/>
          <w:i w:val="0"/>
          <w:color w:val="auto"/>
          <w:kern w:val="0"/>
          <w:sz w:val="28"/>
          <w:szCs w:val="28"/>
          <w:highlight w:val="none"/>
          <w:u w:val="none"/>
          <w:lang w:val="en-US" w:eastAsia="zh-CN" w:bidi="ar"/>
        </w:rPr>
        <w:t>国有资本经营预算财政拨款</w:t>
      </w:r>
      <w:r>
        <w:rPr>
          <w:rFonts w:hint="default" w:ascii="Times New Roman" w:hAnsi="Times New Roman" w:eastAsia="仿宋_GB2312" w:cs="Times New Roman"/>
          <w:color w:val="auto"/>
          <w:sz w:val="28"/>
          <w:szCs w:val="28"/>
          <w:highlight w:val="none"/>
          <w:u w:val="none"/>
        </w:rPr>
        <w:t>资金安排的支出，故本表无数据</w:t>
      </w:r>
      <w:r>
        <w:rPr>
          <w:rFonts w:hint="eastAsia" w:ascii="Times New Roman" w:hAnsi="Times New Roman" w:eastAsia="仿宋_GB2312" w:cs="Times New Roman"/>
          <w:color w:val="auto"/>
          <w:sz w:val="28"/>
          <w:szCs w:val="28"/>
          <w:highlight w:val="none"/>
          <w:u w:val="none"/>
          <w:lang w:eastAsia="zh-CN"/>
        </w:rPr>
        <w:t>。</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eastAsia" w:ascii="仿宋" w:hAnsi="仿宋" w:eastAsia="仿宋" w:cs="仿宋"/>
          <w:color w:val="auto"/>
          <w:kern w:val="2"/>
          <w:sz w:val="32"/>
          <w:szCs w:val="32"/>
          <w:highlight w:val="none"/>
          <w:lang w:val="en-US" w:eastAsia="zh-CN" w:bidi="ar"/>
        </w:rPr>
        <w:t>4.上级补助收入</w:t>
      </w:r>
      <w:r>
        <w:rPr>
          <w:rFonts w:ascii="仿宋" w:hAnsi="仿宋" w:eastAsia="仿宋" w:cs="仿宋"/>
          <w:color w:val="auto"/>
          <w:sz w:val="32"/>
          <w:highlight w:val="none"/>
          <w:u w:color="auto"/>
        </w:rPr>
        <w:t>0.00</w:t>
      </w:r>
      <w:r>
        <w:rPr>
          <w:rFonts w:hint="eastAsia" w:ascii="仿宋" w:hAnsi="仿宋" w:eastAsia="仿宋" w:cs="仿宋"/>
          <w:color w:val="auto"/>
          <w:kern w:val="2"/>
          <w:sz w:val="32"/>
          <w:szCs w:val="32"/>
          <w:highlight w:val="none"/>
          <w:lang w:val="en-US" w:eastAsia="zh-CN" w:bidi="ar"/>
        </w:rPr>
        <w:t>万元，为上级部门当年拨付的资金。较2021年度决算数</w:t>
      </w:r>
      <w:r>
        <w:rPr>
          <w:rFonts w:ascii="仿宋" w:hAnsi="仿宋" w:eastAsia="仿宋" w:cs="仿宋"/>
          <w:color w:val="auto"/>
          <w:sz w:val="32"/>
          <w:highlight w:val="none"/>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highlight w:val="none"/>
          <w:u w:color="auto"/>
        </w:rPr>
        <w:t>增长0%</w:t>
      </w:r>
      <w:r>
        <w:rPr>
          <w:rFonts w:hint="eastAsia" w:ascii="仿宋" w:hAnsi="仿宋" w:eastAsia="仿宋" w:cs="仿宋"/>
          <w:color w:val="auto"/>
          <w:kern w:val="2"/>
          <w:sz w:val="32"/>
          <w:szCs w:val="32"/>
          <w:highlight w:val="none"/>
          <w:lang w:val="en-US" w:eastAsia="zh-CN" w:bidi="ar"/>
        </w:rPr>
        <w:t>，主要原因是：</w:t>
      </w:r>
      <w:r>
        <w:rPr>
          <w:rFonts w:hint="default" w:ascii="Times New Roman" w:hAnsi="Times New Roman" w:eastAsia="仿宋_GB2312" w:cs="Times New Roman"/>
          <w:color w:val="auto"/>
          <w:sz w:val="28"/>
          <w:szCs w:val="28"/>
          <w:highlight w:val="none"/>
          <w:u w:val="none"/>
        </w:rPr>
        <w:t>本</w:t>
      </w:r>
      <w:r>
        <w:rPr>
          <w:rFonts w:hint="eastAsia" w:ascii="Times New Roman" w:hAnsi="Times New Roman" w:eastAsia="仿宋_GB2312" w:cs="Times New Roman"/>
          <w:color w:val="auto"/>
          <w:sz w:val="28"/>
          <w:szCs w:val="28"/>
          <w:highlight w:val="none"/>
          <w:u w:val="none"/>
          <w:lang w:eastAsia="zh-CN"/>
        </w:rPr>
        <w:t>单位</w:t>
      </w:r>
      <w:r>
        <w:rPr>
          <w:rFonts w:hint="eastAsia" w:ascii="Times New Roman" w:hAnsi="Times New Roman" w:eastAsia="仿宋_GB2312" w:cs="Times New Roman"/>
          <w:color w:val="auto"/>
          <w:sz w:val="28"/>
          <w:szCs w:val="28"/>
          <w:highlight w:val="none"/>
          <w:u w:val="none"/>
          <w:lang w:val="en-US" w:eastAsia="zh-CN"/>
        </w:rPr>
        <w:t>2021年度和</w:t>
      </w:r>
      <w:r>
        <w:rPr>
          <w:rFonts w:hint="default" w:ascii="Times New Roman" w:hAnsi="Times New Roman" w:eastAsia="仿宋_GB2312" w:cs="Times New Roman"/>
          <w:color w:val="auto"/>
          <w:sz w:val="28"/>
          <w:szCs w:val="28"/>
          <w:highlight w:val="none"/>
          <w:u w:val="none"/>
        </w:rPr>
        <w:t>20</w:t>
      </w:r>
      <w:r>
        <w:rPr>
          <w:rFonts w:hint="default" w:ascii="Times New Roman" w:hAnsi="Times New Roman" w:eastAsia="仿宋_GB2312" w:cs="Times New Roman"/>
          <w:color w:val="auto"/>
          <w:sz w:val="28"/>
          <w:szCs w:val="28"/>
          <w:highlight w:val="none"/>
          <w:u w:val="none"/>
          <w:lang w:val="en-US" w:eastAsia="zh-CN"/>
        </w:rPr>
        <w:t>2</w:t>
      </w:r>
      <w:r>
        <w:rPr>
          <w:rFonts w:hint="eastAsia" w:ascii="Times New Roman" w:hAnsi="Times New Roman" w:eastAsia="仿宋_GB2312" w:cs="Times New Roman"/>
          <w:color w:val="auto"/>
          <w:sz w:val="28"/>
          <w:szCs w:val="28"/>
          <w:highlight w:val="none"/>
          <w:u w:val="none"/>
          <w:lang w:val="en-US" w:eastAsia="zh-CN"/>
        </w:rPr>
        <w:t>2</w:t>
      </w:r>
      <w:r>
        <w:rPr>
          <w:rFonts w:hint="default" w:ascii="Times New Roman" w:hAnsi="Times New Roman" w:eastAsia="仿宋_GB2312" w:cs="Times New Roman"/>
          <w:color w:val="auto"/>
          <w:sz w:val="28"/>
          <w:szCs w:val="28"/>
          <w:highlight w:val="none"/>
          <w:u w:val="none"/>
        </w:rPr>
        <w:t>年度</w:t>
      </w:r>
      <w:r>
        <w:rPr>
          <w:rFonts w:hint="eastAsia" w:ascii="Times New Roman" w:hAnsi="Times New Roman" w:eastAsia="仿宋_GB2312" w:cs="Times New Roman"/>
          <w:color w:val="auto"/>
          <w:sz w:val="28"/>
          <w:szCs w:val="28"/>
          <w:highlight w:val="none"/>
          <w:u w:val="none"/>
          <w:lang w:eastAsia="zh-CN"/>
        </w:rPr>
        <w:t>都</w:t>
      </w:r>
      <w:r>
        <w:rPr>
          <w:rFonts w:hint="default" w:ascii="Times New Roman" w:hAnsi="Times New Roman" w:eastAsia="仿宋_GB2312" w:cs="Times New Roman"/>
          <w:color w:val="auto"/>
          <w:sz w:val="28"/>
          <w:szCs w:val="28"/>
          <w:highlight w:val="none"/>
          <w:u w:val="none"/>
        </w:rPr>
        <w:t>没有</w:t>
      </w:r>
      <w:r>
        <w:rPr>
          <w:rFonts w:hint="eastAsia" w:ascii="宋体" w:hAnsi="宋体" w:eastAsia="宋体" w:cs="宋体"/>
          <w:i w:val="0"/>
          <w:color w:val="auto"/>
          <w:kern w:val="0"/>
          <w:sz w:val="28"/>
          <w:szCs w:val="28"/>
          <w:highlight w:val="none"/>
          <w:u w:val="none"/>
          <w:lang w:val="en-US" w:eastAsia="zh-CN" w:bidi="ar"/>
        </w:rPr>
        <w:t>上级补助</w:t>
      </w:r>
      <w:r>
        <w:rPr>
          <w:rFonts w:hint="default" w:ascii="Times New Roman" w:hAnsi="Times New Roman" w:eastAsia="仿宋_GB2312" w:cs="Times New Roman"/>
          <w:color w:val="auto"/>
          <w:sz w:val="28"/>
          <w:szCs w:val="28"/>
          <w:highlight w:val="none"/>
          <w:u w:val="none"/>
        </w:rPr>
        <w:t>收入，也没有</w:t>
      </w:r>
      <w:r>
        <w:rPr>
          <w:rFonts w:hint="eastAsia" w:ascii="宋体" w:hAnsi="宋体" w:eastAsia="宋体" w:cs="宋体"/>
          <w:i w:val="0"/>
          <w:color w:val="auto"/>
          <w:kern w:val="0"/>
          <w:sz w:val="28"/>
          <w:szCs w:val="28"/>
          <w:highlight w:val="none"/>
          <w:u w:val="none"/>
          <w:lang w:val="en-US" w:eastAsia="zh-CN" w:bidi="ar"/>
        </w:rPr>
        <w:t>上级补助</w:t>
      </w:r>
      <w:r>
        <w:rPr>
          <w:rFonts w:hint="default" w:ascii="Times New Roman" w:hAnsi="Times New Roman" w:eastAsia="仿宋_GB2312" w:cs="Times New Roman"/>
          <w:color w:val="auto"/>
          <w:sz w:val="28"/>
          <w:szCs w:val="28"/>
          <w:highlight w:val="none"/>
          <w:u w:val="none"/>
        </w:rPr>
        <w:t>支出，故本表无数据</w:t>
      </w:r>
      <w:r>
        <w:rPr>
          <w:rFonts w:hint="eastAsia" w:ascii="Times New Roman" w:hAnsi="Times New Roman" w:eastAsia="仿宋_GB2312" w:cs="Times New Roman"/>
          <w:color w:val="auto"/>
          <w:sz w:val="28"/>
          <w:szCs w:val="28"/>
          <w:highlight w:val="none"/>
          <w:u w:val="none"/>
          <w:lang w:eastAsia="zh-CN"/>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5.事业收入</w:t>
      </w:r>
      <w:r>
        <w:rPr>
          <w:rFonts w:ascii="仿宋" w:hAnsi="仿宋" w:eastAsia="仿宋" w:cs="仿宋"/>
          <w:color w:val="auto"/>
          <w:sz w:val="32"/>
          <w:highlight w:val="none"/>
          <w:u w:color="auto"/>
        </w:rPr>
        <w:t>0.00</w:t>
      </w:r>
      <w:r>
        <w:rPr>
          <w:rFonts w:hint="eastAsia" w:ascii="仿宋" w:hAnsi="仿宋" w:eastAsia="仿宋" w:cs="仿宋"/>
          <w:color w:val="auto"/>
          <w:kern w:val="2"/>
          <w:sz w:val="32"/>
          <w:szCs w:val="32"/>
          <w:highlight w:val="none"/>
          <w:lang w:val="en-US" w:eastAsia="zh-CN" w:bidi="ar"/>
        </w:rPr>
        <w:t>万元，为事业单位开展业务活动取得的收入。较2021年度决算数</w:t>
      </w:r>
      <w:r>
        <w:rPr>
          <w:rFonts w:ascii="仿宋" w:hAnsi="仿宋" w:eastAsia="仿宋" w:cs="仿宋"/>
          <w:color w:val="auto"/>
          <w:sz w:val="32"/>
          <w:highlight w:val="none"/>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highlight w:val="none"/>
          <w:u w:color="auto"/>
        </w:rPr>
        <w:t>增长0%</w:t>
      </w:r>
      <w:r>
        <w:rPr>
          <w:rFonts w:hint="eastAsia" w:ascii="仿宋" w:hAnsi="仿宋" w:eastAsia="仿宋" w:cs="仿宋"/>
          <w:color w:val="auto"/>
          <w:kern w:val="2"/>
          <w:sz w:val="32"/>
          <w:szCs w:val="32"/>
          <w:highlight w:val="none"/>
          <w:lang w:val="en-US" w:eastAsia="zh-CN" w:bidi="ar"/>
        </w:rPr>
        <w:t>，主要原因是：</w:t>
      </w:r>
      <w:r>
        <w:rPr>
          <w:rFonts w:hint="eastAsia" w:ascii="华文仿宋" w:hAnsi="华文仿宋" w:eastAsia="华文仿宋" w:cs="华文仿宋"/>
          <w:color w:val="auto"/>
          <w:kern w:val="0"/>
          <w:sz w:val="32"/>
          <w:szCs w:val="32"/>
          <w:highlight w:val="none"/>
          <w:lang w:eastAsia="zh-CN"/>
        </w:rPr>
        <w:t>本单位</w:t>
      </w:r>
      <w:r>
        <w:rPr>
          <w:rFonts w:hint="eastAsia" w:ascii="Times New Roman" w:hAnsi="Times New Roman" w:eastAsia="仿宋_GB2312" w:cs="Times New Roman"/>
          <w:color w:val="auto"/>
          <w:sz w:val="28"/>
          <w:szCs w:val="28"/>
          <w:highlight w:val="none"/>
          <w:u w:val="none"/>
          <w:lang w:val="en-US" w:eastAsia="zh-CN"/>
        </w:rPr>
        <w:t>2021年度和</w:t>
      </w:r>
      <w:r>
        <w:rPr>
          <w:rFonts w:hint="default" w:ascii="Times New Roman" w:hAnsi="Times New Roman" w:eastAsia="仿宋_GB2312" w:cs="Times New Roman"/>
          <w:color w:val="auto"/>
          <w:sz w:val="28"/>
          <w:szCs w:val="28"/>
          <w:highlight w:val="none"/>
          <w:u w:val="none"/>
        </w:rPr>
        <w:t>20</w:t>
      </w:r>
      <w:r>
        <w:rPr>
          <w:rFonts w:hint="default" w:ascii="Times New Roman" w:hAnsi="Times New Roman" w:eastAsia="仿宋_GB2312" w:cs="Times New Roman"/>
          <w:color w:val="auto"/>
          <w:sz w:val="28"/>
          <w:szCs w:val="28"/>
          <w:highlight w:val="none"/>
          <w:u w:val="none"/>
          <w:lang w:val="en-US" w:eastAsia="zh-CN"/>
        </w:rPr>
        <w:t>2</w:t>
      </w:r>
      <w:r>
        <w:rPr>
          <w:rFonts w:hint="eastAsia" w:ascii="Times New Roman" w:hAnsi="Times New Roman" w:eastAsia="仿宋_GB2312" w:cs="Times New Roman"/>
          <w:color w:val="auto"/>
          <w:sz w:val="28"/>
          <w:szCs w:val="28"/>
          <w:highlight w:val="none"/>
          <w:u w:val="none"/>
          <w:lang w:val="en-US" w:eastAsia="zh-CN"/>
        </w:rPr>
        <w:t>2</w:t>
      </w:r>
      <w:r>
        <w:rPr>
          <w:rFonts w:hint="default" w:ascii="Times New Roman" w:hAnsi="Times New Roman" w:eastAsia="仿宋_GB2312" w:cs="Times New Roman"/>
          <w:color w:val="auto"/>
          <w:sz w:val="28"/>
          <w:szCs w:val="28"/>
          <w:highlight w:val="none"/>
          <w:u w:val="none"/>
        </w:rPr>
        <w:t>年度</w:t>
      </w:r>
      <w:r>
        <w:rPr>
          <w:rFonts w:hint="eastAsia" w:ascii="华文仿宋" w:hAnsi="华文仿宋" w:eastAsia="华文仿宋" w:cs="华文仿宋"/>
          <w:color w:val="auto"/>
          <w:kern w:val="0"/>
          <w:sz w:val="32"/>
          <w:szCs w:val="32"/>
          <w:highlight w:val="none"/>
          <w:lang w:eastAsia="zh-CN"/>
        </w:rPr>
        <w:t>没有事业资金收入。</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eastAsia" w:ascii="仿宋" w:hAnsi="仿宋" w:eastAsia="仿宋" w:cs="仿宋"/>
          <w:color w:val="auto"/>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color w:val="auto"/>
          <w:sz w:val="32"/>
          <w:highlight w:val="none"/>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highlight w:val="none"/>
          <w:u w:color="auto"/>
        </w:rPr>
        <w:t>增长0%</w:t>
      </w:r>
      <w:r>
        <w:rPr>
          <w:rFonts w:hint="eastAsia" w:ascii="仿宋" w:hAnsi="仿宋" w:eastAsia="仿宋" w:cs="仿宋"/>
          <w:color w:val="auto"/>
          <w:kern w:val="2"/>
          <w:sz w:val="32"/>
          <w:szCs w:val="32"/>
          <w:highlight w:val="none"/>
          <w:lang w:val="en-US" w:eastAsia="zh-CN" w:bidi="ar"/>
        </w:rPr>
        <w:t>，主要原因是：</w:t>
      </w:r>
      <w:r>
        <w:rPr>
          <w:rFonts w:hint="eastAsia" w:ascii="Times New Roman" w:hAnsi="Times New Roman" w:eastAsia="仿宋_GB2312" w:cs="Times New Roman"/>
          <w:color w:val="auto"/>
          <w:kern w:val="0"/>
          <w:sz w:val="32"/>
          <w:szCs w:val="32"/>
          <w:highlight w:val="none"/>
          <w:lang w:eastAsia="zh-CN"/>
        </w:rPr>
        <w:t>本单位</w:t>
      </w:r>
      <w:r>
        <w:rPr>
          <w:rFonts w:hint="eastAsia" w:ascii="Times New Roman" w:hAnsi="Times New Roman" w:eastAsia="仿宋_GB2312" w:cs="Times New Roman"/>
          <w:color w:val="auto"/>
          <w:sz w:val="28"/>
          <w:szCs w:val="28"/>
          <w:highlight w:val="none"/>
          <w:u w:val="none"/>
          <w:lang w:val="en-US" w:eastAsia="zh-CN"/>
        </w:rPr>
        <w:t>2021年度和</w:t>
      </w:r>
      <w:r>
        <w:rPr>
          <w:rFonts w:hint="default" w:ascii="Times New Roman" w:hAnsi="Times New Roman" w:eastAsia="仿宋_GB2312" w:cs="Times New Roman"/>
          <w:color w:val="auto"/>
          <w:sz w:val="28"/>
          <w:szCs w:val="28"/>
          <w:highlight w:val="none"/>
          <w:u w:val="none"/>
        </w:rPr>
        <w:t>20</w:t>
      </w:r>
      <w:r>
        <w:rPr>
          <w:rFonts w:hint="default" w:ascii="Times New Roman" w:hAnsi="Times New Roman" w:eastAsia="仿宋_GB2312" w:cs="Times New Roman"/>
          <w:color w:val="auto"/>
          <w:sz w:val="28"/>
          <w:szCs w:val="28"/>
          <w:highlight w:val="none"/>
          <w:u w:val="none"/>
          <w:lang w:val="en-US" w:eastAsia="zh-CN"/>
        </w:rPr>
        <w:t>2</w:t>
      </w:r>
      <w:r>
        <w:rPr>
          <w:rFonts w:hint="eastAsia" w:ascii="Times New Roman" w:hAnsi="Times New Roman" w:eastAsia="仿宋_GB2312" w:cs="Times New Roman"/>
          <w:color w:val="auto"/>
          <w:sz w:val="28"/>
          <w:szCs w:val="28"/>
          <w:highlight w:val="none"/>
          <w:u w:val="none"/>
          <w:lang w:val="en-US" w:eastAsia="zh-CN"/>
        </w:rPr>
        <w:t>2</w:t>
      </w:r>
      <w:r>
        <w:rPr>
          <w:rFonts w:hint="default" w:ascii="Times New Roman" w:hAnsi="Times New Roman" w:eastAsia="仿宋_GB2312" w:cs="Times New Roman"/>
          <w:color w:val="auto"/>
          <w:sz w:val="28"/>
          <w:szCs w:val="28"/>
          <w:highlight w:val="none"/>
          <w:u w:val="none"/>
        </w:rPr>
        <w:t>年度</w:t>
      </w:r>
      <w:r>
        <w:rPr>
          <w:rFonts w:hint="eastAsia" w:ascii="Times New Roman" w:hAnsi="Times New Roman" w:eastAsia="仿宋_GB2312" w:cs="Times New Roman"/>
          <w:color w:val="auto"/>
          <w:sz w:val="28"/>
          <w:szCs w:val="28"/>
          <w:highlight w:val="none"/>
          <w:u w:val="none"/>
          <w:lang w:eastAsia="zh-CN"/>
        </w:rPr>
        <w:t>都</w:t>
      </w:r>
      <w:r>
        <w:rPr>
          <w:rFonts w:hint="eastAsia" w:ascii="Times New Roman" w:hAnsi="Times New Roman" w:eastAsia="仿宋_GB2312" w:cs="Times New Roman"/>
          <w:color w:val="auto"/>
          <w:kern w:val="0"/>
          <w:sz w:val="32"/>
          <w:szCs w:val="32"/>
          <w:highlight w:val="none"/>
          <w:lang w:eastAsia="zh-CN"/>
        </w:rPr>
        <w:t>没有经营收入</w:t>
      </w:r>
      <w:r>
        <w:rPr>
          <w:rFonts w:hint="default" w:ascii="Times New Roman" w:hAnsi="Times New Roman" w:eastAsia="仿宋_GB2312" w:cs="Times New Roman"/>
          <w:color w:val="auto"/>
          <w:kern w:val="0"/>
          <w:sz w:val="32"/>
          <w:szCs w:val="32"/>
          <w:highlight w:val="none"/>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rPr>
      </w:pPr>
      <w:r>
        <w:rPr>
          <w:rFonts w:hint="eastAsia" w:ascii="仿宋" w:hAnsi="仿宋" w:eastAsia="仿宋" w:cs="仿宋"/>
          <w:color w:val="auto"/>
          <w:kern w:val="2"/>
          <w:sz w:val="32"/>
          <w:szCs w:val="32"/>
          <w:highlight w:val="none"/>
          <w:lang w:val="en-US" w:eastAsia="zh-CN" w:bidi="ar"/>
        </w:rPr>
        <w:t>7.附属单位上缴收入</w:t>
      </w:r>
      <w:r>
        <w:rPr>
          <w:rFonts w:ascii="仿宋" w:hAnsi="仿宋" w:eastAsia="仿宋" w:cs="仿宋"/>
          <w:color w:val="auto"/>
          <w:sz w:val="32"/>
          <w:highlight w:val="none"/>
          <w:u w:color="auto"/>
        </w:rPr>
        <w:t>0.00</w:t>
      </w:r>
      <w:r>
        <w:rPr>
          <w:rFonts w:hint="eastAsia" w:ascii="仿宋" w:hAnsi="仿宋" w:eastAsia="仿宋" w:cs="仿宋"/>
          <w:color w:val="auto"/>
          <w:kern w:val="2"/>
          <w:sz w:val="32"/>
          <w:szCs w:val="32"/>
          <w:highlight w:val="none"/>
          <w:lang w:val="en-US" w:eastAsia="zh-CN" w:bidi="ar"/>
        </w:rPr>
        <w:t>万元。较2021年度决算数</w:t>
      </w:r>
      <w:r>
        <w:rPr>
          <w:rFonts w:ascii="仿宋" w:hAnsi="仿宋" w:eastAsia="仿宋" w:cs="仿宋"/>
          <w:color w:val="auto"/>
          <w:sz w:val="32"/>
          <w:highlight w:val="none"/>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highlight w:val="none"/>
          <w:u w:color="auto"/>
        </w:rPr>
        <w:t>增长0%</w:t>
      </w:r>
      <w:r>
        <w:rPr>
          <w:rFonts w:hint="eastAsia" w:ascii="仿宋" w:hAnsi="仿宋" w:eastAsia="仿宋" w:cs="仿宋"/>
          <w:color w:val="auto"/>
          <w:kern w:val="2"/>
          <w:sz w:val="32"/>
          <w:szCs w:val="32"/>
          <w:highlight w:val="none"/>
          <w:lang w:val="en-US" w:eastAsia="zh-CN" w:bidi="ar"/>
        </w:rPr>
        <w:t>，主要原因是：</w:t>
      </w:r>
      <w:r>
        <w:rPr>
          <w:rFonts w:hint="eastAsia" w:ascii="仿宋_GB2312" w:hAnsi="仿宋_GB2312" w:eastAsia="仿宋_GB2312" w:cs="仿宋_GB2312"/>
          <w:b w:val="0"/>
          <w:bCs w:val="0"/>
          <w:color w:val="auto"/>
          <w:kern w:val="0"/>
          <w:sz w:val="32"/>
          <w:szCs w:val="32"/>
          <w:highlight w:val="none"/>
          <w:lang w:eastAsia="zh-CN"/>
        </w:rPr>
        <w:t>本单位</w:t>
      </w:r>
      <w:r>
        <w:rPr>
          <w:rFonts w:hint="eastAsia" w:ascii="仿宋_GB2312" w:hAnsi="仿宋_GB2312" w:eastAsia="仿宋_GB2312" w:cs="仿宋_GB2312"/>
          <w:b w:val="0"/>
          <w:bCs w:val="0"/>
          <w:color w:val="auto"/>
          <w:sz w:val="32"/>
          <w:szCs w:val="32"/>
          <w:highlight w:val="none"/>
          <w:u w:val="none"/>
          <w:lang w:val="en-US" w:eastAsia="zh-CN"/>
        </w:rPr>
        <w:t>2021年度和</w:t>
      </w:r>
      <w:r>
        <w:rPr>
          <w:rFonts w:hint="eastAsia" w:ascii="仿宋_GB2312" w:hAnsi="仿宋_GB2312" w:eastAsia="仿宋_GB2312" w:cs="仿宋_GB2312"/>
          <w:b w:val="0"/>
          <w:bCs w:val="0"/>
          <w:color w:val="auto"/>
          <w:sz w:val="32"/>
          <w:szCs w:val="32"/>
          <w:highlight w:val="none"/>
          <w:u w:val="none"/>
        </w:rPr>
        <w:t>20</w:t>
      </w:r>
      <w:r>
        <w:rPr>
          <w:rFonts w:hint="eastAsia" w:ascii="仿宋_GB2312" w:hAnsi="仿宋_GB2312" w:eastAsia="仿宋_GB2312" w:cs="仿宋_GB2312"/>
          <w:b w:val="0"/>
          <w:bCs w:val="0"/>
          <w:color w:val="auto"/>
          <w:sz w:val="32"/>
          <w:szCs w:val="32"/>
          <w:highlight w:val="none"/>
          <w:u w:val="none"/>
          <w:lang w:val="en-US" w:eastAsia="zh-CN"/>
        </w:rPr>
        <w:t>22</w:t>
      </w:r>
      <w:r>
        <w:rPr>
          <w:rFonts w:hint="eastAsia" w:ascii="仿宋_GB2312" w:hAnsi="仿宋_GB2312" w:eastAsia="仿宋_GB2312" w:cs="仿宋_GB2312"/>
          <w:b w:val="0"/>
          <w:bCs w:val="0"/>
          <w:color w:val="auto"/>
          <w:sz w:val="32"/>
          <w:szCs w:val="32"/>
          <w:highlight w:val="none"/>
          <w:u w:val="none"/>
        </w:rPr>
        <w:t>年度</w:t>
      </w:r>
      <w:r>
        <w:rPr>
          <w:rFonts w:hint="eastAsia" w:ascii="仿宋_GB2312" w:hAnsi="仿宋_GB2312" w:eastAsia="仿宋_GB2312" w:cs="仿宋_GB2312"/>
          <w:b w:val="0"/>
          <w:bCs w:val="0"/>
          <w:color w:val="auto"/>
          <w:sz w:val="32"/>
          <w:szCs w:val="32"/>
          <w:highlight w:val="none"/>
          <w:u w:val="none"/>
          <w:lang w:eastAsia="zh-CN"/>
        </w:rPr>
        <w:t>都</w:t>
      </w:r>
      <w:r>
        <w:rPr>
          <w:rFonts w:hint="eastAsia" w:ascii="仿宋_GB2312" w:hAnsi="仿宋_GB2312" w:eastAsia="仿宋_GB2312" w:cs="仿宋_GB2312"/>
          <w:b w:val="0"/>
          <w:bCs w:val="0"/>
          <w:color w:val="auto"/>
          <w:kern w:val="0"/>
          <w:sz w:val="32"/>
          <w:szCs w:val="32"/>
          <w:highlight w:val="none"/>
          <w:lang w:eastAsia="zh-CN"/>
        </w:rPr>
        <w:t>没有</w:t>
      </w:r>
      <w:r>
        <w:rPr>
          <w:rFonts w:hint="eastAsia" w:ascii="仿宋_GB2312" w:hAnsi="仿宋_GB2312" w:eastAsia="仿宋_GB2312" w:cs="仿宋_GB2312"/>
          <w:b w:val="0"/>
          <w:bCs w:val="0"/>
          <w:color w:val="auto"/>
          <w:kern w:val="2"/>
          <w:sz w:val="32"/>
          <w:szCs w:val="32"/>
          <w:highlight w:val="none"/>
          <w:lang w:val="en-US" w:eastAsia="zh-CN" w:bidi="ar"/>
        </w:rPr>
        <w:t>附属单位上缴收入</w:t>
      </w:r>
      <w:r>
        <w:rPr>
          <w:rFonts w:hint="eastAsia" w:ascii="仿宋_GB2312" w:hAnsi="仿宋_GB2312" w:eastAsia="仿宋_GB2312" w:cs="仿宋_GB2312"/>
          <w:b w:val="0"/>
          <w:bCs w:val="0"/>
          <w:color w:val="auto"/>
          <w:kern w:val="0"/>
          <w:sz w:val="32"/>
          <w:szCs w:val="32"/>
          <w:highlight w:val="none"/>
        </w:rPr>
        <w:t>。</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b w:val="0"/>
          <w:bCs w:val="0"/>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8.其他收入</w:t>
      </w:r>
      <w:r>
        <w:rPr>
          <w:rFonts w:ascii="仿宋" w:hAnsi="仿宋" w:eastAsia="仿宋" w:cs="仿宋"/>
          <w:color w:val="auto"/>
          <w:sz w:val="32"/>
          <w:highlight w:val="none"/>
          <w:u w:color="auto"/>
        </w:rPr>
        <w:t>0.00</w:t>
      </w:r>
      <w:r>
        <w:rPr>
          <w:rFonts w:hint="eastAsia" w:ascii="仿宋" w:hAnsi="仿宋" w:eastAsia="仿宋" w:cs="仿宋"/>
          <w:color w:val="auto"/>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color w:val="auto"/>
          <w:sz w:val="32"/>
          <w:highlight w:val="none"/>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highlight w:val="none"/>
          <w:u w:color="auto"/>
        </w:rPr>
        <w:t>增长0%</w:t>
      </w:r>
      <w:r>
        <w:rPr>
          <w:rFonts w:hint="eastAsia" w:ascii="仿宋" w:hAnsi="仿宋" w:eastAsia="仿宋" w:cs="仿宋"/>
          <w:color w:val="auto"/>
          <w:kern w:val="2"/>
          <w:sz w:val="32"/>
          <w:szCs w:val="32"/>
          <w:highlight w:val="none"/>
          <w:lang w:val="en-US" w:eastAsia="zh-CN" w:bidi="ar"/>
        </w:rPr>
        <w:t>，主要原因是：</w:t>
      </w:r>
      <w:r>
        <w:rPr>
          <w:rFonts w:hint="eastAsia" w:ascii="仿宋_GB2312" w:hAnsi="仿宋_GB2312" w:eastAsia="仿宋_GB2312" w:cs="仿宋_GB2312"/>
          <w:b w:val="0"/>
          <w:bCs w:val="0"/>
          <w:color w:val="auto"/>
          <w:kern w:val="0"/>
          <w:sz w:val="32"/>
          <w:szCs w:val="32"/>
          <w:highlight w:val="none"/>
          <w:lang w:eastAsia="zh-CN"/>
        </w:rPr>
        <w:t>本单位</w:t>
      </w:r>
      <w:r>
        <w:rPr>
          <w:rFonts w:hint="eastAsia" w:ascii="仿宋_GB2312" w:hAnsi="仿宋_GB2312" w:eastAsia="仿宋_GB2312" w:cs="仿宋_GB2312"/>
          <w:b w:val="0"/>
          <w:bCs w:val="0"/>
          <w:color w:val="auto"/>
          <w:sz w:val="32"/>
          <w:szCs w:val="32"/>
          <w:highlight w:val="none"/>
          <w:u w:val="none"/>
          <w:lang w:val="en-US" w:eastAsia="zh-CN"/>
        </w:rPr>
        <w:t>2021年度和</w:t>
      </w:r>
      <w:r>
        <w:rPr>
          <w:rFonts w:hint="eastAsia" w:ascii="仿宋_GB2312" w:hAnsi="仿宋_GB2312" w:eastAsia="仿宋_GB2312" w:cs="仿宋_GB2312"/>
          <w:b w:val="0"/>
          <w:bCs w:val="0"/>
          <w:color w:val="auto"/>
          <w:sz w:val="32"/>
          <w:szCs w:val="32"/>
          <w:highlight w:val="none"/>
          <w:u w:val="none"/>
        </w:rPr>
        <w:t>20</w:t>
      </w:r>
      <w:r>
        <w:rPr>
          <w:rFonts w:hint="eastAsia" w:ascii="仿宋_GB2312" w:hAnsi="仿宋_GB2312" w:eastAsia="仿宋_GB2312" w:cs="仿宋_GB2312"/>
          <w:b w:val="0"/>
          <w:bCs w:val="0"/>
          <w:color w:val="auto"/>
          <w:sz w:val="32"/>
          <w:szCs w:val="32"/>
          <w:highlight w:val="none"/>
          <w:u w:val="none"/>
          <w:lang w:val="en-US" w:eastAsia="zh-CN"/>
        </w:rPr>
        <w:t>22</w:t>
      </w:r>
      <w:r>
        <w:rPr>
          <w:rFonts w:hint="eastAsia" w:ascii="仿宋_GB2312" w:hAnsi="仿宋_GB2312" w:eastAsia="仿宋_GB2312" w:cs="仿宋_GB2312"/>
          <w:b w:val="0"/>
          <w:bCs w:val="0"/>
          <w:color w:val="auto"/>
          <w:sz w:val="32"/>
          <w:szCs w:val="32"/>
          <w:highlight w:val="none"/>
          <w:u w:val="none"/>
        </w:rPr>
        <w:t>年度</w:t>
      </w:r>
      <w:r>
        <w:rPr>
          <w:rFonts w:hint="eastAsia" w:ascii="仿宋_GB2312" w:hAnsi="仿宋_GB2312" w:eastAsia="仿宋_GB2312" w:cs="仿宋_GB2312"/>
          <w:b w:val="0"/>
          <w:bCs w:val="0"/>
          <w:color w:val="auto"/>
          <w:sz w:val="32"/>
          <w:szCs w:val="32"/>
          <w:highlight w:val="none"/>
          <w:u w:val="none"/>
          <w:lang w:eastAsia="zh-CN"/>
        </w:rPr>
        <w:t>都</w:t>
      </w:r>
      <w:r>
        <w:rPr>
          <w:rFonts w:hint="eastAsia" w:ascii="仿宋_GB2312" w:hAnsi="仿宋_GB2312" w:eastAsia="仿宋_GB2312" w:cs="仿宋_GB2312"/>
          <w:b w:val="0"/>
          <w:bCs w:val="0"/>
          <w:color w:val="auto"/>
          <w:kern w:val="0"/>
          <w:sz w:val="32"/>
          <w:szCs w:val="32"/>
          <w:highlight w:val="none"/>
          <w:lang w:eastAsia="zh-CN"/>
        </w:rPr>
        <w:t>没有</w:t>
      </w:r>
      <w:r>
        <w:rPr>
          <w:rFonts w:hint="eastAsia" w:ascii="仿宋_GB2312" w:hAnsi="仿宋_GB2312" w:eastAsia="仿宋_GB2312" w:cs="仿宋_GB2312"/>
          <w:b w:val="0"/>
          <w:bCs w:val="0"/>
          <w:color w:val="auto"/>
          <w:kern w:val="2"/>
          <w:sz w:val="32"/>
          <w:szCs w:val="32"/>
          <w:highlight w:val="none"/>
          <w:lang w:val="en-US" w:eastAsia="zh-CN" w:bidi="ar"/>
        </w:rPr>
        <w:t>其他收入</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b w:val="0"/>
          <w:bCs w:val="0"/>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9.使用非财政拨款结余</w:t>
      </w:r>
      <w:r>
        <w:rPr>
          <w:rFonts w:ascii="仿宋" w:hAnsi="仿宋" w:eastAsia="仿宋" w:cs="仿宋"/>
          <w:color w:val="auto"/>
          <w:sz w:val="32"/>
          <w:highlight w:val="none"/>
          <w:u w:color="auto"/>
        </w:rPr>
        <w:t>0.00</w:t>
      </w:r>
      <w:r>
        <w:rPr>
          <w:rFonts w:hint="eastAsia" w:ascii="仿宋" w:hAnsi="仿宋" w:eastAsia="仿宋" w:cs="仿宋"/>
          <w:color w:val="auto"/>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color w:val="auto"/>
          <w:sz w:val="32"/>
          <w:highlight w:val="none"/>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highlight w:val="none"/>
          <w:u w:color="auto"/>
        </w:rPr>
        <w:t>增长0%</w:t>
      </w:r>
      <w:r>
        <w:rPr>
          <w:rFonts w:hint="eastAsia" w:ascii="仿宋" w:hAnsi="仿宋" w:eastAsia="仿宋" w:cs="仿宋"/>
          <w:color w:val="auto"/>
          <w:kern w:val="2"/>
          <w:sz w:val="32"/>
          <w:szCs w:val="32"/>
          <w:highlight w:val="none"/>
          <w:lang w:val="en-US" w:eastAsia="zh-CN" w:bidi="ar"/>
        </w:rPr>
        <w:t>，主要原因是：</w:t>
      </w:r>
      <w:r>
        <w:rPr>
          <w:rFonts w:hint="eastAsia" w:ascii="仿宋_GB2312" w:hAnsi="仿宋_GB2312" w:eastAsia="仿宋_GB2312" w:cs="仿宋_GB2312"/>
          <w:b w:val="0"/>
          <w:bCs w:val="0"/>
          <w:color w:val="auto"/>
          <w:kern w:val="0"/>
          <w:sz w:val="32"/>
          <w:szCs w:val="32"/>
          <w:highlight w:val="none"/>
          <w:lang w:eastAsia="zh-CN"/>
        </w:rPr>
        <w:t>本单位</w:t>
      </w:r>
      <w:r>
        <w:rPr>
          <w:rFonts w:hint="eastAsia" w:ascii="仿宋_GB2312" w:hAnsi="仿宋_GB2312" w:eastAsia="仿宋_GB2312" w:cs="仿宋_GB2312"/>
          <w:b w:val="0"/>
          <w:bCs w:val="0"/>
          <w:color w:val="auto"/>
          <w:sz w:val="32"/>
          <w:szCs w:val="32"/>
          <w:highlight w:val="none"/>
          <w:u w:val="none"/>
          <w:lang w:val="en-US" w:eastAsia="zh-CN"/>
        </w:rPr>
        <w:t>2021年度和</w:t>
      </w:r>
      <w:r>
        <w:rPr>
          <w:rFonts w:hint="eastAsia" w:ascii="仿宋_GB2312" w:hAnsi="仿宋_GB2312" w:eastAsia="仿宋_GB2312" w:cs="仿宋_GB2312"/>
          <w:b w:val="0"/>
          <w:bCs w:val="0"/>
          <w:color w:val="auto"/>
          <w:sz w:val="32"/>
          <w:szCs w:val="32"/>
          <w:highlight w:val="none"/>
          <w:u w:val="none"/>
        </w:rPr>
        <w:t>20</w:t>
      </w:r>
      <w:r>
        <w:rPr>
          <w:rFonts w:hint="eastAsia" w:ascii="仿宋_GB2312" w:hAnsi="仿宋_GB2312" w:eastAsia="仿宋_GB2312" w:cs="仿宋_GB2312"/>
          <w:b w:val="0"/>
          <w:bCs w:val="0"/>
          <w:color w:val="auto"/>
          <w:sz w:val="32"/>
          <w:szCs w:val="32"/>
          <w:highlight w:val="none"/>
          <w:u w:val="none"/>
          <w:lang w:val="en-US" w:eastAsia="zh-CN"/>
        </w:rPr>
        <w:t>22</w:t>
      </w:r>
      <w:r>
        <w:rPr>
          <w:rFonts w:hint="eastAsia" w:ascii="仿宋_GB2312" w:hAnsi="仿宋_GB2312" w:eastAsia="仿宋_GB2312" w:cs="仿宋_GB2312"/>
          <w:b w:val="0"/>
          <w:bCs w:val="0"/>
          <w:color w:val="auto"/>
          <w:sz w:val="32"/>
          <w:szCs w:val="32"/>
          <w:highlight w:val="none"/>
          <w:u w:val="none"/>
        </w:rPr>
        <w:t>年度</w:t>
      </w:r>
      <w:r>
        <w:rPr>
          <w:rFonts w:hint="eastAsia" w:ascii="仿宋_GB2312" w:hAnsi="仿宋_GB2312" w:eastAsia="仿宋_GB2312" w:cs="仿宋_GB2312"/>
          <w:b w:val="0"/>
          <w:bCs w:val="0"/>
          <w:color w:val="auto"/>
          <w:sz w:val="32"/>
          <w:szCs w:val="32"/>
          <w:highlight w:val="none"/>
          <w:u w:val="none"/>
          <w:lang w:eastAsia="zh-CN"/>
        </w:rPr>
        <w:t>都</w:t>
      </w:r>
      <w:r>
        <w:rPr>
          <w:rFonts w:hint="eastAsia" w:ascii="仿宋_GB2312" w:hAnsi="仿宋_GB2312" w:eastAsia="仿宋_GB2312" w:cs="仿宋_GB2312"/>
          <w:b w:val="0"/>
          <w:bCs w:val="0"/>
          <w:color w:val="auto"/>
          <w:kern w:val="0"/>
          <w:sz w:val="32"/>
          <w:szCs w:val="32"/>
          <w:highlight w:val="none"/>
          <w:lang w:eastAsia="zh-CN"/>
        </w:rPr>
        <w:t>没有</w:t>
      </w:r>
      <w:r>
        <w:rPr>
          <w:rFonts w:hint="eastAsia" w:ascii="仿宋_GB2312" w:hAnsi="仿宋_GB2312" w:eastAsia="仿宋_GB2312" w:cs="仿宋_GB2312"/>
          <w:color w:val="auto"/>
          <w:kern w:val="2"/>
          <w:sz w:val="32"/>
          <w:szCs w:val="32"/>
          <w:highlight w:val="none"/>
          <w:lang w:val="en-US" w:eastAsia="zh-CN" w:bidi="ar"/>
        </w:rPr>
        <w:t>使用非财政拨款</w:t>
      </w:r>
      <w:r>
        <w:rPr>
          <w:rFonts w:hint="eastAsia" w:ascii="仿宋_GB2312" w:hAnsi="仿宋_GB2312" w:eastAsia="仿宋_GB2312" w:cs="仿宋_GB2312"/>
          <w:b w:val="0"/>
          <w:bCs w:val="0"/>
          <w:color w:val="auto"/>
          <w:kern w:val="2"/>
          <w:sz w:val="32"/>
          <w:szCs w:val="32"/>
          <w:highlight w:val="none"/>
          <w:lang w:val="en-US" w:eastAsia="zh-CN" w:bidi="ar"/>
        </w:rPr>
        <w:t>收入。</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10.上年结转和结余</w:t>
      </w:r>
      <w:r>
        <w:rPr>
          <w:rFonts w:ascii="仿宋" w:hAnsi="仿宋" w:eastAsia="仿宋" w:cs="仿宋"/>
          <w:color w:val="auto"/>
          <w:sz w:val="32"/>
          <w:highlight w:val="none"/>
          <w:u w:color="auto"/>
        </w:rPr>
        <w:t>0.00</w:t>
      </w:r>
      <w:r>
        <w:rPr>
          <w:rFonts w:hint="eastAsia" w:ascii="仿宋" w:hAnsi="仿宋" w:eastAsia="仿宋" w:cs="仿宋"/>
          <w:color w:val="auto"/>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color w:val="auto"/>
          <w:sz w:val="32"/>
          <w:highlight w:val="none"/>
          <w:u w:color="auto"/>
        </w:rPr>
        <w:t>减少108.63</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highlight w:val="none"/>
          <w:u w:color="auto"/>
        </w:rPr>
        <w:t>下降100.00%</w:t>
      </w:r>
      <w:r>
        <w:rPr>
          <w:rFonts w:hint="eastAsia" w:ascii="仿宋" w:hAnsi="仿宋" w:eastAsia="仿宋" w:cs="仿宋"/>
          <w:color w:val="auto"/>
          <w:kern w:val="2"/>
          <w:sz w:val="32"/>
          <w:szCs w:val="32"/>
          <w:highlight w:val="none"/>
          <w:lang w:val="en-US" w:eastAsia="zh-CN" w:bidi="ar"/>
        </w:rPr>
        <w:t>，主要原因：</w:t>
      </w:r>
      <w:r>
        <w:rPr>
          <w:rFonts w:hint="eastAsia" w:ascii="仿宋_GB2312" w:hAnsi="仿宋_GB2312" w:eastAsia="仿宋_GB2312" w:cs="仿宋_GB2312"/>
          <w:color w:val="auto"/>
          <w:sz w:val="32"/>
          <w:szCs w:val="32"/>
          <w:highlight w:val="none"/>
          <w:lang w:val="en-US" w:eastAsia="zh-CN"/>
        </w:rPr>
        <w:t>108.63</w:t>
      </w:r>
      <w:r>
        <w:rPr>
          <w:rFonts w:hint="eastAsia" w:ascii="仿宋_GB2312" w:hAnsi="仿宋_GB2312" w:eastAsia="仿宋_GB2312" w:cs="仿宋_GB2312"/>
          <w:color w:val="auto"/>
          <w:sz w:val="32"/>
          <w:szCs w:val="32"/>
          <w:highlight w:val="none"/>
        </w:rPr>
        <w:t>万元是2020年末结转和结余资金，已</w:t>
      </w:r>
      <w:r>
        <w:rPr>
          <w:rFonts w:hint="eastAsia" w:ascii="仿宋_GB2312" w:hAnsi="仿宋_GB2312" w:eastAsia="仿宋_GB2312" w:cs="仿宋_GB2312"/>
          <w:color w:val="auto"/>
          <w:sz w:val="32"/>
          <w:szCs w:val="32"/>
          <w:highlight w:val="none"/>
          <w:lang w:eastAsia="zh-CN"/>
        </w:rPr>
        <w:t>于</w:t>
      </w:r>
      <w:r>
        <w:rPr>
          <w:rFonts w:hint="eastAsia" w:ascii="仿宋_GB2312" w:hAnsi="仿宋_GB2312" w:eastAsia="仿宋_GB2312" w:cs="仿宋_GB2312"/>
          <w:color w:val="auto"/>
          <w:sz w:val="32"/>
          <w:szCs w:val="32"/>
          <w:highlight w:val="none"/>
        </w:rPr>
        <w:t>2021年度执行完毕。</w:t>
      </w:r>
    </w:p>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5080000" cy="3810000"/>
            <wp:effectExtent l="4445" t="4445" r="5715" b="107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（二）本部门2022年度总支出</w:t>
      </w:r>
      <w:r>
        <w:rPr>
          <w:rFonts w:ascii="仿宋" w:hAnsi="仿宋" w:eastAsia="仿宋" w:cs="仿宋"/>
          <w:color w:val="auto"/>
          <w:sz w:val="32"/>
          <w:highlight w:val="none"/>
          <w:u w:color="auto"/>
        </w:rPr>
        <w:t>1342.74</w:t>
      </w:r>
      <w:r>
        <w:rPr>
          <w:rFonts w:hint="eastAsia" w:ascii="仿宋" w:hAnsi="仿宋" w:eastAsia="仿宋" w:cs="仿宋"/>
          <w:color w:val="auto"/>
          <w:sz w:val="32"/>
          <w:szCs w:val="32"/>
          <w:highlight w:val="none"/>
        </w:rPr>
        <w:t>万元，其中本年支出</w:t>
      </w:r>
      <w:r>
        <w:rPr>
          <w:rFonts w:ascii="仿宋" w:hAnsi="仿宋" w:eastAsia="仿宋" w:cs="仿宋"/>
          <w:color w:val="auto"/>
          <w:sz w:val="32"/>
          <w:highlight w:val="none"/>
          <w:u w:color="auto"/>
        </w:rPr>
        <w:t>1342.74</w:t>
      </w:r>
      <w:r>
        <w:rPr>
          <w:rFonts w:hint="eastAsia" w:ascii="仿宋" w:hAnsi="仿宋" w:eastAsia="仿宋" w:cs="仿宋"/>
          <w:color w:val="auto"/>
          <w:sz w:val="32"/>
          <w:szCs w:val="32"/>
          <w:highlight w:val="none"/>
        </w:rPr>
        <w:t>万元，较2021年度决算数</w:t>
      </w:r>
      <w:r>
        <w:rPr>
          <w:rFonts w:ascii="仿宋" w:hAnsi="仿宋" w:eastAsia="仿宋" w:cs="仿宋"/>
          <w:color w:val="auto"/>
          <w:sz w:val="32"/>
          <w:highlight w:val="none"/>
          <w:u w:color="auto"/>
        </w:rPr>
        <w:t>减少108.84</w:t>
      </w:r>
      <w:r>
        <w:rPr>
          <w:rFonts w:hint="eastAsia" w:ascii="仿宋" w:hAnsi="仿宋" w:eastAsia="仿宋" w:cs="仿宋"/>
          <w:color w:val="auto"/>
          <w:sz w:val="32"/>
          <w:szCs w:val="32"/>
          <w:highlight w:val="none"/>
        </w:rPr>
        <w:t>万元，</w:t>
      </w:r>
      <w:r>
        <w:rPr>
          <w:rFonts w:ascii="仿宋" w:hAnsi="仿宋" w:eastAsia="仿宋" w:cs="仿宋"/>
          <w:color w:val="auto"/>
          <w:sz w:val="32"/>
          <w:highlight w:val="none"/>
          <w:u w:color="auto"/>
        </w:rPr>
        <w:t>下降7.50%</w:t>
      </w:r>
      <w:r>
        <w:rPr>
          <w:rFonts w:hint="eastAsia" w:ascii="仿宋" w:hAnsi="仿宋" w:eastAsia="仿宋" w:cs="仿宋"/>
          <w:color w:val="auto"/>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szCs w:val="32"/>
          <w:highlight w:val="none"/>
        </w:rPr>
        <w:t>1</w:t>
      </w:r>
      <w:r>
        <w:rPr>
          <w:rFonts w:ascii="仿宋" w:hAnsi="仿宋" w:eastAsia="仿宋" w:cs="仿宋"/>
          <w:color w:val="auto"/>
          <w:sz w:val="32"/>
          <w:highlight w:val="none"/>
          <w:u w:color="auto"/>
        </w:rPr>
        <w:t>.</w:t>
      </w:r>
      <w:r>
        <w:rPr>
          <w:rFonts w:hint="eastAsia" w:ascii="仿宋" w:hAnsi="仿宋" w:eastAsia="仿宋" w:cs="仿宋"/>
          <w:color w:val="auto"/>
          <w:sz w:val="32"/>
          <w:szCs w:val="32"/>
          <w:highlight w:val="none"/>
          <w:lang w:bidi="ar"/>
        </w:rPr>
        <w:t>一般公共服务支出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14.03</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：为</w:t>
      </w:r>
      <w:r>
        <w:rPr>
          <w:rFonts w:hint="eastAsia" w:ascii="仿宋" w:hAnsi="仿宋" w:eastAsia="仿宋" w:cs="仿宋"/>
          <w:color w:val="auto"/>
          <w:sz w:val="32"/>
          <w:szCs w:val="32"/>
          <w:highlight w:val="none"/>
          <w:lang w:val="en-US" w:eastAsia="zh-CN"/>
        </w:rPr>
        <w:t>教职工服务和开展工会活动支出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增加14.03</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增长100%</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主要原因是：年中预算调整。</w:t>
      </w:r>
    </w:p>
    <w:p>
      <w:pPr>
        <w:keepNext w:val="0"/>
        <w:keepLines w:val="0"/>
        <w:widowControl w:val="0"/>
        <w:suppressLineNumbers w:val="0"/>
        <w:spacing w:before="0" w:beforeAutospacing="0" w:after="0" w:afterAutospacing="0"/>
        <w:ind w:left="0" w:right="0" w:firstLine="640" w:firstLineChars="200"/>
        <w:jc w:val="left"/>
        <w:rPr>
          <w:rFonts w:hint="eastAsia" w:ascii="华文仿宋" w:hAnsi="华文仿宋" w:eastAsia="华文仿宋" w:cs="华文仿宋"/>
          <w:color w:val="auto"/>
          <w:kern w:val="0"/>
          <w:sz w:val="32"/>
          <w:szCs w:val="32"/>
          <w:highlight w:val="none"/>
          <w:lang w:val="en-US" w:eastAsia="zh-CN"/>
        </w:rPr>
      </w:pPr>
      <w:r>
        <w:rPr>
          <w:rFonts w:hint="eastAsia" w:ascii="仿宋" w:hAnsi="仿宋" w:eastAsia="仿宋" w:cs="仿宋"/>
          <w:color w:val="auto"/>
          <w:sz w:val="32"/>
          <w:szCs w:val="32"/>
          <w:highlight w:val="none"/>
        </w:rPr>
        <w:t>2</w:t>
      </w:r>
      <w:r>
        <w:rPr>
          <w:rFonts w:ascii="仿宋" w:hAnsi="仿宋" w:eastAsia="仿宋" w:cs="仿宋"/>
          <w:color w:val="auto"/>
          <w:sz w:val="32"/>
          <w:highlight w:val="none"/>
          <w:u w:color="auto"/>
        </w:rPr>
        <w:t>.</w:t>
      </w:r>
      <w:r>
        <w:rPr>
          <w:rFonts w:hint="eastAsia" w:ascii="仿宋" w:hAnsi="仿宋" w:eastAsia="仿宋" w:cs="仿宋"/>
          <w:color w:val="auto"/>
          <w:sz w:val="32"/>
          <w:szCs w:val="32"/>
          <w:highlight w:val="none"/>
          <w:lang w:bidi="ar"/>
        </w:rPr>
        <w:t>教育支出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205</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967.69</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华文仿宋" w:hAnsi="华文仿宋" w:eastAsia="华文仿宋" w:cs="华文仿宋"/>
          <w:color w:val="auto"/>
          <w:kern w:val="0"/>
          <w:sz w:val="32"/>
          <w:szCs w:val="32"/>
          <w:highlight w:val="none"/>
        </w:rPr>
        <w:t>人员工资及为开展教育教学活动的支出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增加14.20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增长1.49%</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w:t>
      </w:r>
      <w:r>
        <w:rPr>
          <w:rFonts w:hint="eastAsia" w:ascii="华文仿宋" w:hAnsi="华文仿宋" w:eastAsia="华文仿宋" w:cs="华文仿宋"/>
          <w:color w:val="auto"/>
          <w:kern w:val="0"/>
          <w:sz w:val="32"/>
          <w:szCs w:val="32"/>
          <w:highlight w:val="none"/>
          <w:lang w:val="en-US" w:eastAsia="zh-CN"/>
        </w:rPr>
        <w:t>教育教学各项收支比上年度均有所增加。</w:t>
      </w:r>
    </w:p>
    <w:p>
      <w:pPr>
        <w:autoSpaceDE w:val="0"/>
        <w:autoSpaceDN w:val="0"/>
        <w:adjustRightInd w:val="0"/>
        <w:spacing w:line="560" w:lineRule="exact"/>
        <w:ind w:firstLine="627" w:firstLineChars="196"/>
        <w:jc w:val="left"/>
        <w:rPr>
          <w:rFonts w:hint="eastAsia" w:ascii="华文仿宋" w:hAnsi="华文仿宋" w:eastAsia="华文仿宋" w:cs="华文仿宋"/>
          <w:color w:val="auto"/>
          <w:kern w:val="0"/>
          <w:sz w:val="32"/>
          <w:szCs w:val="32"/>
          <w:highlight w:val="none"/>
          <w:lang w:eastAsia="zh-CN"/>
        </w:rPr>
      </w:pPr>
      <w:r>
        <w:rPr>
          <w:rFonts w:hint="eastAsia" w:ascii="仿宋" w:hAnsi="仿宋" w:eastAsia="仿宋" w:cs="仿宋"/>
          <w:color w:val="auto"/>
          <w:sz w:val="32"/>
          <w:szCs w:val="32"/>
          <w:highlight w:val="none"/>
        </w:rPr>
        <w:t>3</w:t>
      </w:r>
      <w:r>
        <w:rPr>
          <w:rFonts w:ascii="仿宋" w:hAnsi="仿宋" w:eastAsia="仿宋" w:cs="仿宋"/>
          <w:color w:val="auto"/>
          <w:sz w:val="32"/>
          <w:highlight w:val="none"/>
          <w:u w:color="auto"/>
        </w:rPr>
        <w:t>.</w:t>
      </w:r>
      <w:r>
        <w:rPr>
          <w:rFonts w:hint="eastAsia" w:ascii="仿宋" w:hAnsi="仿宋" w:eastAsia="仿宋" w:cs="仿宋"/>
          <w:color w:val="auto"/>
          <w:sz w:val="32"/>
          <w:szCs w:val="32"/>
          <w:highlight w:val="none"/>
          <w:lang w:bidi="ar"/>
        </w:rPr>
        <w:t>社会保障和就业支出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208</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106.75</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华文仿宋" w:hAnsi="华文仿宋" w:eastAsia="华文仿宋" w:cs="华文仿宋"/>
          <w:color w:val="auto"/>
          <w:kern w:val="0"/>
          <w:sz w:val="32"/>
          <w:szCs w:val="32"/>
          <w:highlight w:val="none"/>
        </w:rPr>
        <w:t>主要用于缴纳教职工“五险”</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减少20.80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下降16.31%</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w:t>
      </w:r>
      <w:r>
        <w:rPr>
          <w:rFonts w:hint="eastAsia" w:ascii="华文仿宋" w:hAnsi="华文仿宋" w:eastAsia="华文仿宋" w:cs="华文仿宋"/>
          <w:color w:val="auto"/>
          <w:kern w:val="0"/>
          <w:sz w:val="32"/>
          <w:szCs w:val="32"/>
          <w:highlight w:val="none"/>
          <w:lang w:val="en-US" w:eastAsia="zh-CN"/>
        </w:rPr>
        <w:t>在职人员减少</w:t>
      </w:r>
      <w:r>
        <w:rPr>
          <w:rFonts w:hint="eastAsia" w:ascii="华文仿宋" w:hAnsi="华文仿宋" w:eastAsia="华文仿宋" w:cs="华文仿宋"/>
          <w:color w:val="auto"/>
          <w:kern w:val="0"/>
          <w:sz w:val="32"/>
          <w:szCs w:val="32"/>
          <w:highlight w:val="none"/>
        </w:rPr>
        <w:t>，</w:t>
      </w:r>
      <w:r>
        <w:rPr>
          <w:rFonts w:hint="eastAsia" w:ascii="华文仿宋" w:hAnsi="华文仿宋" w:eastAsia="华文仿宋" w:cs="华文仿宋"/>
          <w:color w:val="auto"/>
          <w:kern w:val="0"/>
          <w:sz w:val="32"/>
          <w:szCs w:val="32"/>
          <w:highlight w:val="none"/>
          <w:lang w:eastAsia="zh-CN"/>
        </w:rPr>
        <w:t>缴纳</w:t>
      </w:r>
      <w:r>
        <w:rPr>
          <w:rFonts w:hint="eastAsia" w:ascii="华文仿宋" w:hAnsi="华文仿宋" w:eastAsia="华文仿宋" w:cs="华文仿宋"/>
          <w:color w:val="auto"/>
          <w:kern w:val="0"/>
          <w:sz w:val="32"/>
          <w:szCs w:val="32"/>
          <w:highlight w:val="none"/>
        </w:rPr>
        <w:t>教职工“五险”比去年</w:t>
      </w:r>
      <w:r>
        <w:rPr>
          <w:rFonts w:hint="eastAsia" w:ascii="华文仿宋" w:hAnsi="华文仿宋" w:eastAsia="华文仿宋" w:cs="华文仿宋"/>
          <w:color w:val="auto"/>
          <w:kern w:val="0"/>
          <w:sz w:val="32"/>
          <w:szCs w:val="32"/>
          <w:highlight w:val="none"/>
          <w:lang w:val="en-US" w:eastAsia="zh-CN"/>
        </w:rPr>
        <w:t>少</w:t>
      </w:r>
      <w:r>
        <w:rPr>
          <w:rFonts w:hint="eastAsia" w:ascii="华文仿宋" w:hAnsi="华文仿宋" w:eastAsia="华文仿宋" w:cs="华文仿宋"/>
          <w:color w:val="auto"/>
          <w:kern w:val="0"/>
          <w:sz w:val="32"/>
          <w:szCs w:val="32"/>
          <w:highlight w:val="none"/>
          <w:lang w:eastAsia="zh-CN"/>
        </w:rPr>
        <w:t>。</w:t>
      </w:r>
    </w:p>
    <w:p>
      <w:pPr>
        <w:autoSpaceDE w:val="0"/>
        <w:autoSpaceDN w:val="0"/>
        <w:adjustRightInd w:val="0"/>
        <w:spacing w:line="560" w:lineRule="exact"/>
        <w:ind w:firstLine="627" w:firstLineChars="196"/>
        <w:jc w:val="left"/>
        <w:rPr>
          <w:rFonts w:hint="eastAsia" w:ascii="华文仿宋" w:hAnsi="华文仿宋" w:eastAsia="华文仿宋" w:cs="华文仿宋"/>
          <w:color w:val="auto"/>
          <w:kern w:val="0"/>
          <w:sz w:val="32"/>
          <w:szCs w:val="32"/>
          <w:highlight w:val="none"/>
          <w:lang w:eastAsia="zh-CN"/>
        </w:rPr>
      </w:pPr>
      <w:r>
        <w:rPr>
          <w:rFonts w:hint="eastAsia" w:ascii="仿宋" w:hAnsi="仿宋" w:eastAsia="仿宋" w:cs="仿宋"/>
          <w:color w:val="auto"/>
          <w:sz w:val="32"/>
          <w:szCs w:val="32"/>
          <w:highlight w:val="none"/>
        </w:rPr>
        <w:t>4</w:t>
      </w:r>
      <w:r>
        <w:rPr>
          <w:rFonts w:ascii="仿宋" w:hAnsi="仿宋" w:eastAsia="仿宋" w:cs="仿宋"/>
          <w:color w:val="auto"/>
          <w:sz w:val="32"/>
          <w:highlight w:val="none"/>
          <w:u w:color="auto"/>
        </w:rPr>
        <w:t>.</w:t>
      </w:r>
      <w:r>
        <w:rPr>
          <w:rFonts w:hint="eastAsia" w:ascii="仿宋" w:hAnsi="仿宋" w:eastAsia="仿宋" w:cs="仿宋"/>
          <w:color w:val="auto"/>
          <w:sz w:val="32"/>
          <w:szCs w:val="32"/>
          <w:highlight w:val="none"/>
          <w:lang w:bidi="ar"/>
        </w:rPr>
        <w:t>住房保障支出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80.01</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：在职人员缴纳</w:t>
      </w:r>
      <w:r>
        <w:rPr>
          <w:rFonts w:hint="eastAsia" w:ascii="仿宋" w:hAnsi="仿宋" w:eastAsia="仿宋" w:cs="仿宋"/>
          <w:color w:val="auto"/>
          <w:sz w:val="32"/>
          <w:szCs w:val="32"/>
          <w:highlight w:val="none"/>
          <w:lang w:val="en-US" w:eastAsia="zh-CN"/>
        </w:rPr>
        <w:t>住房公积金</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增加9.63</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增长13.68%</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w:t>
      </w:r>
      <w:r>
        <w:rPr>
          <w:rFonts w:hint="eastAsia" w:ascii="华文仿宋" w:hAnsi="华文仿宋" w:eastAsia="华文仿宋" w:cs="华文仿宋"/>
          <w:color w:val="auto"/>
          <w:kern w:val="0"/>
          <w:sz w:val="32"/>
          <w:szCs w:val="32"/>
          <w:highlight w:val="none"/>
          <w:lang w:val="en-US" w:eastAsia="zh-CN"/>
        </w:rPr>
        <w:t>人员虽然有变动，社保费基数有所调整，住房公积金缴纳金额多。</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5</w:t>
      </w:r>
      <w:r>
        <w:rPr>
          <w:rFonts w:ascii="仿宋" w:hAnsi="仿宋" w:eastAsia="仿宋" w:cs="仿宋"/>
          <w:color w:val="auto"/>
          <w:sz w:val="32"/>
          <w:highlight w:val="none"/>
          <w:u w:color="auto"/>
        </w:rPr>
        <w:t>.</w:t>
      </w:r>
      <w:r>
        <w:rPr>
          <w:rFonts w:hint="eastAsia" w:ascii="仿宋" w:hAnsi="仿宋" w:eastAsia="仿宋" w:cs="仿宋"/>
          <w:color w:val="auto"/>
          <w:sz w:val="32"/>
          <w:szCs w:val="32"/>
          <w:highlight w:val="none"/>
          <w:lang w:bidi="ar"/>
        </w:rPr>
        <w:t>其他支出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229</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174.26</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：在职人员</w:t>
      </w:r>
      <w:r>
        <w:rPr>
          <w:rFonts w:hint="eastAsia" w:ascii="仿宋" w:hAnsi="仿宋" w:eastAsia="仿宋" w:cs="仿宋"/>
          <w:color w:val="auto"/>
          <w:sz w:val="32"/>
          <w:szCs w:val="32"/>
          <w:highlight w:val="none"/>
          <w:lang w:val="en-US" w:eastAsia="zh-CN"/>
        </w:rPr>
        <w:t>奖励性补贴、伙食补助费和绩效考评奖金发放</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减少125.90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下降41.94%</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w:t>
      </w:r>
      <w:r>
        <w:rPr>
          <w:rFonts w:hint="eastAsia" w:ascii="华文仿宋" w:hAnsi="华文仿宋" w:eastAsia="华文仿宋" w:cs="华文仿宋"/>
          <w:color w:val="auto"/>
          <w:kern w:val="0"/>
          <w:sz w:val="32"/>
          <w:szCs w:val="32"/>
          <w:highlight w:val="none"/>
          <w:lang w:val="en-US" w:eastAsia="zh-CN"/>
        </w:rPr>
        <w:t>在职人员减少</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color w:val="auto"/>
          <w:sz w:val="32"/>
          <w:szCs w:val="32"/>
          <w:highlight w:val="none"/>
          <w:lang w:eastAsia="zh-CN" w:bidi="ar"/>
        </w:rPr>
      </w:pPr>
      <w:r>
        <w:rPr>
          <w:rFonts w:hint="default" w:ascii="仿宋_GB2312" w:hAnsi="微软雅黑" w:eastAsia="仿宋_GB2312" w:cs="仿宋_GB2312"/>
          <w:i w:val="0"/>
          <w:iCs w:val="0"/>
          <w:caps w:val="0"/>
          <w:color w:val="auto"/>
          <w:spacing w:val="0"/>
          <w:sz w:val="31"/>
          <w:szCs w:val="31"/>
          <w:highlight w:val="none"/>
          <w:shd w:val="clear" w:color="auto" w:fill="FFFFFF"/>
        </w:rPr>
        <w:t>结余分配</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auto"/>
          <w:spacing w:val="0"/>
          <w:sz w:val="31"/>
          <w:szCs w:val="31"/>
          <w:highlight w:val="none"/>
          <w:shd w:val="clear" w:color="auto" w:fill="FFFFFF"/>
        </w:rPr>
        <w:t>年决算</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w:t>
      </w:r>
      <w:r>
        <w:rPr>
          <w:rFonts w:hint="eastAsia" w:ascii="仿宋_GB2312" w:hAnsi="微软雅黑" w:eastAsia="仿宋_GB2312" w:cs="仿宋_GB2312"/>
          <w:color w:val="auto"/>
          <w:sz w:val="31"/>
          <w:szCs w:val="31"/>
          <w:highlight w:val="none"/>
          <w:shd w:val="clear" w:color="auto" w:fill="FFFFFF"/>
        </w:rPr>
        <w:t>增加0.00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color w:val="auto"/>
          <w:sz w:val="31"/>
          <w:szCs w:val="31"/>
          <w:highlight w:val="none"/>
          <w:shd w:val="clear" w:color="auto" w:fill="FFFFFF"/>
        </w:rPr>
        <w:t>增长0%</w:t>
      </w:r>
      <w:r>
        <w:rPr>
          <w:rFonts w:hint="default" w:ascii="仿宋_GB2312" w:hAnsi="微软雅黑" w:eastAsia="仿宋_GB2312" w:cs="仿宋_GB2312"/>
          <w:i w:val="0"/>
          <w:iCs w:val="0"/>
          <w:caps w:val="0"/>
          <w:color w:val="auto"/>
          <w:spacing w:val="0"/>
          <w:sz w:val="31"/>
          <w:szCs w:val="31"/>
          <w:highlight w:val="none"/>
          <w:shd w:val="clear" w:color="auto" w:fill="FFFFFF"/>
        </w:rPr>
        <w:t>，主要原因是</w:t>
      </w:r>
      <w:r>
        <w:rPr>
          <w:rFonts w:hint="eastAsia" w:ascii="仿宋" w:hAnsi="仿宋" w:eastAsia="仿宋" w:cs="仿宋"/>
          <w:color w:val="auto"/>
          <w:kern w:val="2"/>
          <w:sz w:val="32"/>
          <w:szCs w:val="32"/>
          <w:highlight w:val="none"/>
          <w:lang w:val="en-US" w:eastAsia="zh-CN" w:bidi="ar"/>
        </w:rPr>
        <w:t>：无专用结余及缴纳所得税和转入非财政拨款结余款项。</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年末结转和结余</w:t>
      </w:r>
      <w:r>
        <w:rPr>
          <w:rFonts w:ascii="仿宋" w:hAnsi="仿宋" w:eastAsia="仿宋" w:cs="仿宋"/>
          <w:color w:val="auto"/>
          <w:sz w:val="32"/>
          <w:highlight w:val="none"/>
          <w:u w:color="auto"/>
        </w:rPr>
        <w:t>0.00</w:t>
      </w:r>
      <w:r>
        <w:rPr>
          <w:rFonts w:hint="eastAsia" w:ascii="仿宋" w:hAnsi="仿宋" w:eastAsia="仿宋" w:cs="仿宋"/>
          <w:color w:val="auto"/>
          <w:sz w:val="32"/>
          <w:szCs w:val="32"/>
          <w:highlight w:val="none"/>
        </w:rPr>
        <w:t>万元，为本年度或以前年度预算安排、因客观条件发生变化无法按原计划实施，需要延迟到以后年度按有关规定继续使用的资金。较2021年度决算数</w:t>
      </w:r>
      <w:r>
        <w:rPr>
          <w:rFonts w:ascii="仿宋" w:hAnsi="仿宋" w:eastAsia="仿宋" w:cs="仿宋"/>
          <w:color w:val="auto"/>
          <w:sz w:val="32"/>
          <w:highlight w:val="none"/>
          <w:u w:color="auto"/>
        </w:rPr>
        <w:t>增加0.00</w:t>
      </w:r>
      <w:r>
        <w:rPr>
          <w:rFonts w:hint="eastAsia" w:ascii="仿宋" w:hAnsi="仿宋" w:eastAsia="仿宋" w:cs="仿宋"/>
          <w:color w:val="auto"/>
          <w:sz w:val="32"/>
          <w:szCs w:val="32"/>
          <w:highlight w:val="none"/>
        </w:rPr>
        <w:t>万元，</w:t>
      </w:r>
      <w:r>
        <w:rPr>
          <w:rFonts w:ascii="仿宋" w:hAnsi="仿宋" w:eastAsia="仿宋" w:cs="仿宋"/>
          <w:color w:val="auto"/>
          <w:sz w:val="32"/>
          <w:highlight w:val="none"/>
          <w:u w:color="auto"/>
        </w:rPr>
        <w:t>增长0%</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主要原因是：没有结转和结余资金。</w:t>
      </w:r>
    </w:p>
    <w:p>
      <w:pPr>
        <w:ind w:firstLine="640" w:firstLineChars="200"/>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二、2022 年度</w:t>
      </w:r>
      <w:bookmarkStart w:id="2" w:name="OLE_LINK1"/>
      <w:r>
        <w:rPr>
          <w:rFonts w:hint="eastAsia" w:ascii="黑体" w:hAnsi="黑体" w:eastAsia="黑体" w:cs="黑体"/>
          <w:color w:val="auto"/>
          <w:sz w:val="32"/>
          <w:szCs w:val="32"/>
          <w:highlight w:val="none"/>
        </w:rPr>
        <w:t>一般公共预算财政拨款支出决算情况</w:t>
      </w:r>
      <w:bookmarkEnd w:id="2"/>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环江毛南族自治县</w:t>
      </w:r>
      <w:r>
        <w:rPr>
          <w:rFonts w:hint="eastAsia" w:ascii="仿宋" w:hAnsi="仿宋" w:eastAsia="仿宋" w:cs="仿宋"/>
          <w:color w:val="auto"/>
          <w:sz w:val="32"/>
          <w:szCs w:val="32"/>
          <w:highlight w:val="none"/>
        </w:rPr>
        <w:t>第一小学2022年度一般公共预算财政拨款支出</w:t>
      </w:r>
      <w:r>
        <w:rPr>
          <w:rFonts w:ascii="仿宋" w:hAnsi="仿宋" w:eastAsia="仿宋" w:cs="仿宋"/>
          <w:color w:val="auto"/>
          <w:sz w:val="32"/>
          <w:highlight w:val="none"/>
          <w:u w:color="auto"/>
        </w:rPr>
        <w:t>1342.74</w:t>
      </w:r>
      <w:r>
        <w:rPr>
          <w:rFonts w:hint="eastAsia" w:ascii="仿宋" w:hAnsi="仿宋" w:eastAsia="仿宋" w:cs="仿宋"/>
          <w:color w:val="auto"/>
          <w:sz w:val="32"/>
          <w:szCs w:val="32"/>
          <w:highlight w:val="none"/>
        </w:rPr>
        <w:t>万元，较2021年度决算数</w:t>
      </w:r>
      <w:r>
        <w:rPr>
          <w:rFonts w:ascii="仿宋" w:hAnsi="仿宋" w:eastAsia="仿宋" w:cs="仿宋"/>
          <w:color w:val="auto"/>
          <w:sz w:val="32"/>
          <w:highlight w:val="none"/>
          <w:u w:color="auto"/>
        </w:rPr>
        <w:t>减少108.84</w:t>
      </w:r>
      <w:r>
        <w:rPr>
          <w:rFonts w:hint="eastAsia" w:ascii="仿宋" w:hAnsi="仿宋" w:eastAsia="仿宋" w:cs="仿宋"/>
          <w:color w:val="auto"/>
          <w:sz w:val="32"/>
          <w:szCs w:val="32"/>
          <w:highlight w:val="none"/>
        </w:rPr>
        <w:t>万元，</w:t>
      </w:r>
      <w:r>
        <w:rPr>
          <w:rFonts w:ascii="仿宋" w:hAnsi="仿宋" w:eastAsia="仿宋" w:cs="仿宋"/>
          <w:color w:val="auto"/>
          <w:sz w:val="32"/>
          <w:highlight w:val="none"/>
          <w:u w:color="auto"/>
        </w:rPr>
        <w:t>下降7.50%</w:t>
      </w:r>
      <w:r>
        <w:rPr>
          <w:rFonts w:hint="eastAsia" w:ascii="仿宋" w:hAnsi="仿宋" w:eastAsia="仿宋" w:cs="仿宋"/>
          <w:color w:val="auto"/>
          <w:sz w:val="32"/>
          <w:szCs w:val="32"/>
          <w:highlight w:val="none"/>
        </w:rPr>
        <w:t>。其中：基本支出</w:t>
      </w:r>
      <w:r>
        <w:rPr>
          <w:rFonts w:ascii="仿宋" w:hAnsi="仿宋" w:eastAsia="仿宋" w:cs="仿宋"/>
          <w:color w:val="auto"/>
          <w:sz w:val="32"/>
          <w:highlight w:val="none"/>
          <w:u w:color="auto"/>
        </w:rPr>
        <w:t>1185.18</w:t>
      </w:r>
      <w:r>
        <w:rPr>
          <w:rFonts w:hint="eastAsia" w:ascii="仿宋" w:hAnsi="仿宋" w:eastAsia="仿宋" w:cs="仿宋"/>
          <w:color w:val="auto"/>
          <w:sz w:val="32"/>
          <w:szCs w:val="32"/>
          <w:highlight w:val="none"/>
        </w:rPr>
        <w:t>万元，项目支出</w:t>
      </w:r>
      <w:r>
        <w:rPr>
          <w:rFonts w:ascii="仿宋" w:hAnsi="仿宋" w:eastAsia="仿宋" w:cs="仿宋"/>
          <w:color w:val="auto"/>
          <w:sz w:val="32"/>
          <w:highlight w:val="none"/>
          <w:u w:color="auto"/>
        </w:rPr>
        <w:t>157.56</w:t>
      </w:r>
      <w:r>
        <w:rPr>
          <w:rFonts w:hint="eastAsia" w:ascii="仿宋" w:hAnsi="仿宋" w:eastAsia="仿宋" w:cs="仿宋"/>
          <w:color w:val="auto"/>
          <w:sz w:val="32"/>
          <w:szCs w:val="32"/>
          <w:highlight w:val="none"/>
        </w:rPr>
        <w:t>万元。</w:t>
      </w:r>
    </w:p>
    <w:p>
      <w:pPr>
        <w:ind w:firstLine="640" w:firstLineChars="200"/>
        <w:jc w:val="left"/>
        <w:rPr>
          <w:rFonts w:ascii="仿宋" w:hAnsi="仿宋" w:eastAsia="仿宋"/>
          <w:color w:val="auto"/>
          <w:sz w:val="32"/>
          <w:szCs w:val="32"/>
          <w:highlight w:val="none"/>
        </w:rPr>
      </w:pPr>
      <w:r>
        <w:rPr>
          <w:rFonts w:hint="eastAsia" w:ascii="仿宋" w:hAnsi="仿宋" w:eastAsia="仿宋" w:cs="仿宋"/>
          <w:color w:val="auto"/>
          <w:sz w:val="32"/>
          <w:szCs w:val="32"/>
          <w:highlight w:val="none"/>
          <w:lang w:eastAsia="zh-CN"/>
        </w:rPr>
        <w:t>环江毛南族自治县</w:t>
      </w:r>
      <w:r>
        <w:rPr>
          <w:rFonts w:hint="eastAsia" w:ascii="仿宋" w:hAnsi="仿宋" w:eastAsia="仿宋" w:cs="仿宋"/>
          <w:color w:val="auto"/>
          <w:sz w:val="32"/>
          <w:szCs w:val="32"/>
          <w:highlight w:val="none"/>
        </w:rPr>
        <w:t>第一小学2022 年度一般公共预算财政拨款支出年初预算为</w:t>
      </w:r>
      <w:r>
        <w:rPr>
          <w:rFonts w:ascii="仿宋" w:hAnsi="仿宋" w:eastAsia="仿宋" w:cs="仿宋"/>
          <w:color w:val="auto"/>
          <w:sz w:val="32"/>
          <w:highlight w:val="none"/>
          <w:u w:color="auto"/>
        </w:rPr>
        <w:t>926.56</w:t>
      </w:r>
      <w:r>
        <w:rPr>
          <w:rFonts w:hint="eastAsia" w:ascii="仿宋" w:hAnsi="仿宋" w:eastAsia="仿宋" w:cs="仿宋"/>
          <w:color w:val="auto"/>
          <w:sz w:val="32"/>
          <w:szCs w:val="32"/>
          <w:highlight w:val="none"/>
        </w:rPr>
        <w:t>万元，支出决算为</w:t>
      </w:r>
      <w:r>
        <w:rPr>
          <w:rFonts w:ascii="仿宋" w:hAnsi="仿宋" w:eastAsia="仿宋" w:cs="仿宋"/>
          <w:color w:val="auto"/>
          <w:sz w:val="32"/>
          <w:highlight w:val="none"/>
          <w:u w:color="auto"/>
        </w:rPr>
        <w:t>1342.74</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highlight w:val="none"/>
          <w:u w:color="auto"/>
        </w:rPr>
        <w:t>144.92%</w:t>
      </w:r>
      <w:r>
        <w:rPr>
          <w:rFonts w:hint="eastAsia" w:ascii="仿宋" w:hAnsi="仿宋" w:eastAsia="仿宋" w:cs="仿宋"/>
          <w:color w:val="auto"/>
          <w:sz w:val="32"/>
          <w:szCs w:val="32"/>
          <w:highlight w:val="none"/>
        </w:rPr>
        <w:t>。</w:t>
      </w:r>
      <w:bookmarkStart w:id="3" w:name="OLE_LINK2"/>
      <w:bookmarkEnd w:id="3"/>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olor w:val="auto"/>
          <w:sz w:val="32"/>
          <w:szCs w:val="32"/>
          <w:highlight w:val="none"/>
        </w:rPr>
        <w:t>一般公共服务支出</w:t>
      </w:r>
      <w:r>
        <w:rPr>
          <w:rFonts w:ascii="仿宋" w:hAnsi="仿宋" w:eastAsia="仿宋"/>
          <w:color w:val="auto"/>
          <w:sz w:val="32"/>
          <w:highlight w:val="none"/>
          <w:u w:color="auto"/>
        </w:rPr>
        <w:t>（201</w:t>
      </w:r>
      <w:r>
        <w:rPr>
          <w:rFonts w:hint="eastAsia" w:ascii="仿宋" w:hAnsi="仿宋" w:eastAsia="仿宋"/>
          <w:color w:val="auto"/>
          <w:sz w:val="32"/>
          <w:szCs w:val="32"/>
          <w:highlight w:val="none"/>
        </w:rPr>
        <w:t>类）年初预算为</w:t>
      </w:r>
      <w:r>
        <w:rPr>
          <w:rFonts w:ascii="仿宋" w:hAnsi="仿宋" w:eastAsia="仿宋"/>
          <w:color w:val="auto"/>
          <w:sz w:val="32"/>
          <w:szCs w:val="32"/>
          <w:highlight w:val="none"/>
        </w:rPr>
        <w:t>14.03</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14.03</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100.00%</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原因是：预决算无差异</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2"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14.03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14.03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为教职工服务和教职工工会活动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14.03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14.03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color w:val="auto"/>
          <w:sz w:val="32"/>
          <w:szCs w:val="32"/>
          <w:highlight w:val="none"/>
        </w:rPr>
      </w:pPr>
    </w:p>
    <w:p>
      <w:pPr>
        <w:jc w:val="center"/>
        <w:rPr>
          <w:rFonts w:ascii="仿宋" w:hAnsi="仿宋" w:eastAsia="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2958465"/>
            <wp:effectExtent l="4445" t="4445" r="16510" b="8890"/>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auto"/>
          <w:sz w:val="28"/>
          <w:szCs w:val="28"/>
          <w:highlight w:val="none"/>
          <w:lang w:val="en-US" w:eastAsia="zh-CN"/>
        </w:rPr>
      </w:pPr>
      <w:r>
        <w:rPr>
          <w:rFonts w:hint="eastAsia" w:ascii="仿宋" w:hAnsi="仿宋" w:eastAsia="仿宋"/>
          <w:color w:val="auto"/>
          <w:sz w:val="32"/>
          <w:szCs w:val="32"/>
          <w:highlight w:val="none"/>
        </w:rPr>
        <w:t>教育支出</w:t>
      </w:r>
      <w:r>
        <w:rPr>
          <w:rFonts w:ascii="仿宋" w:hAnsi="仿宋" w:eastAsia="仿宋"/>
          <w:color w:val="auto"/>
          <w:sz w:val="32"/>
          <w:highlight w:val="none"/>
          <w:u w:color="auto"/>
        </w:rPr>
        <w:t>（205</w:t>
      </w:r>
      <w:r>
        <w:rPr>
          <w:rFonts w:hint="eastAsia" w:ascii="仿宋" w:hAnsi="仿宋" w:eastAsia="仿宋"/>
          <w:color w:val="auto"/>
          <w:sz w:val="32"/>
          <w:szCs w:val="32"/>
          <w:highlight w:val="none"/>
        </w:rPr>
        <w:t>类）年初预算为</w:t>
      </w:r>
      <w:r>
        <w:rPr>
          <w:rFonts w:ascii="仿宋" w:hAnsi="仿宋" w:eastAsia="仿宋"/>
          <w:color w:val="auto"/>
          <w:sz w:val="32"/>
          <w:szCs w:val="32"/>
          <w:highlight w:val="none"/>
        </w:rPr>
        <w:t>716.13</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967.69</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135.13%</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宋体" w:hAnsi="宋体" w:eastAsia="宋体" w:cs="宋体"/>
          <w:i w:val="0"/>
          <w:iCs w:val="0"/>
          <w:color w:val="auto"/>
          <w:sz w:val="28"/>
          <w:szCs w:val="28"/>
          <w:highlight w:val="none"/>
          <w:u w:val="none"/>
          <w:lang w:val="en-US" w:eastAsia="zh-CN"/>
        </w:rPr>
        <w:t>基本工资提高，商品服务支出增加。</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2050202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小学教育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716.13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882.85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123.28%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主要用于人员基本工资，商品服务支出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基本工资提高，商品服务支出增加。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84.84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auto"/>
                <w:sz w:val="18"/>
                <w:szCs w:val="18"/>
                <w:highlight w:val="none"/>
              </w:rPr>
              <w:t>学校日常办公、水电费、网络费、日常维修、教师培训出差等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val="0"/>
              <w:suppressLineNumbers w:val="0"/>
              <w:spacing w:before="0" w:beforeAutospacing="0" w:after="0" w:afterAutospacing="0"/>
              <w:ind w:left="0" w:right="0" w:firstLine="360" w:firstLineChars="200"/>
              <w:jc w:val="left"/>
              <w:rPr>
                <w:rFonts w:hint="eastAsia" w:ascii="华文仿宋" w:hAnsi="华文仿宋" w:eastAsia="华文仿宋" w:cs="华文仿宋"/>
                <w:color w:val="auto"/>
                <w:kern w:val="0"/>
                <w:sz w:val="32"/>
                <w:szCs w:val="32"/>
                <w:highlight w:val="none"/>
                <w:lang w:val="en-US" w:eastAsia="zh-CN"/>
              </w:rPr>
            </w:pPr>
            <w:r>
              <w:rPr>
                <w:rFonts w:hint="eastAsia" w:ascii="华文仿宋" w:hAnsi="华文仿宋" w:eastAsia="华文仿宋" w:cs="华文仿宋"/>
                <w:color w:val="auto"/>
                <w:kern w:val="0"/>
                <w:sz w:val="18"/>
                <w:szCs w:val="18"/>
                <w:highlight w:val="none"/>
                <w:lang w:val="en-US" w:eastAsia="zh-CN"/>
              </w:rPr>
              <w:t>教育教学各项收支比上年度均有所增加。</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716.13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967.69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color w:val="auto"/>
          <w:sz w:val="32"/>
          <w:szCs w:val="32"/>
          <w:highlight w:val="none"/>
        </w:rPr>
      </w:pPr>
    </w:p>
    <w:p>
      <w:pPr>
        <w:jc w:val="center"/>
        <w:rPr>
          <w:rFonts w:ascii="仿宋" w:hAnsi="仿宋" w:eastAsia="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auto"/>
          <w:sz w:val="28"/>
          <w:szCs w:val="28"/>
          <w:highlight w:val="none"/>
          <w:lang w:val="en-US" w:eastAsia="zh-CN"/>
        </w:rPr>
      </w:pPr>
      <w:r>
        <w:rPr>
          <w:rFonts w:hint="eastAsia" w:ascii="仿宋" w:hAnsi="仿宋" w:eastAsia="仿宋"/>
          <w:color w:val="auto"/>
          <w:sz w:val="32"/>
          <w:szCs w:val="32"/>
          <w:highlight w:val="none"/>
        </w:rPr>
        <w:t>社会保障和就业支出</w:t>
      </w:r>
      <w:r>
        <w:rPr>
          <w:rFonts w:ascii="仿宋" w:hAnsi="仿宋" w:eastAsia="仿宋"/>
          <w:color w:val="auto"/>
          <w:sz w:val="32"/>
          <w:highlight w:val="none"/>
          <w:u w:color="auto"/>
        </w:rPr>
        <w:t>（208</w:t>
      </w:r>
      <w:r>
        <w:rPr>
          <w:rFonts w:hint="eastAsia" w:ascii="仿宋" w:hAnsi="仿宋" w:eastAsia="仿宋"/>
          <w:color w:val="auto"/>
          <w:sz w:val="32"/>
          <w:szCs w:val="32"/>
          <w:highlight w:val="none"/>
        </w:rPr>
        <w:t>类）年初预算为</w:t>
      </w:r>
      <w:r>
        <w:rPr>
          <w:rFonts w:ascii="仿宋" w:hAnsi="仿宋" w:eastAsia="仿宋"/>
          <w:color w:val="auto"/>
          <w:sz w:val="32"/>
          <w:szCs w:val="32"/>
          <w:highlight w:val="none"/>
        </w:rPr>
        <w:t>112.23</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106.75</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95.12%</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华文仿宋" w:hAnsi="华文仿宋" w:eastAsia="华文仿宋" w:cs="华文仿宋"/>
          <w:color w:val="auto"/>
          <w:kern w:val="0"/>
          <w:sz w:val="28"/>
          <w:szCs w:val="28"/>
          <w:highlight w:val="none"/>
          <w:lang w:val="en-US" w:eastAsia="zh-CN"/>
        </w:rPr>
        <w:t>在职人员减少</w:t>
      </w:r>
      <w:r>
        <w:rPr>
          <w:rFonts w:hint="eastAsia" w:ascii="华文仿宋" w:hAnsi="华文仿宋" w:eastAsia="华文仿宋" w:cs="华文仿宋"/>
          <w:color w:val="auto"/>
          <w:kern w:val="0"/>
          <w:sz w:val="28"/>
          <w:szCs w:val="28"/>
          <w:highlight w:val="none"/>
        </w:rPr>
        <w:t>，</w:t>
      </w:r>
      <w:r>
        <w:rPr>
          <w:rFonts w:hint="eastAsia" w:ascii="华文仿宋" w:hAnsi="华文仿宋" w:eastAsia="华文仿宋" w:cs="华文仿宋"/>
          <w:color w:val="auto"/>
          <w:kern w:val="0"/>
          <w:sz w:val="28"/>
          <w:szCs w:val="28"/>
          <w:highlight w:val="none"/>
          <w:lang w:eastAsia="zh-CN"/>
        </w:rPr>
        <w:t>缴纳</w:t>
      </w:r>
      <w:r>
        <w:rPr>
          <w:rFonts w:hint="eastAsia" w:ascii="华文仿宋" w:hAnsi="华文仿宋" w:eastAsia="华文仿宋" w:cs="华文仿宋"/>
          <w:color w:val="auto"/>
          <w:kern w:val="0"/>
          <w:sz w:val="28"/>
          <w:szCs w:val="28"/>
          <w:highlight w:val="none"/>
        </w:rPr>
        <w:t>教职工“五险”比去年</w:t>
      </w:r>
      <w:r>
        <w:rPr>
          <w:rFonts w:hint="eastAsia" w:ascii="华文仿宋" w:hAnsi="华文仿宋" w:eastAsia="华文仿宋" w:cs="华文仿宋"/>
          <w:color w:val="auto"/>
          <w:kern w:val="0"/>
          <w:sz w:val="28"/>
          <w:szCs w:val="28"/>
          <w:highlight w:val="none"/>
          <w:lang w:val="en-US" w:eastAsia="zh-CN"/>
        </w:rPr>
        <w:t>少</w:t>
      </w:r>
      <w:r>
        <w:rPr>
          <w:rFonts w:hint="eastAsia" w:ascii="华文仿宋" w:hAnsi="华文仿宋" w:eastAsia="华文仿宋" w:cs="华文仿宋"/>
          <w:color w:val="auto"/>
          <w:kern w:val="0"/>
          <w:sz w:val="28"/>
          <w:szCs w:val="28"/>
          <w:highlight w:val="none"/>
          <w:lang w:eastAsia="zh-CN"/>
        </w:rPr>
        <w:t>。</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112.23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106.75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95.12%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教职工</w:t>
            </w:r>
            <w:r>
              <w:rPr>
                <w:rFonts w:hint="eastAsia" w:ascii="宋体" w:hAnsi="宋体" w:eastAsia="宋体" w:cs="宋体"/>
                <w:i w:val="0"/>
                <w:iCs w:val="0"/>
                <w:color w:val="auto"/>
                <w:sz w:val="20"/>
                <w:szCs w:val="20"/>
                <w:highlight w:val="none"/>
                <w:u w:val="none"/>
                <w:lang w:val="en-US" w:eastAsia="zh-CN"/>
              </w:rPr>
              <w:t>基本养老保险支出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华文仿宋" w:hAnsi="华文仿宋" w:eastAsia="华文仿宋" w:cs="华文仿宋"/>
                <w:color w:val="auto"/>
                <w:kern w:val="0"/>
                <w:sz w:val="21"/>
                <w:szCs w:val="21"/>
                <w:highlight w:val="none"/>
                <w:lang w:val="en-US" w:eastAsia="zh-CN"/>
              </w:rPr>
              <w:t>在职人员减少</w:t>
            </w:r>
            <w:r>
              <w:rPr>
                <w:rFonts w:hint="eastAsia" w:ascii="华文仿宋" w:hAnsi="华文仿宋" w:eastAsia="华文仿宋" w:cs="华文仿宋"/>
                <w:color w:val="auto"/>
                <w:kern w:val="0"/>
                <w:sz w:val="21"/>
                <w:szCs w:val="21"/>
                <w:highlight w:val="none"/>
              </w:rPr>
              <w:t>，</w:t>
            </w:r>
            <w:r>
              <w:rPr>
                <w:rFonts w:hint="eastAsia" w:ascii="华文仿宋" w:hAnsi="华文仿宋" w:eastAsia="华文仿宋" w:cs="华文仿宋"/>
                <w:color w:val="auto"/>
                <w:kern w:val="0"/>
                <w:sz w:val="21"/>
                <w:szCs w:val="21"/>
                <w:highlight w:val="none"/>
                <w:lang w:eastAsia="zh-CN"/>
              </w:rPr>
              <w:t>缴纳</w:t>
            </w:r>
            <w:r>
              <w:rPr>
                <w:rFonts w:hint="eastAsia" w:ascii="华文仿宋" w:hAnsi="华文仿宋" w:eastAsia="华文仿宋" w:cs="华文仿宋"/>
                <w:color w:val="auto"/>
                <w:kern w:val="0"/>
                <w:sz w:val="21"/>
                <w:szCs w:val="21"/>
                <w:highlight w:val="none"/>
              </w:rPr>
              <w:t>教职工“五险”比去年</w:t>
            </w:r>
            <w:r>
              <w:rPr>
                <w:rFonts w:hint="eastAsia" w:ascii="华文仿宋" w:hAnsi="华文仿宋" w:eastAsia="华文仿宋" w:cs="华文仿宋"/>
                <w:color w:val="auto"/>
                <w:kern w:val="0"/>
                <w:sz w:val="21"/>
                <w:szCs w:val="21"/>
                <w:highlight w:val="none"/>
                <w:lang w:val="en-US" w:eastAsia="zh-CN"/>
              </w:rPr>
              <w:t>少</w:t>
            </w:r>
            <w:r>
              <w:rPr>
                <w:rFonts w:hint="eastAsia" w:ascii="华文仿宋" w:hAnsi="华文仿宋" w:eastAsia="华文仿宋" w:cs="华文仿宋"/>
                <w:color w:val="auto"/>
                <w:kern w:val="0"/>
                <w:sz w:val="21"/>
                <w:szCs w:val="21"/>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112.23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106.75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color w:val="auto"/>
          <w:sz w:val="32"/>
          <w:szCs w:val="32"/>
          <w:highlight w:val="none"/>
        </w:rPr>
      </w:pPr>
    </w:p>
    <w:p>
      <w:pPr>
        <w:jc w:val="center"/>
        <w:rPr>
          <w:rFonts w:ascii="仿宋" w:hAnsi="仿宋" w:eastAsia="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autoSpaceDE w:val="0"/>
        <w:autoSpaceDN w:val="0"/>
        <w:adjustRightInd w:val="0"/>
        <w:spacing w:line="560" w:lineRule="exact"/>
        <w:ind w:firstLine="627" w:firstLineChars="196"/>
        <w:jc w:val="left"/>
        <w:rPr>
          <w:rFonts w:hint="eastAsia" w:ascii="华文仿宋" w:hAnsi="华文仿宋" w:eastAsia="华文仿宋" w:cs="华文仿宋"/>
          <w:color w:val="auto"/>
          <w:kern w:val="0"/>
          <w:sz w:val="32"/>
          <w:szCs w:val="32"/>
          <w:highlight w:val="none"/>
          <w:lang w:eastAsia="zh-CN"/>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四</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住房保障支出</w:t>
      </w:r>
      <w:r>
        <w:rPr>
          <w:rFonts w:ascii="仿宋" w:hAnsi="仿宋" w:eastAsia="仿宋"/>
          <w:color w:val="auto"/>
          <w:sz w:val="32"/>
          <w:highlight w:val="none"/>
          <w:u w:color="auto"/>
        </w:rPr>
        <w:t>（221</w:t>
      </w:r>
      <w:r>
        <w:rPr>
          <w:rFonts w:hint="eastAsia" w:ascii="仿宋" w:hAnsi="仿宋" w:eastAsia="仿宋"/>
          <w:color w:val="auto"/>
          <w:sz w:val="32"/>
          <w:szCs w:val="32"/>
          <w:highlight w:val="none"/>
        </w:rPr>
        <w:t>类）年初预算为</w:t>
      </w:r>
      <w:r>
        <w:rPr>
          <w:rFonts w:ascii="仿宋" w:hAnsi="仿宋" w:eastAsia="仿宋"/>
          <w:color w:val="auto"/>
          <w:sz w:val="32"/>
          <w:szCs w:val="32"/>
          <w:highlight w:val="none"/>
        </w:rPr>
        <w:t>84.17</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80.01</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95.06%</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原因是：在职</w:t>
      </w:r>
      <w:r>
        <w:rPr>
          <w:rFonts w:hint="eastAsia" w:ascii="华文仿宋" w:hAnsi="华文仿宋" w:eastAsia="华文仿宋" w:cs="华文仿宋"/>
          <w:color w:val="auto"/>
          <w:kern w:val="0"/>
          <w:sz w:val="32"/>
          <w:szCs w:val="32"/>
          <w:highlight w:val="none"/>
          <w:lang w:val="en-US" w:eastAsia="zh-CN"/>
        </w:rPr>
        <w:t>人员减少。</w:t>
      </w:r>
    </w:p>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eastAsia="仿宋"/>
          <w:color w:val="auto"/>
          <w:highlight w:val="none"/>
          <w:lang w:val="en-US" w:eastAsia="zh-CN"/>
        </w:rPr>
      </w:pP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2"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84.17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80.01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95.06%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imes New Roman" w:hAnsi="Times New Roman" w:eastAsia="仿宋_GB2312" w:cs="Times New Roman"/>
                <w:color w:val="auto"/>
                <w:kern w:val="0"/>
                <w:sz w:val="22"/>
                <w:szCs w:val="22"/>
                <w:highlight w:val="none"/>
              </w:rPr>
              <w:t>住房公积金缴费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suppressLineNumbers w:val="0"/>
              <w:autoSpaceDE w:val="0"/>
              <w:autoSpaceDN w:val="0"/>
              <w:adjustRightInd w:val="0"/>
              <w:spacing w:before="0" w:beforeAutospacing="0" w:after="0" w:afterAutospacing="0" w:line="560" w:lineRule="exact"/>
              <w:ind w:left="0" w:right="0" w:firstLine="411" w:firstLineChars="196"/>
              <w:jc w:val="left"/>
              <w:rPr>
                <w:rFonts w:hint="eastAsia" w:ascii="华文仿宋" w:hAnsi="华文仿宋" w:eastAsia="华文仿宋" w:cs="华文仿宋"/>
                <w:color w:val="auto"/>
                <w:kern w:val="0"/>
                <w:sz w:val="24"/>
                <w:szCs w:val="24"/>
                <w:highlight w:val="none"/>
                <w:lang w:eastAsia="zh-CN"/>
              </w:rPr>
            </w:pPr>
            <w:r>
              <w:rPr>
                <w:rFonts w:hint="eastAsia" w:ascii="华文仿宋" w:hAnsi="华文仿宋" w:eastAsia="华文仿宋" w:cs="华文仿宋"/>
                <w:color w:val="auto"/>
                <w:kern w:val="0"/>
                <w:sz w:val="21"/>
                <w:szCs w:val="21"/>
                <w:highlight w:val="none"/>
                <w:lang w:val="en-US" w:eastAsia="zh-CN"/>
              </w:rPr>
              <w:t>在职人员动减少</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84.17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80.01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color w:val="auto"/>
          <w:sz w:val="32"/>
          <w:szCs w:val="32"/>
          <w:highlight w:val="none"/>
        </w:rPr>
      </w:pPr>
    </w:p>
    <w:p>
      <w:pPr>
        <w:jc w:val="center"/>
        <w:rPr>
          <w:rFonts w:ascii="仿宋" w:hAnsi="仿宋" w:eastAsia="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2396490"/>
            <wp:effectExtent l="4445" t="4445" r="16510" b="184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eastAsia="仿宋"/>
          <w:color w:val="auto"/>
          <w:highlight w:val="none"/>
          <w:lang w:val="en-US" w:eastAsia="zh-CN"/>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五</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其他支出</w:t>
      </w:r>
      <w:r>
        <w:rPr>
          <w:rFonts w:ascii="仿宋" w:hAnsi="仿宋" w:eastAsia="仿宋"/>
          <w:color w:val="auto"/>
          <w:sz w:val="32"/>
          <w:highlight w:val="none"/>
          <w:u w:color="auto"/>
        </w:rPr>
        <w:t>（229</w:t>
      </w:r>
      <w:r>
        <w:rPr>
          <w:rFonts w:hint="eastAsia" w:ascii="仿宋" w:hAnsi="仿宋" w:eastAsia="仿宋"/>
          <w:color w:val="auto"/>
          <w:sz w:val="32"/>
          <w:szCs w:val="32"/>
          <w:highlight w:val="none"/>
        </w:rPr>
        <w:t>类）年初预算为</w:t>
      </w:r>
      <w:r>
        <w:rPr>
          <w:rFonts w:ascii="仿宋" w:hAnsi="仿宋" w:eastAsia="仿宋"/>
          <w:color w:val="auto"/>
          <w:sz w:val="32"/>
          <w:szCs w:val="32"/>
          <w:highlight w:val="none"/>
        </w:rPr>
        <w:t>0.00</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174.26</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100.00%</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华文仿宋" w:hAnsi="华文仿宋" w:eastAsia="华文仿宋" w:cs="华文仿宋"/>
          <w:color w:val="auto"/>
          <w:kern w:val="0"/>
          <w:sz w:val="32"/>
          <w:szCs w:val="32"/>
          <w:highlight w:val="none"/>
          <w:lang w:val="en-US" w:eastAsia="zh-CN"/>
        </w:rPr>
        <w:t>在职人员减少</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174.26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b w:val="0"/>
                <w:bCs w:val="0"/>
                <w:color w:val="auto"/>
                <w:sz w:val="18"/>
                <w:szCs w:val="18"/>
                <w:highlight w:val="none"/>
                <w:lang w:eastAsia="zh-CN"/>
              </w:rPr>
              <w:t>在职人员</w:t>
            </w:r>
            <w:r>
              <w:rPr>
                <w:rFonts w:hint="eastAsia" w:ascii="仿宋" w:hAnsi="仿宋" w:eastAsia="仿宋" w:cs="仿宋"/>
                <w:b w:val="0"/>
                <w:bCs w:val="0"/>
                <w:color w:val="auto"/>
                <w:sz w:val="18"/>
                <w:szCs w:val="18"/>
                <w:highlight w:val="none"/>
                <w:lang w:val="en-US" w:eastAsia="zh-CN"/>
              </w:rPr>
              <w:t>奖励性补贴、伙食补助费和绩效考评奖金发放</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华文仿宋" w:hAnsi="华文仿宋" w:eastAsia="华文仿宋" w:cs="华文仿宋"/>
                <w:color w:val="auto"/>
                <w:kern w:val="0"/>
                <w:sz w:val="21"/>
                <w:szCs w:val="21"/>
                <w:highlight w:val="none"/>
                <w:lang w:val="en-US" w:eastAsia="zh-CN"/>
              </w:rPr>
              <w:t>在职人员减少</w:t>
            </w:r>
            <w:r>
              <w:rPr>
                <w:rFonts w:hint="eastAsia" w:ascii="仿宋" w:hAnsi="仿宋" w:eastAsia="仿宋" w:cs="仿宋"/>
                <w:color w:val="auto"/>
                <w:kern w:val="2"/>
                <w:sz w:val="21"/>
                <w:szCs w:val="21"/>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174.26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color w:val="auto"/>
          <w:sz w:val="32"/>
          <w:szCs w:val="32"/>
          <w:highlight w:val="none"/>
        </w:rPr>
      </w:pPr>
    </w:p>
    <w:p>
      <w:pPr>
        <w:jc w:val="center"/>
        <w:rPr>
          <w:rFonts w:ascii="仿宋" w:hAnsi="仿宋" w:eastAsia="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三、2022年度一般公共预算财政拨款基本支出决算情况说明</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环江毛南族自治县</w:t>
      </w:r>
      <w:r>
        <w:rPr>
          <w:rFonts w:hint="eastAsia" w:ascii="仿宋" w:hAnsi="仿宋" w:eastAsia="仿宋" w:cs="仿宋"/>
          <w:color w:val="auto"/>
          <w:sz w:val="32"/>
          <w:szCs w:val="32"/>
          <w:highlight w:val="none"/>
        </w:rPr>
        <w:t>第一小学2022年度一般公共预算财政拨款基本支出</w:t>
      </w:r>
      <w:r>
        <w:rPr>
          <w:rFonts w:ascii="仿宋" w:hAnsi="仿宋" w:eastAsia="仿宋" w:cs="仿宋"/>
          <w:color w:val="auto"/>
          <w:sz w:val="32"/>
          <w:highlight w:val="none"/>
          <w:u w:color="auto"/>
        </w:rPr>
        <w:t>1185.18</w:t>
      </w:r>
      <w:r>
        <w:rPr>
          <w:rFonts w:hint="eastAsia" w:ascii="仿宋" w:hAnsi="仿宋" w:eastAsia="仿宋" w:cs="仿宋"/>
          <w:color w:val="auto"/>
          <w:sz w:val="32"/>
          <w:szCs w:val="32"/>
          <w:highlight w:val="none"/>
        </w:rPr>
        <w:t>万元，</w:t>
      </w:r>
      <w:r>
        <w:rPr>
          <w:rFonts w:hint="default" w:ascii="仿宋_GB2312" w:hAnsi="微软雅黑" w:eastAsia="仿宋_GB2312" w:cs="仿宋_GB2312"/>
          <w:i w:val="0"/>
          <w:iCs w:val="0"/>
          <w:caps w:val="0"/>
          <w:color w:val="auto"/>
          <w:spacing w:val="0"/>
          <w:sz w:val="31"/>
          <w:szCs w:val="31"/>
          <w:highlight w:val="none"/>
          <w:shd w:val="clear" w:color="auto" w:fill="FFFFFF"/>
        </w:rPr>
        <w:t>其中：人员经费支出</w:t>
      </w:r>
      <w:r>
        <w:rPr>
          <w:rFonts w:hint="eastAsia" w:ascii="仿宋" w:hAnsi="仿宋" w:eastAsia="仿宋" w:cs="仿宋"/>
          <w:color w:val="auto"/>
          <w:sz w:val="32"/>
          <w:szCs w:val="32"/>
          <w:highlight w:val="none"/>
        </w:rPr>
        <w:t>1096.40</w:t>
      </w:r>
      <w:r>
        <w:rPr>
          <w:rFonts w:hint="default" w:ascii="仿宋_GB2312" w:hAnsi="微软雅黑" w:eastAsia="仿宋_GB2312" w:cs="仿宋_GB2312"/>
          <w:i w:val="0"/>
          <w:iCs w:val="0"/>
          <w:caps w:val="0"/>
          <w:color w:val="auto"/>
          <w:spacing w:val="0"/>
          <w:sz w:val="31"/>
          <w:szCs w:val="31"/>
          <w:highlight w:val="none"/>
          <w:shd w:val="clear" w:color="auto" w:fill="FFFFFF"/>
        </w:rPr>
        <w:t>万元，公用经费支出</w:t>
      </w:r>
      <w:r>
        <w:rPr>
          <w:rFonts w:hint="eastAsia" w:ascii="仿宋" w:hAnsi="仿宋" w:eastAsia="仿宋" w:cs="仿宋"/>
          <w:color w:val="auto"/>
          <w:sz w:val="32"/>
          <w:szCs w:val="32"/>
          <w:highlight w:val="none"/>
        </w:rPr>
        <w:t>88.79</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 w:hAnsi="仿宋" w:eastAsia="仿宋" w:cs="仿宋"/>
          <w:color w:val="auto"/>
          <w:sz w:val="32"/>
          <w:szCs w:val="32"/>
          <w:highlight w:val="none"/>
        </w:rPr>
        <w:t>支出具体情况如下：</w:t>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工资福利支出</w:t>
      </w:r>
      <w:r>
        <w:rPr>
          <w:rFonts w:ascii="仿宋" w:hAnsi="仿宋" w:eastAsia="仿宋" w:cs="仿宋"/>
          <w:color w:val="auto"/>
          <w:sz w:val="32"/>
          <w:highlight w:val="none"/>
          <w:u w:color="auto"/>
        </w:rPr>
        <w:t>1014.02万元，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117.43%</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sz w:val="32"/>
          <w:szCs w:val="32"/>
          <w:highlight w:val="none"/>
        </w:rPr>
        <w:t>（简要说明预决算差异）</w:t>
      </w:r>
      <w:r>
        <w:rPr>
          <w:rFonts w:hint="eastAsia" w:ascii="仿宋" w:hAnsi="仿宋" w:eastAsia="仿宋" w:cs="仿宋"/>
          <w:color w:val="auto"/>
          <w:kern w:val="2"/>
          <w:sz w:val="32"/>
          <w:szCs w:val="32"/>
          <w:highlight w:val="none"/>
          <w:lang w:val="en-US" w:eastAsia="zh-CN" w:bidi="ar"/>
        </w:rPr>
        <w:t>主要原因是：人员工资增资，社保缴费基数增加。</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30101基本工资400.09万元，30102津贴补贴28.17万元，30103奖金168.70万元，30107绩效工资174.56万元，30108机关事业单位基本养老保险缴费106.75万元，30110职工基本医疗保险缴费48.38万元，30112其他社会保障缴费6.00万元，30113住房公积金80.01万元，30199其他工资福利支出1.36万元。</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商品和服务支出</w:t>
      </w:r>
      <w:r>
        <w:rPr>
          <w:rFonts w:ascii="仿宋" w:hAnsi="仿宋" w:eastAsia="仿宋" w:cs="仿宋"/>
          <w:color w:val="auto"/>
          <w:sz w:val="32"/>
          <w:highlight w:val="none"/>
          <w:u w:color="auto"/>
        </w:rPr>
        <w:t>88.79万元，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632.86%</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olor w:val="auto"/>
          <w:sz w:val="32"/>
          <w:szCs w:val="32"/>
          <w:highlight w:val="none"/>
          <w:lang w:val="en-US" w:eastAsia="zh-CN"/>
        </w:rPr>
        <w:t>年中经费结算调整预算科目金额。</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30201办公费61.74万元，30205水费0.55万元，30206电费1.35万元，30207邮电费0.65万元，30211差旅费2.49万元，30213维修（护）费7.71万元，30226劳务费0.28万元，30228工会经费14.03万元。</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2339975"/>
            <wp:effectExtent l="4445" t="4445" r="16510" b="17780"/>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对个人和家庭的补助</w:t>
      </w:r>
      <w:r>
        <w:rPr>
          <w:rFonts w:ascii="仿宋" w:hAnsi="仿宋" w:eastAsia="仿宋" w:cs="仿宋"/>
          <w:color w:val="auto"/>
          <w:sz w:val="32"/>
          <w:highlight w:val="none"/>
          <w:u w:color="auto"/>
        </w:rPr>
        <w:t>82.38万元，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168.12%</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主要原因是：抚恤金和生活补助年初预算少了。</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30304抚恤金16.50万元，30305生活补助51.85万元，30308助学金10.83万元，30399其他对个人和家庭的补助3.21万元。</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债务利息及费用支出</w:t>
      </w:r>
      <w:r>
        <w:rPr>
          <w:rFonts w:ascii="仿宋" w:hAnsi="仿宋" w:eastAsia="仿宋" w:cs="仿宋"/>
          <w:color w:val="auto"/>
          <w:sz w:val="32"/>
          <w:highlight w:val="none"/>
          <w:u w:color="auto"/>
        </w:rPr>
        <w:t>0.00万元，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0%</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主要原因是：本单位</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无</w:t>
      </w:r>
      <w:r>
        <w:rPr>
          <w:rFonts w:hint="eastAsia" w:ascii="仿宋" w:hAnsi="仿宋" w:eastAsia="仿宋" w:cs="仿宋"/>
          <w:color w:val="auto"/>
          <w:sz w:val="32"/>
          <w:szCs w:val="32"/>
          <w:highlight w:val="none"/>
        </w:rPr>
        <w:t>债务利息及费用支出</w:t>
      </w:r>
      <w:r>
        <w:rPr>
          <w:rFonts w:hint="eastAsia" w:ascii="仿宋" w:hAnsi="仿宋" w:eastAsia="仿宋" w:cs="仿宋"/>
          <w:color w:val="auto"/>
          <w:sz w:val="32"/>
          <w:szCs w:val="32"/>
          <w:highlight w:val="none"/>
          <w:lang w:eastAsia="zh-CN"/>
        </w:rPr>
        <w:t>。</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资本性支出</w:t>
      </w:r>
      <w:r>
        <w:rPr>
          <w:rFonts w:ascii="仿宋" w:hAnsi="仿宋" w:eastAsia="仿宋" w:cs="仿宋"/>
          <w:color w:val="auto"/>
          <w:sz w:val="32"/>
          <w:highlight w:val="none"/>
          <w:u w:color="auto"/>
        </w:rPr>
        <w:t>0.00万元，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0%</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主要原因是：本单位无</w:t>
      </w:r>
      <w:r>
        <w:rPr>
          <w:rFonts w:hint="eastAsia" w:ascii="仿宋" w:hAnsi="仿宋" w:eastAsia="仿宋" w:cs="仿宋"/>
          <w:color w:val="auto"/>
          <w:sz w:val="32"/>
          <w:szCs w:val="32"/>
          <w:highlight w:val="none"/>
        </w:rPr>
        <w:t>资本性支出</w:t>
      </w:r>
      <w:r>
        <w:rPr>
          <w:rFonts w:hint="eastAsia" w:ascii="仿宋" w:hAnsi="仿宋" w:eastAsia="仿宋" w:cs="仿宋"/>
          <w:color w:val="auto"/>
          <w:sz w:val="32"/>
          <w:szCs w:val="32"/>
          <w:highlight w:val="none"/>
          <w:lang w:eastAsia="zh-CN"/>
        </w:rPr>
        <w:t>。</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其他支出</w:t>
      </w:r>
      <w:r>
        <w:rPr>
          <w:rFonts w:ascii="仿宋" w:hAnsi="仿宋" w:eastAsia="仿宋" w:cs="仿宋"/>
          <w:color w:val="auto"/>
          <w:sz w:val="32"/>
          <w:highlight w:val="none"/>
          <w:u w:color="auto"/>
        </w:rPr>
        <w:t>0.00万元，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0%</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主要原因是：本单位无</w:t>
      </w:r>
      <w:r>
        <w:rPr>
          <w:rFonts w:hint="eastAsia" w:ascii="仿宋" w:hAnsi="仿宋" w:eastAsia="仿宋" w:cs="仿宋"/>
          <w:color w:val="auto"/>
          <w:sz w:val="32"/>
          <w:szCs w:val="32"/>
          <w:highlight w:val="none"/>
          <w:lang w:eastAsia="zh-CN"/>
        </w:rPr>
        <w:t>其他</w:t>
      </w:r>
      <w:r>
        <w:rPr>
          <w:rFonts w:hint="eastAsia" w:ascii="仿宋" w:hAnsi="仿宋" w:eastAsia="仿宋" w:cs="仿宋"/>
          <w:color w:val="auto"/>
          <w:sz w:val="32"/>
          <w:szCs w:val="32"/>
          <w:highlight w:val="none"/>
        </w:rPr>
        <w:t>支出</w:t>
      </w:r>
      <w:r>
        <w:rPr>
          <w:rFonts w:hint="eastAsia" w:ascii="仿宋" w:hAnsi="仿宋" w:eastAsia="仿宋" w:cs="仿宋"/>
          <w:color w:val="auto"/>
          <w:sz w:val="32"/>
          <w:szCs w:val="32"/>
          <w:highlight w:val="none"/>
          <w:lang w:eastAsia="zh-CN"/>
        </w:rPr>
        <w:t>。</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p>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四、2022年度政府性基金支出决算情况</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环江毛南族自治县</w:t>
      </w:r>
      <w:r>
        <w:rPr>
          <w:rFonts w:hint="eastAsia" w:ascii="仿宋" w:hAnsi="仿宋" w:eastAsia="仿宋" w:cs="仿宋"/>
          <w:color w:val="auto"/>
          <w:sz w:val="32"/>
          <w:szCs w:val="32"/>
          <w:highlight w:val="none"/>
        </w:rPr>
        <w:t>第一小学2022年度政府性基金支出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万元，较2021年度决算数</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增长0%</w:t>
      </w:r>
      <w:r>
        <w:rPr>
          <w:rFonts w:hint="eastAsia" w:ascii="仿宋" w:hAnsi="仿宋" w:eastAsia="仿宋" w:cs="仿宋"/>
          <w:color w:val="auto"/>
          <w:sz w:val="32"/>
          <w:szCs w:val="32"/>
          <w:highlight w:val="none"/>
        </w:rPr>
        <w:t>其中：基本支出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万元，项目支出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环江毛南族自治县</w:t>
      </w:r>
      <w:r>
        <w:rPr>
          <w:rFonts w:hint="eastAsia" w:ascii="仿宋" w:hAnsi="仿宋" w:eastAsia="仿宋" w:cs="仿宋"/>
          <w:color w:val="auto"/>
          <w:sz w:val="32"/>
          <w:szCs w:val="32"/>
          <w:highlight w:val="none"/>
        </w:rPr>
        <w:t>第一小学2022年度政府性基金支出年初预算为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万元，支出决算为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highlight w:val="none"/>
          <w:lang w:eastAsia="zh-CN"/>
        </w:rPr>
        <w:t>环江毛南族自治县</w:t>
      </w:r>
      <w:r>
        <w:rPr>
          <w:rFonts w:hint="eastAsia" w:ascii="仿宋_GB2312" w:hAnsi="Times New Roman" w:eastAsia="仿宋_GB2312" w:cs="Times New Roman"/>
          <w:color w:val="auto"/>
          <w:sz w:val="32"/>
          <w:szCs w:val="32"/>
          <w:highlight w:val="none"/>
        </w:rPr>
        <w:t>第一小学</w:t>
      </w:r>
      <w:r>
        <w:rPr>
          <w:rFonts w:ascii="仿宋_GB2312" w:hAnsi="仿宋_GB2312" w:eastAsia="仿宋_GB2312" w:cs="仿宋_GB2312"/>
          <w:color w:val="auto"/>
          <w:sz w:val="32"/>
          <w:highlight w:val="none"/>
          <w:u w:color="auto"/>
        </w:rPr>
        <w:t>没有政府性基金收入，也没有政府性基金收入安排的支出</w:t>
      </w:r>
      <w:r>
        <w:rPr>
          <w:rFonts w:hint="eastAsia" w:ascii="仿宋_GB2312" w:hAnsi="Times New Roman" w:eastAsia="仿宋_GB2312" w:cs="Times New Roman"/>
          <w:color w:val="auto"/>
          <w:sz w:val="32"/>
          <w:szCs w:val="32"/>
          <w:highlight w:val="none"/>
          <w:lang w:eastAsia="zh-CN"/>
        </w:rPr>
        <w:t>。</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五、2022年度国有资本经营预算支出决算情况</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环江毛南族自治县</w:t>
      </w:r>
      <w:r>
        <w:rPr>
          <w:rFonts w:hint="eastAsia" w:ascii="仿宋" w:hAnsi="仿宋" w:eastAsia="仿宋" w:cs="仿宋"/>
          <w:color w:val="auto"/>
          <w:sz w:val="32"/>
          <w:szCs w:val="32"/>
          <w:highlight w:val="none"/>
        </w:rPr>
        <w:t>第一小学2022年度国有资本经营预算支出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万元。其中：基本支出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万元，项目支出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环江毛南族自治县</w:t>
      </w:r>
      <w:r>
        <w:rPr>
          <w:rFonts w:hint="eastAsia" w:ascii="仿宋" w:hAnsi="仿宋" w:eastAsia="仿宋" w:cs="仿宋"/>
          <w:color w:val="auto"/>
          <w:sz w:val="32"/>
          <w:szCs w:val="32"/>
          <w:highlight w:val="none"/>
        </w:rPr>
        <w:t>第一小学2022 年度国有资本经营预算支出年初预算为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万元，支出决算为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ind w:firstLine="640" w:firstLineChars="200"/>
        <w:jc w:val="left"/>
        <w:rPr>
          <w:rFonts w:hint="eastAsia" w:ascii="仿宋" w:hAnsi="仿宋" w:eastAsia="仿宋" w:cs="仿宋"/>
          <w:color w:val="auto"/>
          <w:sz w:val="32"/>
          <w:szCs w:val="32"/>
          <w:highlight w:val="none"/>
        </w:rPr>
      </w:pPr>
      <w:bookmarkStart w:id="4" w:name="PO_part3A5B1C1DiffReason1"/>
      <w:r>
        <w:rPr>
          <w:rFonts w:hint="eastAsia" w:ascii="仿宋_GB2312" w:hAnsi="Times New Roman" w:eastAsia="仿宋_GB2312" w:cs="Times New Roman"/>
          <w:color w:val="auto"/>
          <w:sz w:val="32"/>
          <w:szCs w:val="32"/>
          <w:highlight w:val="none"/>
          <w:lang w:eastAsia="zh-CN"/>
        </w:rPr>
        <w:t>环江毛南族自治县</w:t>
      </w:r>
      <w:r>
        <w:rPr>
          <w:rFonts w:hint="eastAsia" w:ascii="仿宋_GB2312" w:hAnsi="Times New Roman" w:eastAsia="仿宋_GB2312" w:cs="Times New Roman"/>
          <w:color w:val="auto"/>
          <w:sz w:val="32"/>
          <w:szCs w:val="32"/>
          <w:highlight w:val="none"/>
        </w:rPr>
        <w:t>第一小学</w:t>
      </w:r>
      <w:r>
        <w:rPr>
          <w:rFonts w:ascii="仿宋_GB2312" w:hAnsi="仿宋_GB2312" w:eastAsia="仿宋_GB2312" w:cs="仿宋_GB2312"/>
          <w:color w:val="auto"/>
          <w:sz w:val="32"/>
          <w:highlight w:val="none"/>
          <w:u w:color="auto"/>
        </w:rPr>
        <w:t>没有国有资本经营预算收入，也没有国有资本经营预算收入</w:t>
      </w:r>
      <w:r>
        <w:rPr>
          <w:rFonts w:hint="eastAsia" w:ascii="仿宋_GB2312" w:hAnsi="Times New Roman" w:eastAsia="仿宋_GB2312" w:cs="Times New Roman"/>
          <w:color w:val="auto"/>
          <w:sz w:val="32"/>
          <w:szCs w:val="32"/>
          <w:highlight w:val="none"/>
        </w:rPr>
        <w:t>安排的支出。</w:t>
      </w:r>
      <w:bookmarkEnd w:id="4"/>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2022年预算财政拨款安排的“三公”经费支出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主要原因是：本单位无。</w:t>
      </w:r>
      <w:r>
        <w:rPr>
          <w:rFonts w:hint="eastAsia" w:ascii="仿宋" w:hAnsi="仿宋" w:eastAsia="仿宋" w:cs="仿宋"/>
          <w:color w:val="auto"/>
          <w:sz w:val="32"/>
          <w:szCs w:val="32"/>
          <w:highlight w:val="none"/>
        </w:rPr>
        <w:t>其中：因公出国（境）费支出决算</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万元，公务用车购置及运行费支出决算</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万元，公务接待费支出决算</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具体情况如下：</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（一）因公出国（境）费支出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highlight w:val="none"/>
          <w:lang w:val="en-US" w:eastAsia="zh-CN"/>
        </w:rPr>
        <w:t>原因是：</w:t>
      </w:r>
      <w:r>
        <w:rPr>
          <w:rFonts w:hint="eastAsia" w:ascii="仿宋" w:hAnsi="仿宋" w:eastAsia="仿宋" w:cs="仿宋"/>
          <w:color w:val="auto"/>
          <w:kern w:val="2"/>
          <w:sz w:val="32"/>
          <w:szCs w:val="32"/>
          <w:highlight w:val="none"/>
          <w:lang w:val="en-US" w:eastAsia="zh-CN" w:bidi="ar"/>
        </w:rPr>
        <w:t>本单位无</w:t>
      </w:r>
      <w:r>
        <w:rPr>
          <w:rFonts w:hint="eastAsia" w:ascii="仿宋_GB2312" w:hAnsi="Times New Roman" w:eastAsia="仿宋_GB2312" w:cs="Times New Roman"/>
          <w:color w:val="auto"/>
          <w:sz w:val="32"/>
          <w:szCs w:val="32"/>
          <w:highlight w:val="none"/>
          <w:lang w:val="en-US" w:eastAsia="zh-CN"/>
        </w:rPr>
        <w:t>。</w:t>
      </w:r>
      <w:r>
        <w:rPr>
          <w:rFonts w:hint="eastAsia" w:ascii="仿宋_GB2312" w:hAnsi="Times New Roman" w:eastAsia="仿宋_GB2312" w:cs="Times New Roman"/>
          <w:color w:val="auto"/>
          <w:sz w:val="32"/>
          <w:szCs w:val="32"/>
          <w:highlight w:val="none"/>
        </w:rPr>
        <w:t>全年使用财政拨款安排</w:t>
      </w:r>
      <w:r>
        <w:rPr>
          <w:rFonts w:hint="eastAsia" w:ascii="仿宋_GB2312" w:hAnsi="Times New Roman" w:eastAsia="仿宋_GB2312" w:cs="Times New Roman"/>
          <w:color w:val="auto"/>
          <w:sz w:val="32"/>
          <w:szCs w:val="32"/>
          <w:highlight w:val="none"/>
          <w:u w:val="single"/>
        </w:rPr>
        <w:t xml:space="preserve">  </w:t>
      </w:r>
      <w:r>
        <w:rPr>
          <w:rFonts w:hint="eastAsia" w:ascii="仿宋_GB2312" w:hAnsi="Times New Roman" w:eastAsia="仿宋_GB2312" w:cs="Times New Roman"/>
          <w:color w:val="auto"/>
          <w:sz w:val="32"/>
          <w:szCs w:val="32"/>
          <w:highlight w:val="none"/>
          <w:u w:val="single"/>
          <w:lang w:val="en-US" w:eastAsia="zh-CN"/>
        </w:rPr>
        <w:t>0</w:t>
      </w:r>
      <w:r>
        <w:rPr>
          <w:rFonts w:hint="eastAsia" w:ascii="仿宋_GB2312" w:hAnsi="Times New Roman" w:eastAsia="仿宋_GB2312" w:cs="Times New Roman"/>
          <w:color w:val="auto"/>
          <w:sz w:val="32"/>
          <w:szCs w:val="32"/>
          <w:highlight w:val="none"/>
          <w:u w:val="single"/>
        </w:rPr>
        <w:t xml:space="preserve">  </w:t>
      </w:r>
      <w:r>
        <w:rPr>
          <w:rFonts w:hint="eastAsia" w:ascii="仿宋_GB2312" w:hAnsi="Times New Roman" w:eastAsia="仿宋_GB2312" w:cs="Times New Roman"/>
          <w:color w:val="auto"/>
          <w:sz w:val="32"/>
          <w:szCs w:val="32"/>
          <w:highlight w:val="none"/>
        </w:rPr>
        <w:t>（局、办、镇）机关、</w:t>
      </w:r>
      <w:r>
        <w:rPr>
          <w:rFonts w:hint="eastAsia" w:ascii="仿宋_GB2312" w:hAnsi="Times New Roman" w:eastAsia="仿宋_GB2312" w:cs="Times New Roman"/>
          <w:color w:val="auto"/>
          <w:sz w:val="32"/>
          <w:szCs w:val="32"/>
          <w:highlight w:val="none"/>
          <w:u w:val="single"/>
        </w:rPr>
        <w:t xml:space="preserve"> </w:t>
      </w:r>
      <w:r>
        <w:rPr>
          <w:rFonts w:hint="eastAsia" w:ascii="仿宋_GB2312" w:hAnsi="Times New Roman" w:eastAsia="仿宋_GB2312" w:cs="Times New Roman"/>
          <w:color w:val="auto"/>
          <w:sz w:val="32"/>
          <w:szCs w:val="32"/>
          <w:highlight w:val="none"/>
          <w:u w:val="single"/>
          <w:lang w:val="en-US" w:eastAsia="zh-CN"/>
        </w:rPr>
        <w:t>0</w:t>
      </w:r>
      <w:r>
        <w:rPr>
          <w:rFonts w:hint="eastAsia" w:ascii="仿宋_GB2312" w:hAnsi="Times New Roman" w:eastAsia="仿宋_GB2312" w:cs="Times New Roman"/>
          <w:color w:val="auto"/>
          <w:sz w:val="32"/>
          <w:szCs w:val="32"/>
          <w:highlight w:val="none"/>
          <w:u w:val="single"/>
        </w:rPr>
        <w:t xml:space="preserve"> </w:t>
      </w:r>
      <w:r>
        <w:rPr>
          <w:rFonts w:hint="eastAsia" w:ascii="仿宋_GB2312" w:hAnsi="Times New Roman" w:eastAsia="仿宋_GB2312" w:cs="Times New Roman"/>
          <w:color w:val="auto"/>
          <w:sz w:val="32"/>
          <w:szCs w:val="32"/>
          <w:highlight w:val="none"/>
        </w:rPr>
        <w:t>个所属单位出国团组</w:t>
      </w:r>
      <w:r>
        <w:rPr>
          <w:rFonts w:hint="eastAsia" w:ascii="仿宋_GB2312" w:hAnsi="Times New Roman" w:eastAsia="仿宋_GB2312" w:cs="Times New Roman"/>
          <w:color w:val="auto"/>
          <w:sz w:val="32"/>
          <w:szCs w:val="32"/>
          <w:highlight w:val="none"/>
          <w:u w:val="single"/>
        </w:rPr>
        <w:t xml:space="preserve"> </w:t>
      </w:r>
      <w:r>
        <w:rPr>
          <w:rFonts w:hint="eastAsia" w:ascii="仿宋_GB2312" w:hAnsi="Times New Roman" w:eastAsia="仿宋_GB2312" w:cs="Times New Roman"/>
          <w:color w:val="auto"/>
          <w:sz w:val="32"/>
          <w:szCs w:val="32"/>
          <w:highlight w:val="none"/>
          <w:u w:val="single"/>
          <w:lang w:val="en-US" w:eastAsia="zh-CN"/>
        </w:rPr>
        <w:t>0</w:t>
      </w:r>
      <w:r>
        <w:rPr>
          <w:rFonts w:hint="eastAsia" w:ascii="仿宋_GB2312" w:hAnsi="Times New Roman" w:eastAsia="仿宋_GB2312" w:cs="Times New Roman"/>
          <w:color w:val="auto"/>
          <w:sz w:val="32"/>
          <w:szCs w:val="32"/>
          <w:highlight w:val="none"/>
          <w:u w:val="single"/>
        </w:rPr>
        <w:t xml:space="preserve"> </w:t>
      </w:r>
      <w:r>
        <w:rPr>
          <w:rFonts w:hint="eastAsia" w:ascii="仿宋_GB2312" w:hAnsi="Times New Roman" w:eastAsia="仿宋_GB2312" w:cs="Times New Roman"/>
          <w:color w:val="auto"/>
          <w:sz w:val="32"/>
          <w:szCs w:val="32"/>
          <w:highlight w:val="none"/>
        </w:rPr>
        <w:t>个，参加其他单位组织的出国团组</w:t>
      </w:r>
      <w:r>
        <w:rPr>
          <w:rFonts w:hint="eastAsia" w:ascii="仿宋_GB2312" w:hAnsi="Times New Roman" w:eastAsia="仿宋_GB2312" w:cs="Times New Roman"/>
          <w:color w:val="auto"/>
          <w:sz w:val="32"/>
          <w:szCs w:val="32"/>
          <w:highlight w:val="none"/>
          <w:u w:val="single"/>
        </w:rPr>
        <w:t xml:space="preserve"> </w:t>
      </w:r>
      <w:r>
        <w:rPr>
          <w:rFonts w:hint="eastAsia" w:ascii="仿宋_GB2312" w:hAnsi="Times New Roman" w:eastAsia="仿宋_GB2312" w:cs="Times New Roman"/>
          <w:color w:val="auto"/>
          <w:sz w:val="32"/>
          <w:szCs w:val="32"/>
          <w:highlight w:val="none"/>
          <w:u w:val="single"/>
          <w:lang w:val="en-US" w:eastAsia="zh-CN"/>
        </w:rPr>
        <w:t>0</w:t>
      </w:r>
      <w:r>
        <w:rPr>
          <w:rFonts w:hint="eastAsia" w:ascii="仿宋_GB2312" w:hAnsi="Times New Roman" w:eastAsia="仿宋_GB2312" w:cs="Times New Roman"/>
          <w:color w:val="auto"/>
          <w:sz w:val="32"/>
          <w:szCs w:val="32"/>
          <w:highlight w:val="none"/>
          <w:u w:val="single"/>
        </w:rPr>
        <w:t xml:space="preserve"> </w:t>
      </w:r>
      <w:r>
        <w:rPr>
          <w:rFonts w:hint="eastAsia" w:ascii="仿宋_GB2312" w:hAnsi="Times New Roman" w:eastAsia="仿宋_GB2312" w:cs="Times New Roman"/>
          <w:color w:val="auto"/>
          <w:sz w:val="32"/>
          <w:szCs w:val="32"/>
          <w:highlight w:val="none"/>
        </w:rPr>
        <w:t>个</w:t>
      </w:r>
      <w:r>
        <w:rPr>
          <w:rFonts w:hint="eastAsia" w:ascii="仿宋" w:hAnsi="仿宋" w:eastAsia="仿宋" w:cs="仿宋"/>
          <w:color w:val="auto"/>
          <w:sz w:val="32"/>
          <w:szCs w:val="32"/>
          <w:highlight w:val="none"/>
        </w:rPr>
        <w:t>，全年因公出国（境）团组共计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个，累计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人次。</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（二）公务用车购置及运行维护费</w:t>
      </w:r>
      <w:r>
        <w:rPr>
          <w:rFonts w:ascii="仿宋" w:hAnsi="仿宋" w:eastAsia="仿宋" w:cs="仿宋"/>
          <w:color w:val="auto"/>
          <w:sz w:val="32"/>
          <w:highlight w:val="none"/>
          <w:u w:color="auto"/>
        </w:rPr>
        <w:t>0.00</w:t>
      </w:r>
      <w:r>
        <w:rPr>
          <w:rFonts w:hint="eastAsia" w:ascii="仿宋" w:hAnsi="仿宋" w:eastAsia="仿宋" w:cs="仿宋"/>
          <w:color w:val="auto"/>
          <w:sz w:val="32"/>
          <w:szCs w:val="32"/>
          <w:highlight w:val="none"/>
        </w:rPr>
        <w:t>万元。其中：公务用车购置支出</w:t>
      </w:r>
      <w:r>
        <w:rPr>
          <w:rFonts w:ascii="仿宋" w:hAnsi="仿宋" w:eastAsia="仿宋" w:cs="仿宋"/>
          <w:color w:val="auto"/>
          <w:sz w:val="32"/>
          <w:highlight w:val="none"/>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highlight w:val="none"/>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highlight w:val="none"/>
          <w:u w:color="auto"/>
        </w:rPr>
        <w:t>增加0.00</w:t>
      </w:r>
      <w:r>
        <w:rPr>
          <w:rFonts w:hint="eastAsia" w:ascii="仿宋" w:hAnsi="仿宋" w:eastAsia="仿宋" w:cs="仿宋"/>
          <w:color w:val="auto"/>
          <w:sz w:val="32"/>
          <w:szCs w:val="32"/>
          <w:highlight w:val="none"/>
        </w:rPr>
        <w:t xml:space="preserve"> 万元。主要原因是</w:t>
      </w:r>
      <w:bookmarkStart w:id="5" w:name="PO_part3A6B2IncReason1"/>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本</w:t>
      </w:r>
      <w:r>
        <w:rPr>
          <w:rFonts w:hint="eastAsia" w:ascii="仿宋" w:hAnsi="仿宋" w:eastAsia="仿宋" w:cs="仿宋"/>
          <w:color w:val="auto"/>
          <w:sz w:val="32"/>
          <w:szCs w:val="32"/>
          <w:highlight w:val="none"/>
          <w:lang w:val="en-US" w:eastAsia="zh-CN"/>
        </w:rPr>
        <w:t>单位</w:t>
      </w:r>
      <w:r>
        <w:rPr>
          <w:rFonts w:hint="eastAsia" w:ascii="仿宋" w:hAnsi="仿宋" w:eastAsia="仿宋" w:cs="仿宋"/>
          <w:color w:val="auto"/>
          <w:sz w:val="32"/>
          <w:szCs w:val="32"/>
          <w:highlight w:val="none"/>
        </w:rPr>
        <w:t>无公务用车购置</w:t>
      </w:r>
      <w:bookmarkEnd w:id="5"/>
      <w:r>
        <w:rPr>
          <w:rFonts w:hint="eastAsia" w:ascii="仿宋" w:hAnsi="仿宋" w:eastAsia="仿宋" w:cs="仿宋"/>
          <w:color w:val="auto"/>
          <w:sz w:val="32"/>
          <w:szCs w:val="32"/>
          <w:highlight w:val="none"/>
        </w:rPr>
        <w:t>。</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公务用车运行维护支出</w:t>
      </w:r>
      <w:r>
        <w:rPr>
          <w:rFonts w:ascii="仿宋" w:hAnsi="仿宋" w:eastAsia="仿宋" w:cs="仿宋"/>
          <w:color w:val="auto"/>
          <w:sz w:val="32"/>
          <w:highlight w:val="none"/>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highlight w:val="none"/>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highlight w:val="none"/>
          <w:u w:color="auto"/>
        </w:rPr>
        <w:t>增加0.00</w:t>
      </w:r>
      <w:r>
        <w:rPr>
          <w:rFonts w:hint="eastAsia" w:ascii="仿宋" w:hAnsi="仿宋" w:eastAsia="仿宋" w:cs="仿宋"/>
          <w:color w:val="auto"/>
          <w:sz w:val="32"/>
          <w:szCs w:val="32"/>
          <w:highlight w:val="none"/>
        </w:rPr>
        <w:t>万元。主要原因是：</w:t>
      </w:r>
      <w:r>
        <w:rPr>
          <w:rFonts w:hint="eastAsia" w:ascii="仿宋" w:hAnsi="仿宋" w:eastAsia="仿宋" w:cs="仿宋"/>
          <w:color w:val="auto"/>
          <w:sz w:val="32"/>
          <w:szCs w:val="32"/>
          <w:highlight w:val="none"/>
          <w:lang w:eastAsia="zh-CN"/>
        </w:rPr>
        <w:t>本</w:t>
      </w:r>
      <w:r>
        <w:rPr>
          <w:rFonts w:hint="eastAsia" w:ascii="仿宋" w:hAnsi="仿宋" w:eastAsia="仿宋" w:cs="仿宋"/>
          <w:color w:val="auto"/>
          <w:sz w:val="32"/>
          <w:szCs w:val="32"/>
          <w:highlight w:val="none"/>
          <w:lang w:val="en-US" w:eastAsia="zh-CN"/>
        </w:rPr>
        <w:t>单位</w:t>
      </w:r>
      <w:r>
        <w:rPr>
          <w:rFonts w:hint="eastAsia" w:ascii="仿宋" w:hAnsi="仿宋" w:eastAsia="仿宋" w:cs="仿宋"/>
          <w:color w:val="auto"/>
          <w:sz w:val="32"/>
          <w:szCs w:val="32"/>
          <w:highlight w:val="none"/>
        </w:rPr>
        <w:t>无公务用车</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2022年，</w:t>
      </w:r>
      <w:r>
        <w:rPr>
          <w:rFonts w:hint="eastAsia" w:ascii="仿宋" w:hAnsi="仿宋" w:eastAsia="仿宋" w:cs="仿宋"/>
          <w:color w:val="auto"/>
          <w:sz w:val="32"/>
          <w:highlight w:val="none"/>
          <w:u w:color="auto"/>
          <w:lang w:eastAsia="zh-CN"/>
        </w:rPr>
        <w:t>环江毛南族自治县</w:t>
      </w:r>
      <w:r>
        <w:rPr>
          <w:rFonts w:ascii="仿宋" w:hAnsi="仿宋" w:eastAsia="仿宋" w:cs="仿宋"/>
          <w:color w:val="auto"/>
          <w:sz w:val="32"/>
          <w:highlight w:val="none"/>
          <w:u w:color="auto"/>
        </w:rPr>
        <w:t>第一小学</w:t>
      </w:r>
      <w:r>
        <w:rPr>
          <w:rFonts w:hint="eastAsia" w:ascii="仿宋" w:hAnsi="仿宋" w:eastAsia="仿宋" w:cs="仿宋"/>
          <w:color w:val="auto"/>
          <w:sz w:val="32"/>
          <w:szCs w:val="32"/>
          <w:highlight w:val="none"/>
        </w:rPr>
        <w:t>及</w:t>
      </w:r>
      <w:r>
        <w:rPr>
          <w:rFonts w:hint="eastAsia" w:ascii="仿宋" w:hAnsi="仿宋" w:eastAsia="仿宋" w:cs="仿宋"/>
          <w:color w:val="auto"/>
          <w:sz w:val="32"/>
          <w:szCs w:val="32"/>
          <w:highlight w:val="none"/>
          <w:u w:val="single"/>
          <w:lang w:val="en-US" w:eastAsia="zh-CN"/>
        </w:rPr>
        <w:t xml:space="preserve"> 0 </w:t>
      </w:r>
      <w:bookmarkStart w:id="6" w:name="_GoBack"/>
      <w:bookmarkEnd w:id="6"/>
      <w:r>
        <w:rPr>
          <w:rFonts w:hint="eastAsia" w:ascii="仿宋" w:hAnsi="仿宋" w:eastAsia="仿宋" w:cs="仿宋"/>
          <w:color w:val="auto"/>
          <w:sz w:val="32"/>
          <w:szCs w:val="32"/>
          <w:highlight w:val="none"/>
          <w:u w:val="single"/>
          <w:lang w:val="en-US" w:eastAsia="zh-CN"/>
        </w:rPr>
        <w:t>个</w:t>
      </w:r>
      <w:r>
        <w:rPr>
          <w:rFonts w:hint="eastAsia" w:ascii="仿宋" w:hAnsi="仿宋" w:eastAsia="仿宋" w:cs="仿宋"/>
          <w:color w:val="auto"/>
          <w:sz w:val="32"/>
          <w:szCs w:val="32"/>
          <w:highlight w:val="none"/>
        </w:rPr>
        <w:t>所属单位开支财政拨款的公务用车保有量为</w:t>
      </w:r>
      <w:r>
        <w:rPr>
          <w:rFonts w:ascii="仿宋" w:hAnsi="仿宋" w:eastAsia="仿宋" w:cs="仿宋"/>
          <w:color w:val="auto"/>
          <w:sz w:val="32"/>
          <w:highlight w:val="none"/>
          <w:u w:color="auto"/>
        </w:rPr>
        <w:t>0</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highlight w:val="none"/>
          <w:u w:color="auto"/>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（三）公务接待费支出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 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主要原因是：本单位无</w:t>
      </w:r>
      <w:r>
        <w:rPr>
          <w:rFonts w:hint="eastAsia" w:ascii="仿宋" w:hAnsi="仿宋" w:eastAsia="仿宋" w:cs="仿宋"/>
          <w:color w:val="auto"/>
          <w:sz w:val="32"/>
          <w:szCs w:val="32"/>
          <w:highlight w:val="none"/>
        </w:rPr>
        <w:t>公务接待费支出</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color w:val="auto"/>
          <w:sz w:val="32"/>
          <w:szCs w:val="32"/>
          <w:highlight w:val="none"/>
        </w:rPr>
        <w:t>国内公务接待批次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次，人次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次，国（境）外公务接待批次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次，人次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七、其他重要事项情况说明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 机关运行经费支出情况说明</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本部门2022年度机关运行经费支出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万元，比年初预算数</w:t>
      </w:r>
      <w:r>
        <w:rPr>
          <w:rFonts w:ascii="仿宋" w:hAnsi="仿宋" w:eastAsia="仿宋" w:cs="仿宋"/>
          <w:color w:val="auto"/>
          <w:sz w:val="32"/>
          <w:szCs w:val="32"/>
          <w:highlight w:val="none"/>
        </w:rPr>
        <w:t>减少</w:t>
      </w:r>
      <w:r>
        <w:rPr>
          <w:rFonts w:hint="eastAsia" w:ascii="仿宋" w:hAnsi="仿宋" w:eastAsia="仿宋" w:cs="仿宋"/>
          <w:color w:val="auto"/>
          <w:sz w:val="32"/>
          <w:szCs w:val="32"/>
          <w:highlight w:val="none"/>
          <w:lang w:val="en-US" w:eastAsia="zh-CN"/>
        </w:rPr>
        <w:t>0.00</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下降</w:t>
      </w:r>
      <w:r>
        <w:rPr>
          <w:rFonts w:hint="eastAsia" w:ascii="仿宋" w:hAnsi="仿宋" w:eastAsia="仿宋" w:cs="仿宋"/>
          <w:color w:val="auto"/>
          <w:sz w:val="32"/>
          <w:szCs w:val="32"/>
          <w:highlight w:val="none"/>
          <w:lang w:val="en-US" w:eastAsia="zh-CN"/>
        </w:rPr>
        <w:t>0.00</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，比上年决算数</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增长0%</w:t>
      </w:r>
      <w:r>
        <w:rPr>
          <w:rFonts w:hint="eastAsia" w:ascii="仿宋" w:hAnsi="仿宋" w:eastAsia="仿宋" w:cs="仿宋"/>
          <w:color w:val="auto"/>
          <w:sz w:val="32"/>
          <w:szCs w:val="32"/>
          <w:highlight w:val="none"/>
        </w:rPr>
        <w:t>。原因是：原因是</w:t>
      </w:r>
      <w:r>
        <w:rPr>
          <w:rFonts w:hint="eastAsia" w:ascii="仿宋" w:hAnsi="仿宋" w:eastAsia="仿宋" w:cs="仿宋"/>
          <w:color w:val="auto"/>
          <w:kern w:val="2"/>
          <w:sz w:val="32"/>
          <w:szCs w:val="32"/>
          <w:highlight w:val="none"/>
          <w:lang w:val="en-US" w:eastAsia="zh-CN" w:bidi="ar"/>
        </w:rPr>
        <w:t>学校没有机关运行经费。</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（二）政府采购支出情况说明</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本部门2022年度政府采购支出总额</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万元，其中：政府采购货物支出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万元、政府采购工程支出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万元、政府采购服务支出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万元。授予中小企业合同金额</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万元，占政府采购支出总额的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，其中：授予小微企业合同金额</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万元，占授予中小企业合同金额的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（三）国有资产占用情况说明</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截至2022年12月31日，本部门共有车辆</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辆，其中：副部（省）级领导干部用车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辆、机要通信用车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辆、应急保障用车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辆、执法执勤用车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辆、特种专业技术用车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辆、其他用车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辆；单位价值50万元以上通用设备</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台（套）；单位价值</w:t>
      </w:r>
      <w:r>
        <w:rPr>
          <w:rFonts w:hint="eastAsia" w:ascii="仿宋" w:hAnsi="仿宋" w:eastAsia="仿宋" w:cs="仿宋"/>
          <w:color w:val="auto"/>
          <w:sz w:val="32"/>
          <w:szCs w:val="32"/>
          <w:highlight w:val="none"/>
          <w:lang w:val="en-US" w:eastAsia="zh-CN"/>
        </w:rPr>
        <w:t>100万</w:t>
      </w:r>
      <w:r>
        <w:rPr>
          <w:rFonts w:hint="eastAsia" w:ascii="仿宋" w:hAnsi="仿宋" w:eastAsia="仿宋" w:cs="仿宋"/>
          <w:color w:val="auto"/>
          <w:sz w:val="32"/>
          <w:szCs w:val="32"/>
          <w:highlight w:val="none"/>
        </w:rPr>
        <w:t>元以上专用设备台（套）。</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（四）预算绩效管理工作开展情况</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1.绩效管理工作开展情况。</w:t>
      </w:r>
    </w:p>
    <w:p>
      <w:pPr>
        <w:ind w:firstLine="640" w:firstLineChars="200"/>
        <w:jc w:val="left"/>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根据财政预算管理要求，本部门组织对</w:t>
      </w:r>
      <w:r>
        <w:rPr>
          <w:rFonts w:hint="eastAsia" w:ascii="仿宋" w:hAnsi="仿宋" w:eastAsia="仿宋" w:cs="仿宋"/>
          <w:color w:val="auto"/>
          <w:sz w:val="32"/>
          <w:szCs w:val="32"/>
          <w:highlight w:val="none"/>
          <w:lang w:eastAsia="zh-CN"/>
        </w:rPr>
        <w:t>2022年</w:t>
      </w:r>
      <w:r>
        <w:rPr>
          <w:rFonts w:hint="eastAsia" w:ascii="仿宋" w:hAnsi="仿宋" w:eastAsia="仿宋" w:cs="仿宋"/>
          <w:color w:val="auto"/>
          <w:sz w:val="32"/>
          <w:szCs w:val="32"/>
          <w:highlight w:val="none"/>
        </w:rPr>
        <w:t>度一般公共预算项目支出全面开展绩效自评。其中，一</w:t>
      </w:r>
      <w:r>
        <w:rPr>
          <w:rFonts w:hint="eastAsia" w:ascii="仿宋" w:hAnsi="仿宋" w:eastAsia="仿宋" w:cs="仿宋"/>
          <w:color w:val="auto"/>
          <w:sz w:val="32"/>
          <w:szCs w:val="32"/>
          <w:highlight w:val="none"/>
          <w:lang w:val="en-US" w:eastAsia="zh-CN"/>
        </w:rPr>
        <w:t>等</w:t>
      </w:r>
      <w:r>
        <w:rPr>
          <w:rFonts w:hint="eastAsia" w:ascii="仿宋" w:hAnsi="仿宋" w:eastAsia="仿宋" w:cs="仿宋"/>
          <w:color w:val="auto"/>
          <w:sz w:val="32"/>
          <w:szCs w:val="32"/>
          <w:highlight w:val="none"/>
        </w:rPr>
        <w:t>项目</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个，二</w:t>
      </w:r>
      <w:r>
        <w:rPr>
          <w:rFonts w:hint="eastAsia" w:ascii="仿宋" w:hAnsi="仿宋" w:eastAsia="仿宋" w:cs="仿宋"/>
          <w:color w:val="auto"/>
          <w:sz w:val="32"/>
          <w:szCs w:val="32"/>
          <w:highlight w:val="none"/>
          <w:lang w:val="en-US" w:eastAsia="zh-CN"/>
        </w:rPr>
        <w:t>等</w:t>
      </w:r>
      <w:r>
        <w:rPr>
          <w:rFonts w:hint="eastAsia" w:ascii="仿宋" w:hAnsi="仿宋" w:eastAsia="仿宋" w:cs="仿宋"/>
          <w:color w:val="auto"/>
          <w:sz w:val="32"/>
          <w:szCs w:val="32"/>
          <w:highlight w:val="none"/>
        </w:rPr>
        <w:t>项目</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个，</w:t>
      </w:r>
      <w:r>
        <w:rPr>
          <w:rFonts w:hint="eastAsia" w:ascii="仿宋" w:hAnsi="仿宋" w:eastAsia="仿宋" w:cs="仿宋"/>
          <w:color w:val="auto"/>
          <w:sz w:val="32"/>
          <w:szCs w:val="32"/>
          <w:highlight w:val="none"/>
          <w:lang w:eastAsia="zh-CN"/>
        </w:rPr>
        <w:t>三</w:t>
      </w:r>
      <w:r>
        <w:rPr>
          <w:rFonts w:hint="eastAsia" w:ascii="仿宋" w:hAnsi="仿宋" w:eastAsia="仿宋" w:cs="仿宋"/>
          <w:color w:val="auto"/>
          <w:sz w:val="32"/>
          <w:szCs w:val="32"/>
          <w:highlight w:val="none"/>
          <w:lang w:val="en-US" w:eastAsia="zh-CN"/>
        </w:rPr>
        <w:t>等</w:t>
      </w:r>
      <w:r>
        <w:rPr>
          <w:rFonts w:hint="eastAsia" w:ascii="仿宋" w:hAnsi="仿宋" w:eastAsia="仿宋" w:cs="仿宋"/>
          <w:color w:val="auto"/>
          <w:sz w:val="32"/>
          <w:szCs w:val="32"/>
          <w:highlight w:val="none"/>
        </w:rPr>
        <w:t>项目</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个</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共涉及资金</w:t>
      </w:r>
      <w:r>
        <w:rPr>
          <w:rFonts w:hint="eastAsia" w:ascii="仿宋" w:hAnsi="仿宋" w:eastAsia="仿宋" w:cs="仿宋"/>
          <w:color w:val="auto"/>
          <w:sz w:val="32"/>
          <w:szCs w:val="32"/>
          <w:highlight w:val="none"/>
          <w:lang w:val="en-US" w:eastAsia="zh-CN"/>
        </w:rPr>
        <w:t>203.36</w:t>
      </w:r>
      <w:r>
        <w:rPr>
          <w:rFonts w:hint="eastAsia" w:ascii="仿宋" w:hAnsi="仿宋" w:eastAsia="仿宋" w:cs="仿宋"/>
          <w:color w:val="auto"/>
          <w:sz w:val="32"/>
          <w:szCs w:val="32"/>
          <w:highlight w:val="none"/>
        </w:rPr>
        <w:t>万元，占一般公共预算项目支出总额的</w:t>
      </w:r>
      <w:r>
        <w:rPr>
          <w:rFonts w:hint="eastAsia" w:ascii="仿宋" w:hAnsi="仿宋" w:eastAsia="仿宋" w:cs="仿宋"/>
          <w:color w:val="auto"/>
          <w:sz w:val="32"/>
          <w:szCs w:val="32"/>
          <w:highlight w:val="none"/>
          <w:lang w:val="en-US" w:eastAsia="zh-CN"/>
        </w:rPr>
        <w:t>82.76</w:t>
      </w:r>
      <w:r>
        <w:rPr>
          <w:rFonts w:hint="eastAsia" w:ascii="仿宋" w:hAnsi="仿宋" w:eastAsia="仿宋" w:cs="仿宋"/>
          <w:color w:val="auto"/>
          <w:sz w:val="32"/>
          <w:szCs w:val="32"/>
          <w:highlight w:val="none"/>
        </w:rPr>
        <w:t>%。组织对</w:t>
      </w:r>
      <w:r>
        <w:rPr>
          <w:rFonts w:hint="eastAsia" w:ascii="仿宋" w:hAnsi="仿宋" w:eastAsia="仿宋" w:cs="仿宋"/>
          <w:color w:val="auto"/>
          <w:sz w:val="32"/>
          <w:szCs w:val="32"/>
          <w:highlight w:val="none"/>
          <w:lang w:eastAsia="zh-CN"/>
        </w:rPr>
        <w:t>2022年</w:t>
      </w:r>
      <w:r>
        <w:rPr>
          <w:rFonts w:hint="eastAsia" w:ascii="仿宋" w:hAnsi="仿宋" w:eastAsia="仿宋" w:cs="仿宋"/>
          <w:color w:val="auto"/>
          <w:sz w:val="32"/>
          <w:szCs w:val="32"/>
          <w:highlight w:val="none"/>
        </w:rPr>
        <w:t>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个政府性基金预算项目支出开展绩效自评，共涉及资金</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万元，占政府性基金预算项目支出总额的</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%。组织对</w:t>
      </w:r>
      <w:r>
        <w:rPr>
          <w:rFonts w:hint="eastAsia" w:ascii="仿宋" w:hAnsi="仿宋" w:eastAsia="仿宋" w:cs="仿宋"/>
          <w:color w:val="auto"/>
          <w:sz w:val="32"/>
          <w:szCs w:val="32"/>
          <w:highlight w:val="none"/>
          <w:lang w:eastAsia="zh-CN"/>
        </w:rPr>
        <w:t>2022年</w:t>
      </w:r>
      <w:r>
        <w:rPr>
          <w:rFonts w:hint="eastAsia" w:ascii="仿宋" w:hAnsi="仿宋" w:eastAsia="仿宋" w:cs="仿宋"/>
          <w:color w:val="auto"/>
          <w:sz w:val="32"/>
          <w:szCs w:val="32"/>
          <w:highlight w:val="none"/>
        </w:rPr>
        <w:t>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个国有资本经营预算项目支出开展绩效自评，共涉及资金</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万元，占国有资本经营预算项目支出总额的</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lang w:eastAsia="zh-CN"/>
        </w:rPr>
        <w:t>。</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组织对“</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”等</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个项目进行了部门评价，涉及一般公共预算支出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万元，政府性基金预算支出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万元，国有资本经营预算支出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万元。从评价情况来看，</w:t>
      </w:r>
      <w:r>
        <w:rPr>
          <w:rFonts w:hint="eastAsia" w:ascii="仿宋" w:hAnsi="仿宋" w:eastAsia="仿宋" w:cs="仿宋"/>
          <w:color w:val="auto"/>
          <w:sz w:val="32"/>
          <w:szCs w:val="32"/>
          <w:highlight w:val="none"/>
          <w:lang w:val="en-US" w:eastAsia="zh-CN"/>
        </w:rPr>
        <w:t>所有项目自评分都在66分以上，自评结论一等项目7个，</w:t>
      </w:r>
      <w:r>
        <w:rPr>
          <w:rFonts w:hint="eastAsia" w:ascii="仿宋" w:hAnsi="仿宋" w:eastAsia="仿宋" w:cs="仿宋"/>
          <w:color w:val="auto"/>
          <w:sz w:val="32"/>
          <w:szCs w:val="32"/>
          <w:highlight w:val="none"/>
        </w:rPr>
        <w:t>二</w:t>
      </w:r>
      <w:r>
        <w:rPr>
          <w:rFonts w:hint="eastAsia" w:ascii="仿宋" w:hAnsi="仿宋" w:eastAsia="仿宋" w:cs="仿宋"/>
          <w:color w:val="auto"/>
          <w:sz w:val="32"/>
          <w:szCs w:val="32"/>
          <w:highlight w:val="none"/>
          <w:lang w:val="en-US" w:eastAsia="zh-CN"/>
        </w:rPr>
        <w:t>等</w:t>
      </w:r>
      <w:r>
        <w:rPr>
          <w:rFonts w:hint="eastAsia" w:ascii="仿宋" w:hAnsi="仿宋" w:eastAsia="仿宋" w:cs="仿宋"/>
          <w:color w:val="auto"/>
          <w:sz w:val="32"/>
          <w:szCs w:val="32"/>
          <w:highlight w:val="none"/>
        </w:rPr>
        <w:t>项目</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个，</w:t>
      </w:r>
      <w:r>
        <w:rPr>
          <w:rFonts w:hint="eastAsia" w:ascii="仿宋" w:hAnsi="仿宋" w:eastAsia="仿宋" w:cs="仿宋"/>
          <w:color w:val="auto"/>
          <w:sz w:val="32"/>
          <w:szCs w:val="32"/>
          <w:highlight w:val="none"/>
          <w:lang w:eastAsia="zh-CN"/>
        </w:rPr>
        <w:t>三</w:t>
      </w:r>
      <w:r>
        <w:rPr>
          <w:rFonts w:hint="eastAsia" w:ascii="仿宋" w:hAnsi="仿宋" w:eastAsia="仿宋" w:cs="仿宋"/>
          <w:color w:val="auto"/>
          <w:sz w:val="32"/>
          <w:szCs w:val="32"/>
          <w:highlight w:val="none"/>
          <w:lang w:val="en-US" w:eastAsia="zh-CN"/>
        </w:rPr>
        <w:t>等</w:t>
      </w:r>
      <w:r>
        <w:rPr>
          <w:rFonts w:hint="eastAsia" w:ascii="仿宋" w:hAnsi="仿宋" w:eastAsia="仿宋" w:cs="仿宋"/>
          <w:color w:val="auto"/>
          <w:sz w:val="32"/>
          <w:szCs w:val="32"/>
          <w:highlight w:val="none"/>
        </w:rPr>
        <w:t>项目</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个。</w:t>
      </w:r>
    </w:p>
    <w:p>
      <w:pPr>
        <w:ind w:firstLine="640" w:firstLineChars="200"/>
        <w:jc w:val="left"/>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组织对</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个部门（单位）开展整体支出绩效评价试点，涉及一般公共预算支出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万元，政府性基金预算支出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万元。从评价情况来看，</w:t>
      </w:r>
      <w:r>
        <w:rPr>
          <w:rFonts w:hint="eastAsia" w:ascii="仿宋" w:hAnsi="仿宋" w:eastAsia="仿宋" w:cs="仿宋"/>
          <w:color w:val="auto"/>
          <w:sz w:val="32"/>
          <w:szCs w:val="32"/>
          <w:highlight w:val="none"/>
          <w:lang w:val="en-US" w:eastAsia="zh-CN"/>
        </w:rPr>
        <w:t>本单位是本级预算单位，无二级预算单位，没有</w:t>
      </w:r>
      <w:r>
        <w:rPr>
          <w:rFonts w:hint="eastAsia" w:ascii="仿宋" w:hAnsi="仿宋" w:eastAsia="仿宋" w:cs="仿宋"/>
          <w:color w:val="auto"/>
          <w:sz w:val="32"/>
          <w:szCs w:val="32"/>
          <w:highlight w:val="none"/>
        </w:rPr>
        <w:t>开展整体支出绩效评价试点</w:t>
      </w:r>
      <w:r>
        <w:rPr>
          <w:rFonts w:hint="eastAsia" w:ascii="仿宋" w:hAnsi="仿宋" w:eastAsia="仿宋" w:cs="仿宋"/>
          <w:color w:val="auto"/>
          <w:sz w:val="32"/>
          <w:szCs w:val="32"/>
          <w:highlight w:val="none"/>
          <w:lang w:eastAsia="zh-CN"/>
        </w:rPr>
        <w:t>。</w:t>
      </w:r>
    </w:p>
    <w:p>
      <w:pPr>
        <w:numPr>
          <w:ilvl w:val="0"/>
          <w:numId w:val="4"/>
        </w:num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部门决算中项目绩效自评结果。</w:t>
      </w:r>
    </w:p>
    <w:p>
      <w:pPr>
        <w:numPr>
          <w:ilvl w:val="0"/>
          <w:numId w:val="5"/>
        </w:num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我部门根据年初设定的绩效目标，班主任津贴项目自评得分为</w:t>
      </w:r>
      <w:r>
        <w:rPr>
          <w:rFonts w:hint="eastAsia" w:ascii="仿宋" w:hAnsi="仿宋" w:eastAsia="仿宋" w:cs="仿宋"/>
          <w:color w:val="auto"/>
          <w:sz w:val="32"/>
          <w:szCs w:val="32"/>
          <w:highlight w:val="none"/>
          <w:lang w:val="en-US" w:eastAsia="zh-CN"/>
        </w:rPr>
        <w:t>85</w:t>
      </w:r>
      <w:r>
        <w:rPr>
          <w:rFonts w:hint="eastAsia" w:ascii="仿宋" w:hAnsi="仿宋" w:eastAsia="仿宋" w:cs="仿宋"/>
          <w:color w:val="auto"/>
          <w:sz w:val="32"/>
          <w:szCs w:val="32"/>
          <w:highlight w:val="none"/>
        </w:rPr>
        <w:t>分。发现的主要问题及原因是</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22</w:t>
      </w:r>
      <w:r>
        <w:rPr>
          <w:rFonts w:hint="eastAsia" w:ascii="仿宋" w:hAnsi="仿宋" w:eastAsia="仿宋" w:cs="仿宋"/>
          <w:color w:val="auto"/>
          <w:sz w:val="32"/>
          <w:szCs w:val="32"/>
          <w:highlight w:val="none"/>
          <w:lang w:val="en-US" w:eastAsia="zh-CN"/>
        </w:rPr>
        <w:t>年</w:t>
      </w:r>
      <w:r>
        <w:rPr>
          <w:rFonts w:hint="eastAsia" w:ascii="仿宋" w:hAnsi="仿宋" w:eastAsia="仿宋" w:cs="仿宋"/>
          <w:color w:val="auto"/>
          <w:sz w:val="32"/>
          <w:szCs w:val="32"/>
          <w:highlight w:val="none"/>
        </w:rPr>
        <w:t>秋班主任</w:t>
      </w:r>
      <w:r>
        <w:rPr>
          <w:rFonts w:hint="eastAsia" w:ascii="仿宋" w:hAnsi="仿宋" w:eastAsia="仿宋" w:cs="仿宋"/>
          <w:color w:val="auto"/>
          <w:sz w:val="32"/>
          <w:szCs w:val="32"/>
          <w:highlight w:val="none"/>
          <w:lang w:val="en-US" w:eastAsia="zh-CN"/>
        </w:rPr>
        <w:t>津贴剩下未能及时整理材料报账</w:t>
      </w:r>
      <w:r>
        <w:rPr>
          <w:rFonts w:hint="eastAsia" w:ascii="仿宋" w:hAnsi="仿宋" w:eastAsia="仿宋" w:cs="仿宋"/>
          <w:color w:val="auto"/>
          <w:sz w:val="32"/>
          <w:szCs w:val="32"/>
          <w:highlight w:val="none"/>
        </w:rPr>
        <w:t>。下一步改进措施：一是2022春班主任</w:t>
      </w:r>
      <w:r>
        <w:rPr>
          <w:rFonts w:hint="eastAsia" w:ascii="仿宋" w:hAnsi="仿宋" w:eastAsia="仿宋" w:cs="仿宋"/>
          <w:color w:val="auto"/>
          <w:sz w:val="32"/>
          <w:szCs w:val="32"/>
          <w:highlight w:val="none"/>
          <w:lang w:val="en-US" w:eastAsia="zh-CN"/>
        </w:rPr>
        <w:t>津贴</w:t>
      </w:r>
      <w:r>
        <w:rPr>
          <w:rFonts w:hint="eastAsia" w:ascii="仿宋" w:hAnsi="仿宋" w:eastAsia="仿宋" w:cs="仿宋"/>
          <w:color w:val="auto"/>
          <w:sz w:val="32"/>
          <w:szCs w:val="32"/>
          <w:highlight w:val="none"/>
        </w:rPr>
        <w:t>已足额发放，</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22</w:t>
      </w:r>
      <w:r>
        <w:rPr>
          <w:rFonts w:hint="eastAsia" w:ascii="仿宋" w:hAnsi="仿宋" w:eastAsia="仿宋" w:cs="仿宋"/>
          <w:color w:val="auto"/>
          <w:sz w:val="32"/>
          <w:szCs w:val="32"/>
          <w:highlight w:val="none"/>
          <w:lang w:val="en-US" w:eastAsia="zh-CN"/>
        </w:rPr>
        <w:t>年</w:t>
      </w:r>
      <w:r>
        <w:rPr>
          <w:rFonts w:hint="eastAsia" w:ascii="仿宋" w:hAnsi="仿宋" w:eastAsia="仿宋" w:cs="仿宋"/>
          <w:color w:val="auto"/>
          <w:sz w:val="32"/>
          <w:szCs w:val="32"/>
          <w:highlight w:val="none"/>
        </w:rPr>
        <w:t>秋跟财政协商2023年春</w:t>
      </w:r>
      <w:r>
        <w:rPr>
          <w:rFonts w:hint="eastAsia" w:ascii="仿宋" w:hAnsi="仿宋" w:eastAsia="仿宋" w:cs="仿宋"/>
          <w:color w:val="auto"/>
          <w:sz w:val="32"/>
          <w:szCs w:val="32"/>
          <w:highlight w:val="none"/>
          <w:lang w:val="en-US" w:eastAsia="zh-CN"/>
        </w:rPr>
        <w:t>季学期</w:t>
      </w:r>
      <w:r>
        <w:rPr>
          <w:rFonts w:hint="eastAsia" w:ascii="仿宋" w:hAnsi="仿宋" w:eastAsia="仿宋" w:cs="仿宋"/>
          <w:color w:val="auto"/>
          <w:sz w:val="32"/>
          <w:szCs w:val="32"/>
          <w:highlight w:val="none"/>
        </w:rPr>
        <w:t>发放。</w:t>
      </w:r>
    </w:p>
    <w:p>
      <w:pPr>
        <w:numPr>
          <w:ilvl w:val="0"/>
          <w:numId w:val="6"/>
        </w:numPr>
        <w:ind w:firstLine="640" w:firstLineChars="200"/>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死亡抚恤金项目自评得分为</w:t>
      </w:r>
      <w:r>
        <w:rPr>
          <w:rFonts w:hint="eastAsia" w:ascii="仿宋" w:hAnsi="仿宋" w:eastAsia="仿宋" w:cs="仿宋"/>
          <w:color w:val="auto"/>
          <w:sz w:val="32"/>
          <w:szCs w:val="32"/>
          <w:highlight w:val="none"/>
          <w:lang w:val="en-US" w:eastAsia="zh-CN"/>
        </w:rPr>
        <w:t>85</w:t>
      </w:r>
      <w:r>
        <w:rPr>
          <w:rFonts w:hint="eastAsia" w:ascii="仿宋" w:hAnsi="仿宋" w:eastAsia="仿宋" w:cs="仿宋"/>
          <w:color w:val="auto"/>
          <w:sz w:val="32"/>
          <w:szCs w:val="32"/>
          <w:highlight w:val="none"/>
        </w:rPr>
        <w:t>分。</w:t>
      </w:r>
      <w:r>
        <w:rPr>
          <w:rFonts w:hint="eastAsia" w:ascii="仿宋" w:hAnsi="仿宋" w:eastAsia="仿宋" w:cs="仿宋"/>
          <w:color w:val="auto"/>
          <w:sz w:val="32"/>
          <w:szCs w:val="32"/>
          <w:highlight w:val="none"/>
          <w:lang w:eastAsia="zh-CN"/>
        </w:rPr>
        <w:t>执行率</w:t>
      </w:r>
      <w:r>
        <w:rPr>
          <w:rFonts w:hint="eastAsia" w:ascii="仿宋" w:hAnsi="仿宋" w:eastAsia="仿宋" w:cs="仿宋"/>
          <w:color w:val="auto"/>
          <w:sz w:val="32"/>
          <w:szCs w:val="32"/>
          <w:highlight w:val="none"/>
          <w:lang w:val="en-US" w:eastAsia="zh-CN"/>
        </w:rPr>
        <w:t>100%。</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全县校长绩效工资项目自评得分为</w:t>
      </w:r>
      <w:r>
        <w:rPr>
          <w:rFonts w:hint="eastAsia" w:ascii="仿宋" w:hAnsi="仿宋" w:eastAsia="仿宋" w:cs="仿宋"/>
          <w:color w:val="auto"/>
          <w:sz w:val="32"/>
          <w:szCs w:val="32"/>
          <w:highlight w:val="none"/>
          <w:lang w:val="en-US" w:eastAsia="zh-CN"/>
        </w:rPr>
        <w:t>100</w:t>
      </w:r>
      <w:r>
        <w:rPr>
          <w:rFonts w:hint="eastAsia" w:ascii="仿宋" w:hAnsi="仿宋" w:eastAsia="仿宋" w:cs="仿宋"/>
          <w:color w:val="auto"/>
          <w:sz w:val="32"/>
          <w:szCs w:val="32"/>
          <w:highlight w:val="none"/>
        </w:rPr>
        <w:t>分。</w:t>
      </w:r>
      <w:r>
        <w:rPr>
          <w:rFonts w:hint="eastAsia" w:ascii="仿宋" w:hAnsi="仿宋" w:eastAsia="仿宋" w:cs="仿宋"/>
          <w:color w:val="auto"/>
          <w:sz w:val="32"/>
          <w:szCs w:val="32"/>
          <w:highlight w:val="none"/>
          <w:lang w:eastAsia="zh-CN"/>
        </w:rPr>
        <w:t>执行率</w:t>
      </w:r>
      <w:r>
        <w:rPr>
          <w:rFonts w:hint="eastAsia" w:ascii="仿宋" w:hAnsi="仿宋" w:eastAsia="仿宋" w:cs="仿宋"/>
          <w:color w:val="auto"/>
          <w:sz w:val="32"/>
          <w:szCs w:val="32"/>
          <w:highlight w:val="none"/>
          <w:lang w:val="en-US" w:eastAsia="zh-CN"/>
        </w:rPr>
        <w:t>100%。</w:t>
      </w:r>
    </w:p>
    <w:p>
      <w:pPr>
        <w:ind w:firstLine="640" w:firstLineChars="200"/>
        <w:jc w:val="left"/>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伙食补助项目自评得分为</w:t>
      </w:r>
      <w:r>
        <w:rPr>
          <w:rFonts w:hint="eastAsia" w:ascii="仿宋" w:hAnsi="仿宋" w:eastAsia="仿宋" w:cs="仿宋"/>
          <w:color w:val="auto"/>
          <w:sz w:val="32"/>
          <w:szCs w:val="32"/>
          <w:highlight w:val="none"/>
          <w:lang w:val="en-US" w:eastAsia="zh-CN"/>
        </w:rPr>
        <w:t>99.99</w:t>
      </w:r>
      <w:r>
        <w:rPr>
          <w:rFonts w:hint="eastAsia" w:ascii="仿宋" w:hAnsi="仿宋" w:eastAsia="仿宋" w:cs="仿宋"/>
          <w:color w:val="auto"/>
          <w:sz w:val="32"/>
          <w:szCs w:val="32"/>
          <w:highlight w:val="none"/>
        </w:rPr>
        <w:t>分。下一步</w:t>
      </w:r>
      <w:r>
        <w:rPr>
          <w:rFonts w:hint="eastAsia" w:ascii="仿宋" w:hAnsi="仿宋" w:eastAsia="仿宋" w:cs="仿宋"/>
          <w:color w:val="auto"/>
          <w:sz w:val="32"/>
          <w:szCs w:val="32"/>
          <w:highlight w:val="none"/>
          <w:lang w:eastAsia="zh-CN"/>
        </w:rPr>
        <w:t>继续</w:t>
      </w:r>
      <w:r>
        <w:rPr>
          <w:rFonts w:hint="eastAsia" w:ascii="仿宋" w:hAnsi="仿宋" w:eastAsia="仿宋" w:cs="仿宋"/>
          <w:color w:val="auto"/>
          <w:sz w:val="32"/>
          <w:szCs w:val="32"/>
          <w:highlight w:val="none"/>
          <w:lang w:val="en-US" w:eastAsia="zh-CN"/>
        </w:rPr>
        <w:t>做好预算，</w:t>
      </w:r>
      <w:r>
        <w:rPr>
          <w:rFonts w:hint="eastAsia" w:ascii="仿宋" w:hAnsi="仿宋" w:eastAsia="仿宋" w:cs="仿宋"/>
          <w:color w:val="auto"/>
          <w:sz w:val="32"/>
          <w:szCs w:val="32"/>
          <w:highlight w:val="none"/>
        </w:rPr>
        <w:t>按</w:t>
      </w:r>
      <w:r>
        <w:rPr>
          <w:rFonts w:hint="eastAsia" w:ascii="仿宋" w:hAnsi="仿宋" w:eastAsia="仿宋" w:cs="仿宋"/>
          <w:color w:val="auto"/>
          <w:sz w:val="32"/>
          <w:szCs w:val="32"/>
          <w:highlight w:val="none"/>
          <w:lang w:eastAsia="zh-CN"/>
        </w:rPr>
        <w:t>有关规定按时</w:t>
      </w:r>
      <w:r>
        <w:rPr>
          <w:rFonts w:hint="eastAsia" w:ascii="仿宋" w:hAnsi="仿宋" w:eastAsia="仿宋" w:cs="仿宋"/>
          <w:color w:val="auto"/>
          <w:sz w:val="32"/>
          <w:szCs w:val="32"/>
          <w:highlight w:val="none"/>
        </w:rPr>
        <w:t>发放</w:t>
      </w:r>
      <w:r>
        <w:rPr>
          <w:rFonts w:hint="eastAsia" w:ascii="仿宋" w:hAnsi="仿宋" w:eastAsia="仿宋" w:cs="仿宋"/>
          <w:color w:val="auto"/>
          <w:sz w:val="32"/>
          <w:szCs w:val="32"/>
          <w:highlight w:val="none"/>
          <w:lang w:eastAsia="zh-CN"/>
        </w:rPr>
        <w:t>。</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六一儿童节慰问金项目自评得分为</w:t>
      </w:r>
      <w:r>
        <w:rPr>
          <w:rFonts w:hint="eastAsia" w:ascii="仿宋" w:hAnsi="仿宋" w:eastAsia="仿宋" w:cs="仿宋"/>
          <w:color w:val="auto"/>
          <w:sz w:val="32"/>
          <w:szCs w:val="32"/>
          <w:highlight w:val="none"/>
          <w:lang w:val="en-US" w:eastAsia="zh-CN"/>
        </w:rPr>
        <w:t>80</w:t>
      </w:r>
      <w:r>
        <w:rPr>
          <w:rFonts w:hint="eastAsia" w:ascii="仿宋" w:hAnsi="仿宋" w:eastAsia="仿宋" w:cs="仿宋"/>
          <w:color w:val="auto"/>
          <w:sz w:val="32"/>
          <w:szCs w:val="32"/>
          <w:highlight w:val="none"/>
        </w:rPr>
        <w:t>分。发现的主要问题及原因是</w:t>
      </w:r>
      <w:r>
        <w:rPr>
          <w:rFonts w:hint="eastAsia" w:ascii="仿宋" w:hAnsi="仿宋" w:eastAsia="仿宋" w:cs="仿宋"/>
          <w:color w:val="auto"/>
          <w:sz w:val="32"/>
          <w:szCs w:val="32"/>
          <w:highlight w:val="none"/>
          <w:lang w:val="en-US" w:eastAsia="zh-CN"/>
        </w:rPr>
        <w:t>因为当年没有开展慰问活动，导致完成支付率0.00%。</w:t>
      </w:r>
      <w:r>
        <w:rPr>
          <w:rFonts w:hint="eastAsia" w:ascii="仿宋" w:hAnsi="仿宋" w:eastAsia="仿宋" w:cs="仿宋"/>
          <w:color w:val="auto"/>
          <w:sz w:val="32"/>
          <w:szCs w:val="32"/>
          <w:highlight w:val="none"/>
        </w:rPr>
        <w:t>下一步改进措施是</w:t>
      </w:r>
      <w:r>
        <w:rPr>
          <w:rFonts w:hint="eastAsia" w:ascii="仿宋" w:hAnsi="仿宋" w:eastAsia="仿宋" w:cs="仿宋"/>
          <w:color w:val="auto"/>
          <w:sz w:val="32"/>
          <w:szCs w:val="32"/>
          <w:highlight w:val="none"/>
          <w:lang w:val="en-US" w:eastAsia="zh-CN"/>
        </w:rPr>
        <w:t>计划2023年内达成慰问，完成支付</w:t>
      </w:r>
      <w:r>
        <w:rPr>
          <w:rFonts w:hint="eastAsia" w:ascii="仿宋" w:hAnsi="仿宋" w:eastAsia="仿宋" w:cs="仿宋"/>
          <w:color w:val="auto"/>
          <w:sz w:val="32"/>
          <w:szCs w:val="32"/>
          <w:highlight w:val="none"/>
        </w:rPr>
        <w:t>。</w:t>
      </w:r>
    </w:p>
    <w:p>
      <w:pPr>
        <w:numPr>
          <w:ilvl w:val="0"/>
          <w:numId w:val="0"/>
        </w:num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lang w:eastAsia="zh-CN"/>
        </w:rPr>
        <w:t>）校舍维修经费</w:t>
      </w:r>
      <w:r>
        <w:rPr>
          <w:rFonts w:hint="eastAsia" w:ascii="仿宋" w:hAnsi="仿宋" w:eastAsia="仿宋" w:cs="仿宋"/>
          <w:color w:val="auto"/>
          <w:sz w:val="32"/>
          <w:szCs w:val="32"/>
          <w:highlight w:val="none"/>
        </w:rPr>
        <w:t>自评得分为</w:t>
      </w:r>
      <w:r>
        <w:rPr>
          <w:rFonts w:hint="eastAsia" w:ascii="仿宋" w:hAnsi="仿宋" w:eastAsia="仿宋" w:cs="仿宋"/>
          <w:color w:val="auto"/>
          <w:sz w:val="32"/>
          <w:szCs w:val="32"/>
          <w:highlight w:val="none"/>
          <w:lang w:val="en-US" w:eastAsia="zh-CN"/>
        </w:rPr>
        <w:t>75</w:t>
      </w:r>
      <w:r>
        <w:rPr>
          <w:rFonts w:hint="eastAsia" w:ascii="仿宋" w:hAnsi="仿宋" w:eastAsia="仿宋" w:cs="仿宋"/>
          <w:color w:val="auto"/>
          <w:sz w:val="32"/>
          <w:szCs w:val="32"/>
          <w:highlight w:val="none"/>
        </w:rPr>
        <w:t>分。发现的主要问题及原因是</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22</w:t>
      </w:r>
      <w:r>
        <w:rPr>
          <w:rFonts w:hint="eastAsia" w:ascii="仿宋" w:hAnsi="仿宋" w:eastAsia="仿宋" w:cs="仿宋"/>
          <w:color w:val="auto"/>
          <w:sz w:val="32"/>
          <w:szCs w:val="32"/>
          <w:highlight w:val="none"/>
          <w:lang w:val="en-US" w:eastAsia="zh-CN"/>
        </w:rPr>
        <w:t>年</w:t>
      </w:r>
      <w:r>
        <w:rPr>
          <w:rFonts w:hint="eastAsia" w:ascii="仿宋" w:hAnsi="仿宋" w:eastAsia="仿宋" w:cs="仿宋"/>
          <w:color w:val="auto"/>
          <w:sz w:val="32"/>
          <w:szCs w:val="32"/>
          <w:highlight w:val="none"/>
        </w:rPr>
        <w:t>秋</w:t>
      </w:r>
      <w:r>
        <w:rPr>
          <w:rFonts w:hint="eastAsia" w:ascii="仿宋" w:hAnsi="仿宋" w:eastAsia="仿宋" w:cs="仿宋"/>
          <w:color w:val="auto"/>
          <w:sz w:val="32"/>
          <w:szCs w:val="32"/>
          <w:highlight w:val="none"/>
          <w:lang w:eastAsia="zh-CN"/>
        </w:rPr>
        <w:t>校舍维修经费</w:t>
      </w:r>
      <w:r>
        <w:rPr>
          <w:rFonts w:hint="eastAsia" w:ascii="仿宋" w:hAnsi="仿宋" w:eastAsia="仿宋" w:cs="仿宋"/>
          <w:color w:val="auto"/>
          <w:sz w:val="32"/>
          <w:szCs w:val="32"/>
          <w:highlight w:val="none"/>
          <w:lang w:val="en-US" w:eastAsia="zh-CN"/>
        </w:rPr>
        <w:t>未能及时整理材料报账</w:t>
      </w:r>
      <w:r>
        <w:rPr>
          <w:rFonts w:hint="eastAsia" w:ascii="仿宋" w:hAnsi="仿宋" w:eastAsia="仿宋" w:cs="仿宋"/>
          <w:color w:val="auto"/>
          <w:sz w:val="32"/>
          <w:szCs w:val="32"/>
          <w:highlight w:val="none"/>
        </w:rPr>
        <w:t>。下一步改进措施：及时整理校舍维修材料，经跟财政局协商，2022年度校舍维修经费到2023年初支付。</w:t>
      </w:r>
    </w:p>
    <w:p>
      <w:pPr>
        <w:ind w:firstLine="640" w:firstLineChars="200"/>
        <w:jc w:val="left"/>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奖励性补贴项目自评得分为</w:t>
      </w:r>
      <w:r>
        <w:rPr>
          <w:rFonts w:hint="eastAsia" w:ascii="仿宋" w:hAnsi="仿宋" w:eastAsia="仿宋" w:cs="仿宋"/>
          <w:color w:val="auto"/>
          <w:sz w:val="32"/>
          <w:szCs w:val="32"/>
          <w:highlight w:val="none"/>
          <w:lang w:val="en-US" w:eastAsia="zh-CN"/>
        </w:rPr>
        <w:t>100</w:t>
      </w:r>
      <w:r>
        <w:rPr>
          <w:rFonts w:hint="eastAsia" w:ascii="仿宋" w:hAnsi="仿宋" w:eastAsia="仿宋" w:cs="仿宋"/>
          <w:color w:val="auto"/>
          <w:sz w:val="32"/>
          <w:szCs w:val="32"/>
          <w:highlight w:val="none"/>
        </w:rPr>
        <w:t>分。</w:t>
      </w:r>
      <w:r>
        <w:rPr>
          <w:rFonts w:hint="eastAsia" w:ascii="仿宋" w:hAnsi="仿宋" w:eastAsia="仿宋" w:cs="仿宋"/>
          <w:color w:val="auto"/>
          <w:sz w:val="32"/>
          <w:szCs w:val="32"/>
          <w:highlight w:val="none"/>
          <w:lang w:val="en-US" w:eastAsia="zh-CN"/>
        </w:rPr>
        <w:t>完成支付率100%，</w:t>
      </w:r>
      <w:r>
        <w:rPr>
          <w:rFonts w:hint="eastAsia" w:ascii="仿宋" w:hAnsi="仿宋" w:eastAsia="仿宋" w:cs="仿宋"/>
          <w:color w:val="auto"/>
          <w:sz w:val="32"/>
          <w:szCs w:val="32"/>
          <w:highlight w:val="none"/>
        </w:rPr>
        <w:t>通过发放奖励性补贴，极大地改善了教师生活水平，为教师队伍的稳定提供保障</w:t>
      </w:r>
      <w:r>
        <w:rPr>
          <w:rFonts w:hint="eastAsia" w:ascii="仿宋" w:hAnsi="仿宋" w:eastAsia="仿宋" w:cs="仿宋"/>
          <w:color w:val="auto"/>
          <w:sz w:val="32"/>
          <w:szCs w:val="32"/>
          <w:highlight w:val="none"/>
          <w:lang w:eastAsia="zh-CN"/>
        </w:rPr>
        <w:t>。</w:t>
      </w:r>
    </w:p>
    <w:p>
      <w:pPr>
        <w:ind w:firstLine="640" w:firstLineChars="200"/>
        <w:jc w:val="left"/>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教师节经费项目自评得分为</w:t>
      </w:r>
      <w:r>
        <w:rPr>
          <w:rFonts w:hint="eastAsia" w:ascii="仿宋" w:hAnsi="仿宋" w:eastAsia="仿宋" w:cs="仿宋"/>
          <w:color w:val="auto"/>
          <w:sz w:val="32"/>
          <w:szCs w:val="32"/>
          <w:highlight w:val="none"/>
          <w:lang w:val="en-US" w:eastAsia="zh-CN"/>
        </w:rPr>
        <w:t>100</w:t>
      </w:r>
      <w:r>
        <w:rPr>
          <w:rFonts w:hint="eastAsia" w:ascii="仿宋" w:hAnsi="仿宋" w:eastAsia="仿宋" w:cs="仿宋"/>
          <w:color w:val="auto"/>
          <w:sz w:val="32"/>
          <w:szCs w:val="32"/>
          <w:highlight w:val="none"/>
        </w:rPr>
        <w:t>分。获得表彰</w:t>
      </w:r>
      <w:r>
        <w:rPr>
          <w:rFonts w:hint="eastAsia" w:ascii="仿宋" w:hAnsi="仿宋" w:eastAsia="仿宋" w:cs="仿宋"/>
          <w:color w:val="auto"/>
          <w:sz w:val="32"/>
          <w:szCs w:val="32"/>
          <w:highlight w:val="none"/>
          <w:lang w:val="en-US" w:eastAsia="zh-CN"/>
        </w:rPr>
        <w:t>27</w:t>
      </w:r>
      <w:r>
        <w:rPr>
          <w:rFonts w:hint="eastAsia" w:ascii="仿宋" w:hAnsi="仿宋" w:eastAsia="仿宋" w:cs="仿宋"/>
          <w:color w:val="auto"/>
          <w:sz w:val="32"/>
          <w:szCs w:val="32"/>
          <w:highlight w:val="none"/>
        </w:rPr>
        <w:t>人，已按时足额发放至个人，达成预期</w:t>
      </w:r>
      <w:r>
        <w:rPr>
          <w:rFonts w:hint="eastAsia" w:ascii="仿宋" w:hAnsi="仿宋" w:eastAsia="仿宋" w:cs="仿宋"/>
          <w:color w:val="auto"/>
          <w:sz w:val="32"/>
          <w:szCs w:val="32"/>
          <w:highlight w:val="none"/>
          <w:lang w:eastAsia="zh-CN"/>
        </w:rPr>
        <w:t>值。</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义务教育中央级公用经费项目自评得分为</w:t>
      </w:r>
      <w:r>
        <w:rPr>
          <w:rFonts w:hint="eastAsia" w:ascii="仿宋" w:hAnsi="仿宋" w:eastAsia="仿宋" w:cs="仿宋"/>
          <w:color w:val="auto"/>
          <w:sz w:val="32"/>
          <w:szCs w:val="32"/>
          <w:highlight w:val="none"/>
          <w:lang w:val="en-US" w:eastAsia="zh-CN"/>
        </w:rPr>
        <w:t>90.56</w:t>
      </w:r>
      <w:r>
        <w:rPr>
          <w:rFonts w:hint="eastAsia" w:ascii="仿宋" w:hAnsi="仿宋" w:eastAsia="仿宋" w:cs="仿宋"/>
          <w:color w:val="auto"/>
          <w:sz w:val="32"/>
          <w:szCs w:val="32"/>
          <w:highlight w:val="none"/>
        </w:rPr>
        <w:t>分。发现的主要问题及原因：一是义务教育中央级公用经费本年度完成支付率</w:t>
      </w:r>
      <w:r>
        <w:rPr>
          <w:rFonts w:hint="eastAsia" w:ascii="仿宋" w:hAnsi="仿宋" w:eastAsia="仿宋" w:cs="仿宋"/>
          <w:color w:val="auto"/>
          <w:sz w:val="32"/>
          <w:szCs w:val="32"/>
          <w:highlight w:val="none"/>
          <w:lang w:val="en-US" w:eastAsia="zh-CN"/>
        </w:rPr>
        <w:t>62.77</w:t>
      </w:r>
      <w:r>
        <w:rPr>
          <w:rFonts w:hint="eastAsia" w:ascii="仿宋" w:hAnsi="仿宋" w:eastAsia="仿宋" w:cs="仿宋"/>
          <w:color w:val="auto"/>
          <w:sz w:val="32"/>
          <w:szCs w:val="32"/>
          <w:highlight w:val="none"/>
        </w:rPr>
        <w:t>%，与达成预期指标稍有偏差</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二是部分发票未能及时整理送审</w:t>
      </w:r>
      <w:r>
        <w:rPr>
          <w:rFonts w:hint="eastAsia" w:ascii="仿宋" w:hAnsi="仿宋" w:eastAsia="仿宋" w:cs="仿宋"/>
          <w:color w:val="auto"/>
          <w:sz w:val="32"/>
          <w:szCs w:val="32"/>
          <w:highlight w:val="none"/>
        </w:rPr>
        <w:t>。下一步改进措施是</w:t>
      </w:r>
      <w:r>
        <w:rPr>
          <w:rFonts w:hint="eastAsia" w:ascii="仿宋" w:hAnsi="仿宋" w:eastAsia="仿宋" w:cs="仿宋"/>
          <w:color w:val="auto"/>
          <w:sz w:val="32"/>
          <w:szCs w:val="32"/>
          <w:highlight w:val="none"/>
          <w:lang w:val="en-US" w:eastAsia="zh-CN"/>
        </w:rPr>
        <w:t>及时整理材料送审支付</w:t>
      </w:r>
      <w:r>
        <w:rPr>
          <w:rFonts w:hint="eastAsia" w:ascii="仿宋" w:hAnsi="仿宋" w:eastAsia="仿宋" w:cs="仿宋"/>
          <w:color w:val="auto"/>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义务教育阶段家庭经济困难学生生活中央补助资金项目自评得分为</w:t>
      </w:r>
      <w:r>
        <w:rPr>
          <w:rFonts w:hint="eastAsia" w:ascii="仿宋" w:hAnsi="仿宋" w:eastAsia="仿宋" w:cs="仿宋"/>
          <w:color w:val="auto"/>
          <w:sz w:val="32"/>
          <w:szCs w:val="32"/>
          <w:highlight w:val="none"/>
          <w:lang w:val="en-US" w:eastAsia="zh-CN"/>
        </w:rPr>
        <w:t>90</w:t>
      </w:r>
      <w:r>
        <w:rPr>
          <w:rFonts w:hint="eastAsia" w:ascii="仿宋" w:hAnsi="仿宋" w:eastAsia="仿宋" w:cs="仿宋"/>
          <w:color w:val="auto"/>
          <w:sz w:val="32"/>
          <w:szCs w:val="32"/>
          <w:highlight w:val="none"/>
        </w:rPr>
        <w:t>分。按时足额发放至</w:t>
      </w:r>
      <w:r>
        <w:rPr>
          <w:rFonts w:hint="eastAsia" w:ascii="仿宋" w:hAnsi="仿宋" w:eastAsia="仿宋" w:cs="仿宋"/>
          <w:color w:val="auto"/>
          <w:sz w:val="32"/>
          <w:szCs w:val="32"/>
          <w:highlight w:val="none"/>
          <w:lang w:val="en-US" w:eastAsia="zh-CN"/>
        </w:rPr>
        <w:t>学生</w:t>
      </w:r>
      <w:r>
        <w:rPr>
          <w:rFonts w:hint="eastAsia" w:ascii="仿宋" w:hAnsi="仿宋" w:eastAsia="仿宋" w:cs="仿宋"/>
          <w:color w:val="auto"/>
          <w:sz w:val="32"/>
          <w:szCs w:val="32"/>
          <w:highlight w:val="none"/>
        </w:rPr>
        <w:t>个人</w:t>
      </w:r>
      <w:r>
        <w:rPr>
          <w:rFonts w:hint="eastAsia" w:ascii="仿宋" w:hAnsi="仿宋" w:eastAsia="仿宋" w:cs="仿宋"/>
          <w:color w:val="auto"/>
          <w:sz w:val="32"/>
          <w:szCs w:val="32"/>
          <w:highlight w:val="none"/>
          <w:lang w:val="en-US" w:eastAsia="zh-CN"/>
        </w:rPr>
        <w:t>账户，</w:t>
      </w:r>
      <w:r>
        <w:rPr>
          <w:rFonts w:hint="eastAsia" w:ascii="仿宋" w:hAnsi="仿宋" w:eastAsia="仿宋" w:cs="仿宋"/>
          <w:color w:val="auto"/>
          <w:sz w:val="32"/>
          <w:szCs w:val="32"/>
          <w:highlight w:val="none"/>
        </w:rPr>
        <w:t>解决困难家庭学生经济困难，提高困难学生生活水平。</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11）</w:t>
      </w:r>
      <w:r>
        <w:rPr>
          <w:rFonts w:hint="eastAsia" w:ascii="仿宋" w:hAnsi="仿宋" w:eastAsia="仿宋" w:cs="仿宋"/>
          <w:color w:val="auto"/>
          <w:sz w:val="32"/>
          <w:szCs w:val="32"/>
          <w:highlight w:val="none"/>
        </w:rPr>
        <w:t>自治区公用经费项目自评得分为</w:t>
      </w:r>
      <w:r>
        <w:rPr>
          <w:rFonts w:hint="eastAsia" w:ascii="仿宋" w:hAnsi="仿宋" w:eastAsia="仿宋" w:cs="仿宋"/>
          <w:color w:val="auto"/>
          <w:sz w:val="32"/>
          <w:szCs w:val="32"/>
          <w:highlight w:val="none"/>
          <w:lang w:val="en-US" w:eastAsia="zh-CN"/>
        </w:rPr>
        <w:t>66.58</w:t>
      </w:r>
      <w:r>
        <w:rPr>
          <w:rFonts w:hint="eastAsia" w:ascii="仿宋" w:hAnsi="仿宋" w:eastAsia="仿宋" w:cs="仿宋"/>
          <w:color w:val="auto"/>
          <w:sz w:val="32"/>
          <w:szCs w:val="32"/>
          <w:highlight w:val="none"/>
        </w:rPr>
        <w:t>分。发现的主要问题及原因一是义务教育自治区公用经费本年度</w:t>
      </w:r>
      <w:r>
        <w:rPr>
          <w:rFonts w:hint="eastAsia" w:ascii="仿宋" w:hAnsi="仿宋" w:eastAsia="仿宋" w:cs="仿宋"/>
          <w:color w:val="auto"/>
          <w:sz w:val="32"/>
          <w:szCs w:val="32"/>
          <w:highlight w:val="none"/>
          <w:lang w:val="en-US" w:eastAsia="zh-CN"/>
        </w:rPr>
        <w:t>未</w:t>
      </w:r>
      <w:r>
        <w:rPr>
          <w:rFonts w:hint="eastAsia" w:ascii="仿宋" w:hAnsi="仿宋" w:eastAsia="仿宋" w:cs="仿宋"/>
          <w:color w:val="auto"/>
          <w:sz w:val="32"/>
          <w:szCs w:val="32"/>
          <w:highlight w:val="none"/>
        </w:rPr>
        <w:t>完成</w:t>
      </w:r>
      <w:r>
        <w:rPr>
          <w:rFonts w:hint="eastAsia" w:ascii="仿宋" w:hAnsi="仿宋" w:eastAsia="仿宋" w:cs="仿宋"/>
          <w:color w:val="auto"/>
          <w:sz w:val="32"/>
          <w:szCs w:val="32"/>
          <w:highlight w:val="none"/>
          <w:lang w:val="en-US" w:eastAsia="zh-CN"/>
        </w:rPr>
        <w:t>100%</w:t>
      </w:r>
      <w:r>
        <w:rPr>
          <w:rFonts w:hint="eastAsia" w:ascii="仿宋" w:hAnsi="仿宋" w:eastAsia="仿宋" w:cs="仿宋"/>
          <w:color w:val="auto"/>
          <w:sz w:val="32"/>
          <w:szCs w:val="32"/>
          <w:highlight w:val="none"/>
        </w:rPr>
        <w:t>支付，与达成预期指标稍有偏差</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二是有部分发票没有及时整理送审，导致支付进度缓慢。</w:t>
      </w:r>
      <w:r>
        <w:rPr>
          <w:rFonts w:hint="eastAsia" w:ascii="仿宋" w:hAnsi="仿宋" w:eastAsia="仿宋" w:cs="仿宋"/>
          <w:color w:val="auto"/>
          <w:sz w:val="32"/>
          <w:szCs w:val="32"/>
          <w:highlight w:val="none"/>
        </w:rPr>
        <w:t>下一步改进措施是</w:t>
      </w:r>
      <w:r>
        <w:rPr>
          <w:rFonts w:hint="eastAsia" w:ascii="仿宋" w:hAnsi="仿宋" w:eastAsia="仿宋" w:cs="仿宋"/>
          <w:color w:val="auto"/>
          <w:sz w:val="32"/>
          <w:szCs w:val="32"/>
          <w:highlight w:val="none"/>
          <w:lang w:val="en-US" w:eastAsia="zh-CN"/>
        </w:rPr>
        <w:t>及时整理材料送审支付</w:t>
      </w:r>
      <w:r>
        <w:rPr>
          <w:rFonts w:hint="eastAsia" w:ascii="仿宋" w:hAnsi="仿宋" w:eastAsia="仿宋" w:cs="仿宋"/>
          <w:color w:val="auto"/>
          <w:sz w:val="32"/>
          <w:szCs w:val="32"/>
          <w:highlight w:val="none"/>
        </w:rPr>
        <w:t>。</w:t>
      </w:r>
    </w:p>
    <w:p>
      <w:pPr>
        <w:ind w:firstLine="640" w:firstLineChars="200"/>
        <w:jc w:val="left"/>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优秀教师奖金自治区补助资金自评得分为</w:t>
      </w:r>
      <w:r>
        <w:rPr>
          <w:rFonts w:hint="eastAsia" w:ascii="仿宋" w:hAnsi="仿宋" w:eastAsia="仿宋" w:cs="仿宋"/>
          <w:color w:val="auto"/>
          <w:sz w:val="32"/>
          <w:szCs w:val="32"/>
          <w:highlight w:val="none"/>
          <w:lang w:val="en-US" w:eastAsia="zh-CN"/>
        </w:rPr>
        <w:t>80</w:t>
      </w:r>
      <w:r>
        <w:rPr>
          <w:rFonts w:hint="eastAsia" w:ascii="仿宋" w:hAnsi="仿宋" w:eastAsia="仿宋" w:cs="仿宋"/>
          <w:color w:val="auto"/>
          <w:sz w:val="32"/>
          <w:szCs w:val="32"/>
          <w:highlight w:val="none"/>
        </w:rPr>
        <w:t>分。获得优秀教师</w:t>
      </w:r>
      <w:r>
        <w:rPr>
          <w:rFonts w:hint="eastAsia" w:ascii="仿宋" w:hAnsi="仿宋" w:eastAsia="仿宋" w:cs="仿宋"/>
          <w:color w:val="auto"/>
          <w:sz w:val="32"/>
          <w:szCs w:val="32"/>
          <w:highlight w:val="none"/>
          <w:lang w:eastAsia="zh-CN"/>
        </w:rPr>
        <w:t>奖</w:t>
      </w:r>
      <w:r>
        <w:rPr>
          <w:rFonts w:hint="eastAsia" w:ascii="仿宋" w:hAnsi="仿宋" w:eastAsia="仿宋" w:cs="仿宋"/>
          <w:color w:val="auto"/>
          <w:sz w:val="32"/>
          <w:szCs w:val="32"/>
          <w:highlight w:val="none"/>
          <w:lang w:val="en-US" w:eastAsia="zh-CN"/>
        </w:rPr>
        <w:t>1人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当年支付率为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原因是：</w:t>
      </w:r>
      <w:r>
        <w:rPr>
          <w:rFonts w:hint="eastAsia" w:ascii="仿宋" w:hAnsi="仿宋" w:eastAsia="仿宋" w:cs="仿宋"/>
          <w:color w:val="auto"/>
          <w:sz w:val="32"/>
          <w:szCs w:val="32"/>
          <w:highlight w:val="none"/>
        </w:rPr>
        <w:t>没有及时整理报账材料，因此发放0人，经跟财政协商，同意于2023年初</w:t>
      </w:r>
      <w:r>
        <w:rPr>
          <w:rFonts w:hint="eastAsia" w:ascii="仿宋" w:hAnsi="仿宋" w:eastAsia="仿宋" w:cs="仿宋"/>
          <w:color w:val="auto"/>
          <w:sz w:val="32"/>
          <w:szCs w:val="32"/>
          <w:highlight w:val="none"/>
          <w:lang w:eastAsia="zh-CN"/>
        </w:rPr>
        <w:t>完成</w:t>
      </w:r>
      <w:r>
        <w:rPr>
          <w:rFonts w:hint="eastAsia" w:ascii="仿宋" w:hAnsi="仿宋" w:eastAsia="仿宋" w:cs="仿宋"/>
          <w:color w:val="auto"/>
          <w:sz w:val="32"/>
          <w:szCs w:val="32"/>
          <w:highlight w:val="none"/>
        </w:rPr>
        <w:t>发放。</w:t>
      </w:r>
    </w:p>
    <w:p>
      <w:pPr>
        <w:jc w:val="left"/>
        <w:rPr>
          <w:rFonts w:hint="eastAsia" w:ascii="仿宋" w:hAnsi="仿宋" w:eastAsia="仿宋" w:cs="仿宋"/>
          <w:color w:val="auto"/>
          <w:sz w:val="32"/>
          <w:szCs w:val="32"/>
          <w:highlight w:val="none"/>
          <w:lang w:eastAsia="zh-CN"/>
        </w:rPr>
      </w:pPr>
    </w:p>
    <w:p>
      <w:pPr>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一、财政拨款收入：指</w:t>
      </w:r>
      <w:r>
        <w:rPr>
          <w:rFonts w:ascii="仿宋" w:hAnsi="仿宋" w:eastAsia="仿宋" w:cs="仿宋"/>
          <w:color w:val="auto"/>
          <w:sz w:val="32"/>
          <w:highlight w:val="none"/>
          <w:u w:color="auto"/>
        </w:rPr>
        <w:t>环江毛南族自治县财政部门当年拨付的资金。</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二、事业收入：指事业单位开展专业业务活动及辅助活动所取得的收入。</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四、其他收入：指除上述“财政拨款收入”“事业收入”“经营收入”等以外的收入。</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六、年初结转和结余：指以前年度尚未完成、结转到本年 按有关规定继续使用的资金</w:t>
      </w:r>
      <w:r>
        <w:rPr>
          <w:rFonts w:hint="eastAsia" w:ascii="仿宋" w:hAnsi="仿宋" w:eastAsia="仿宋" w:cs="仿宋"/>
          <w:color w:val="auto"/>
          <w:sz w:val="32"/>
          <w:szCs w:val="32"/>
          <w:highlight w:val="none"/>
          <w:lang w:eastAsia="zh-CN"/>
        </w:rPr>
        <w:t>。</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十二、“三公”经费：纳入</w:t>
      </w:r>
      <w:r>
        <w:rPr>
          <w:rFonts w:ascii="仿宋" w:hAnsi="仿宋" w:eastAsia="仿宋" w:cs="仿宋"/>
          <w:color w:val="auto"/>
          <w:sz w:val="32"/>
          <w:highlight w:val="none"/>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hint="eastAsia" w:ascii="仿宋" w:hAnsi="仿宋" w:eastAsia="仿宋" w:cs="仿宋"/>
          <w:color w:val="auto"/>
          <w:sz w:val="32"/>
          <w:szCs w:val="32"/>
          <w:highlight w:val="none"/>
        </w:rPr>
      </w:pPr>
    </w:p>
    <w:p>
      <w:pPr>
        <w:ind w:firstLine="640" w:firstLineChars="200"/>
        <w:jc w:val="left"/>
        <w:rPr>
          <w:rFonts w:hint="eastAsia" w:ascii="仿宋" w:hAnsi="仿宋" w:eastAsia="仿宋" w:cs="仿宋"/>
          <w:color w:val="auto"/>
          <w:sz w:val="32"/>
          <w:szCs w:val="32"/>
          <w:highlight w:val="none"/>
        </w:rPr>
      </w:pPr>
    </w:p>
    <w:p>
      <w:pPr>
        <w:ind w:firstLine="640" w:firstLineChars="200"/>
        <w:jc w:val="left"/>
        <w:rPr>
          <w:rFonts w:hint="eastAsia" w:ascii="仿宋" w:hAnsi="仿宋" w:eastAsia="仿宋" w:cs="仿宋"/>
          <w:color w:val="auto"/>
          <w:sz w:val="32"/>
          <w:szCs w:val="32"/>
          <w:highlight w:val="none"/>
        </w:rPr>
      </w:pPr>
    </w:p>
    <w:p>
      <w:pPr>
        <w:ind w:firstLine="640" w:firstLineChars="200"/>
        <w:jc w:val="left"/>
        <w:rPr>
          <w:rFonts w:hint="eastAsia" w:ascii="仿宋" w:hAnsi="仿宋" w:eastAsia="仿宋" w:cs="仿宋"/>
          <w:color w:val="auto"/>
          <w:sz w:val="32"/>
          <w:szCs w:val="32"/>
          <w:highlight w:val="none"/>
        </w:rPr>
      </w:pPr>
    </w:p>
    <w:p>
      <w:pPr>
        <w:ind w:firstLine="640" w:firstLineChars="200"/>
        <w:jc w:val="left"/>
        <w:rPr>
          <w:rFonts w:hint="eastAsia" w:ascii="仿宋" w:hAnsi="仿宋" w:eastAsia="仿宋" w:cs="仿宋"/>
          <w:color w:val="auto"/>
          <w:sz w:val="32"/>
          <w:szCs w:val="32"/>
          <w:highlight w:val="none"/>
        </w:rPr>
      </w:pPr>
    </w:p>
    <w:p>
      <w:pPr>
        <w:ind w:firstLine="640" w:firstLineChars="200"/>
        <w:jc w:val="left"/>
        <w:rPr>
          <w:rFonts w:hint="eastAsia" w:ascii="仿宋" w:hAnsi="仿宋" w:eastAsia="仿宋" w:cs="仿宋"/>
          <w:color w:val="auto"/>
          <w:sz w:val="32"/>
          <w:szCs w:val="32"/>
          <w:highlight w:val="none"/>
        </w:rPr>
      </w:pPr>
    </w:p>
    <w:p>
      <w:pPr>
        <w:ind w:firstLine="640" w:firstLineChars="200"/>
        <w:jc w:val="left"/>
        <w:rPr>
          <w:rFonts w:hint="eastAsia" w:ascii="仿宋" w:hAnsi="仿宋" w:eastAsia="仿宋" w:cs="仿宋"/>
          <w:color w:val="auto"/>
          <w:sz w:val="32"/>
          <w:szCs w:val="32"/>
          <w:highlight w:val="none"/>
        </w:rPr>
      </w:pPr>
    </w:p>
    <w:p>
      <w:pPr>
        <w:jc w:val="left"/>
        <w:rPr>
          <w:rFonts w:hint="eastAsia" w:ascii="仿宋" w:hAnsi="仿宋" w:eastAsia="仿宋" w:cs="仿宋"/>
          <w:color w:val="auto"/>
          <w:sz w:val="32"/>
          <w:szCs w:val="32"/>
          <w:highlight w:val="none"/>
        </w:rPr>
      </w:pPr>
    </w:p>
    <w:p>
      <w:pPr>
        <w:ind w:firstLine="640" w:firstLineChars="200"/>
        <w:jc w:val="left"/>
        <w:rPr>
          <w:rFonts w:hint="eastAsia" w:ascii="仿宋" w:hAnsi="仿宋" w:eastAsia="仿宋" w:cs="仿宋"/>
          <w:color w:val="auto"/>
          <w:sz w:val="32"/>
          <w:szCs w:val="32"/>
          <w:highlight w:val="none"/>
        </w:rPr>
      </w:pPr>
    </w:p>
    <w:p>
      <w:pPr>
        <w:ind w:firstLine="640" w:firstLineChars="200"/>
        <w:jc w:val="left"/>
        <w:rPr>
          <w:rFonts w:hint="eastAsia" w:ascii="仿宋" w:hAnsi="仿宋" w:eastAsia="仿宋" w:cs="仿宋"/>
          <w:color w:val="auto"/>
          <w:sz w:val="32"/>
          <w:szCs w:val="32"/>
          <w:highlight w:val="none"/>
        </w:rPr>
      </w:pPr>
    </w:p>
    <w:p>
      <w:pPr>
        <w:ind w:firstLine="640" w:firstLineChars="200"/>
        <w:jc w:val="left"/>
        <w:rPr>
          <w:rFonts w:hint="eastAsia" w:ascii="仿宋" w:hAnsi="仿宋" w:eastAsia="仿宋" w:cs="仿宋"/>
          <w:color w:val="auto"/>
          <w:sz w:val="32"/>
          <w:szCs w:val="32"/>
          <w:highlight w:val="none"/>
        </w:rPr>
      </w:pPr>
    </w:p>
    <w:p>
      <w:pPr>
        <w:ind w:firstLine="640" w:firstLineChars="200"/>
        <w:jc w:val="left"/>
        <w:rPr>
          <w:rFonts w:hint="eastAsia" w:ascii="仿宋" w:hAnsi="仿宋" w:eastAsia="仿宋" w:cs="仿宋"/>
          <w:color w:val="auto"/>
          <w:sz w:val="32"/>
          <w:szCs w:val="32"/>
          <w:highlight w:val="none"/>
        </w:rPr>
      </w:pPr>
    </w:p>
    <w:p>
      <w:pPr>
        <w:ind w:firstLine="640" w:firstLineChars="200"/>
        <w:jc w:val="left"/>
        <w:rPr>
          <w:rFonts w:hint="eastAsia" w:ascii="仿宋" w:hAnsi="仿宋" w:eastAsia="仿宋" w:cs="仿宋"/>
          <w:color w:val="auto"/>
          <w:sz w:val="32"/>
          <w:szCs w:val="32"/>
          <w:highlight w:val="none"/>
        </w:rPr>
      </w:pPr>
    </w:p>
    <w:p>
      <w:pPr>
        <w:ind w:firstLine="640" w:firstLineChars="200"/>
        <w:jc w:val="left"/>
        <w:rPr>
          <w:rFonts w:hint="eastAsia" w:ascii="仿宋" w:hAnsi="仿宋" w:eastAsia="仿宋" w:cs="仿宋"/>
          <w:color w:val="auto"/>
          <w:sz w:val="32"/>
          <w:szCs w:val="32"/>
          <w:highlight w:val="none"/>
        </w:rPr>
      </w:pPr>
    </w:p>
    <w:p>
      <w:pPr>
        <w:jc w:val="left"/>
        <w:rPr>
          <w:rFonts w:hint="eastAsia" w:ascii="仿宋" w:hAnsi="仿宋" w:eastAsia="仿宋" w:cs="仿宋"/>
          <w:color w:val="auto"/>
          <w:sz w:val="24"/>
          <w:szCs w:val="24"/>
          <w:highlight w:val="none"/>
        </w:rPr>
      </w:pPr>
    </w:p>
    <w:sectPr>
      <w:pgSz w:w="11906" w:h="16838"/>
      <w:pgMar w:top="1327" w:right="1066" w:bottom="816" w:left="1066"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BC3F0431"/>
    <w:multiLevelType w:val="singleLevel"/>
    <w:tmpl w:val="BC3F0431"/>
    <w:lvl w:ilvl="0" w:tentative="0">
      <w:start w:val="2"/>
      <w:numFmt w:val="chineseCounting"/>
      <w:suff w:val="nothing"/>
      <w:lvlText w:val="%1、"/>
      <w:lvlJc w:val="left"/>
      <w:rPr>
        <w:rFonts w:hint="eastAsia"/>
      </w:rPr>
    </w:lvl>
  </w:abstractNum>
  <w:abstractNum w:abstractNumId="2">
    <w:nsid w:val="CD762504"/>
    <w:multiLevelType w:val="singleLevel"/>
    <w:tmpl w:val="CD762504"/>
    <w:lvl w:ilvl="0" w:tentative="0">
      <w:start w:val="1"/>
      <w:numFmt w:val="decimal"/>
      <w:lvlText w:val="(%1)"/>
      <w:lvlJc w:val="left"/>
      <w:pPr>
        <w:tabs>
          <w:tab w:val="left" w:pos="312"/>
        </w:tabs>
      </w:pPr>
    </w:lvl>
  </w:abstractNum>
  <w:abstractNum w:abstractNumId="3">
    <w:nsid w:val="CF57D05F"/>
    <w:multiLevelType w:val="singleLevel"/>
    <w:tmpl w:val="CF57D05F"/>
    <w:lvl w:ilvl="0" w:tentative="0">
      <w:start w:val="2"/>
      <w:numFmt w:val="decimal"/>
      <w:suff w:val="space"/>
      <w:lvlText w:val="%1."/>
      <w:lvlJc w:val="left"/>
    </w:lvl>
  </w:abstractNum>
  <w:abstractNum w:abstractNumId="4">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5">
    <w:nsid w:val="25ACF85A"/>
    <w:multiLevelType w:val="singleLevel"/>
    <w:tmpl w:val="25ACF85A"/>
    <w:lvl w:ilvl="0" w:tentative="0">
      <w:start w:val="2"/>
      <w:numFmt w:val="decimal"/>
      <w:suff w:val="nothing"/>
      <w:lvlText w:val="（%1）"/>
      <w:lvlJc w:val="left"/>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00172A27"/>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992762"/>
    <w:rsid w:val="06053772"/>
    <w:rsid w:val="07B0770E"/>
    <w:rsid w:val="0942143F"/>
    <w:rsid w:val="09A45CCE"/>
    <w:rsid w:val="0D100297"/>
    <w:rsid w:val="0D202B45"/>
    <w:rsid w:val="0F8D4C87"/>
    <w:rsid w:val="10505FAA"/>
    <w:rsid w:val="105F7E7E"/>
    <w:rsid w:val="11E56B5B"/>
    <w:rsid w:val="125C77AB"/>
    <w:rsid w:val="14CB726E"/>
    <w:rsid w:val="16B42EE2"/>
    <w:rsid w:val="17E92249"/>
    <w:rsid w:val="18D304F1"/>
    <w:rsid w:val="18E174BB"/>
    <w:rsid w:val="193C03AF"/>
    <w:rsid w:val="19D658BB"/>
    <w:rsid w:val="19F32577"/>
    <w:rsid w:val="19F45B80"/>
    <w:rsid w:val="1B0C078D"/>
    <w:rsid w:val="1B2B31E2"/>
    <w:rsid w:val="1B4C295A"/>
    <w:rsid w:val="1B973C63"/>
    <w:rsid w:val="1BA1001E"/>
    <w:rsid w:val="1D317259"/>
    <w:rsid w:val="1D95567E"/>
    <w:rsid w:val="1E664F5B"/>
    <w:rsid w:val="1EB34BE1"/>
    <w:rsid w:val="1F017151"/>
    <w:rsid w:val="20A05652"/>
    <w:rsid w:val="215E639F"/>
    <w:rsid w:val="21EC3183"/>
    <w:rsid w:val="21EF459D"/>
    <w:rsid w:val="225E72CD"/>
    <w:rsid w:val="246E2F77"/>
    <w:rsid w:val="254B4E2B"/>
    <w:rsid w:val="25E937BE"/>
    <w:rsid w:val="283D7C94"/>
    <w:rsid w:val="28673BC6"/>
    <w:rsid w:val="29480E03"/>
    <w:rsid w:val="2983634D"/>
    <w:rsid w:val="2ADB0313"/>
    <w:rsid w:val="2BB02055"/>
    <w:rsid w:val="2C575A56"/>
    <w:rsid w:val="2F257714"/>
    <w:rsid w:val="2F3275E5"/>
    <w:rsid w:val="30AA08EF"/>
    <w:rsid w:val="30D23D1C"/>
    <w:rsid w:val="31221CF5"/>
    <w:rsid w:val="313D3260"/>
    <w:rsid w:val="31400178"/>
    <w:rsid w:val="319A07FF"/>
    <w:rsid w:val="321E3342"/>
    <w:rsid w:val="327759C8"/>
    <w:rsid w:val="33185FE3"/>
    <w:rsid w:val="34EE2E36"/>
    <w:rsid w:val="35D74AF3"/>
    <w:rsid w:val="36777241"/>
    <w:rsid w:val="371E78D5"/>
    <w:rsid w:val="38A951DB"/>
    <w:rsid w:val="38B31605"/>
    <w:rsid w:val="39003F4F"/>
    <w:rsid w:val="39DA4B89"/>
    <w:rsid w:val="3C07002B"/>
    <w:rsid w:val="3D0D152A"/>
    <w:rsid w:val="3DF62756"/>
    <w:rsid w:val="3F1B7587"/>
    <w:rsid w:val="40E43A21"/>
    <w:rsid w:val="41E57B4F"/>
    <w:rsid w:val="42A424CE"/>
    <w:rsid w:val="432F26F6"/>
    <w:rsid w:val="43880F63"/>
    <w:rsid w:val="441C5A6F"/>
    <w:rsid w:val="44C44FCC"/>
    <w:rsid w:val="44CC7369"/>
    <w:rsid w:val="457F5108"/>
    <w:rsid w:val="46951B6B"/>
    <w:rsid w:val="47D15AA6"/>
    <w:rsid w:val="49A34401"/>
    <w:rsid w:val="4A3E30AB"/>
    <w:rsid w:val="4AC14DAC"/>
    <w:rsid w:val="4BA84B5D"/>
    <w:rsid w:val="4CAA61BC"/>
    <w:rsid w:val="4D154C85"/>
    <w:rsid w:val="4EB35ECE"/>
    <w:rsid w:val="4F6109E7"/>
    <w:rsid w:val="508F4E24"/>
    <w:rsid w:val="509C7201"/>
    <w:rsid w:val="51461E90"/>
    <w:rsid w:val="51463753"/>
    <w:rsid w:val="52553A93"/>
    <w:rsid w:val="527F20CB"/>
    <w:rsid w:val="53521F8B"/>
    <w:rsid w:val="53E22F47"/>
    <w:rsid w:val="54522FF8"/>
    <w:rsid w:val="55450629"/>
    <w:rsid w:val="565E68EB"/>
    <w:rsid w:val="56692963"/>
    <w:rsid w:val="568B0F48"/>
    <w:rsid w:val="5786217B"/>
    <w:rsid w:val="59337A15"/>
    <w:rsid w:val="59810274"/>
    <w:rsid w:val="5B8A5A1F"/>
    <w:rsid w:val="5CA96A00"/>
    <w:rsid w:val="5CD223FA"/>
    <w:rsid w:val="5CF730BC"/>
    <w:rsid w:val="5E5F0DCE"/>
    <w:rsid w:val="5FA40A7B"/>
    <w:rsid w:val="5FD56D29"/>
    <w:rsid w:val="5FEC7F3F"/>
    <w:rsid w:val="60032CFC"/>
    <w:rsid w:val="609534FE"/>
    <w:rsid w:val="60F74BC3"/>
    <w:rsid w:val="617D3BF8"/>
    <w:rsid w:val="61841F6A"/>
    <w:rsid w:val="623007A9"/>
    <w:rsid w:val="637D7558"/>
    <w:rsid w:val="644F19AC"/>
    <w:rsid w:val="655B2F90"/>
    <w:rsid w:val="65AA4920"/>
    <w:rsid w:val="65E31D0B"/>
    <w:rsid w:val="67694F1E"/>
    <w:rsid w:val="69597934"/>
    <w:rsid w:val="6B964DDC"/>
    <w:rsid w:val="6BEF84CE"/>
    <w:rsid w:val="6C714E7F"/>
    <w:rsid w:val="6C783074"/>
    <w:rsid w:val="6C9167B6"/>
    <w:rsid w:val="6D9E65C6"/>
    <w:rsid w:val="6DA81947"/>
    <w:rsid w:val="6E8077D8"/>
    <w:rsid w:val="6EB66DE2"/>
    <w:rsid w:val="6ED3075F"/>
    <w:rsid w:val="6F2A2D4B"/>
    <w:rsid w:val="6F8A0C1E"/>
    <w:rsid w:val="703F45D4"/>
    <w:rsid w:val="70F53606"/>
    <w:rsid w:val="715D6546"/>
    <w:rsid w:val="71635DB5"/>
    <w:rsid w:val="71921657"/>
    <w:rsid w:val="71BE069E"/>
    <w:rsid w:val="73074390"/>
    <w:rsid w:val="73953409"/>
    <w:rsid w:val="73E069A3"/>
    <w:rsid w:val="78104AA8"/>
    <w:rsid w:val="78E257C5"/>
    <w:rsid w:val="78FFB6B0"/>
    <w:rsid w:val="794B35BE"/>
    <w:rsid w:val="795A5802"/>
    <w:rsid w:val="7B0A3A31"/>
    <w:rsid w:val="7B2D3AB7"/>
    <w:rsid w:val="7B3360ED"/>
    <w:rsid w:val="7BDF037E"/>
    <w:rsid w:val="7BF50948"/>
    <w:rsid w:val="7CE66A78"/>
    <w:rsid w:val="7D23564C"/>
    <w:rsid w:val="7D5E062D"/>
    <w:rsid w:val="7DF76CD8"/>
    <w:rsid w:val="7F695C26"/>
    <w:rsid w:val="7FCF62D3"/>
    <w:rsid w:val="B2EFA839"/>
    <w:rsid w:val="B7FCABB0"/>
    <w:rsid w:val="F1B2B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3.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1342.74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16.5</c:v>
                </c:pt>
                <c:pt idx="4">
                  <c:v>51.85</c:v>
                </c:pt>
                <c:pt idx="5">
                  <c:v>0</c:v>
                </c:pt>
                <c:pt idx="6">
                  <c:v>0</c:v>
                </c:pt>
                <c:pt idx="7">
                  <c:v>10.83</c:v>
                </c:pt>
                <c:pt idx="8">
                  <c:v>0</c:v>
                </c:pt>
                <c:pt idx="9">
                  <c:v>0</c:v>
                </c:pt>
                <c:pt idx="10">
                  <c:v>0</c:v>
                </c:pt>
                <c:pt idx="11">
                  <c:v>3.21</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953.49</c:v>
                </c:pt>
                <c:pt idx="2">
                  <c:v>127.55</c:v>
                </c:pt>
                <c:pt idx="3">
                  <c:v>70.38</c:v>
                </c:pt>
                <c:pt idx="4">
                  <c:v>300.16</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14.03</c:v>
                </c:pt>
                <c:pt idx="1">
                  <c:v>967.69</c:v>
                </c:pt>
                <c:pt idx="2">
                  <c:v>106.75</c:v>
                </c:pt>
                <c:pt idx="3">
                  <c:v>80.01</c:v>
                </c:pt>
                <c:pt idx="4">
                  <c:v>174.26</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14.03</c:v>
                </c:pt>
                <c:pt idx="1">
                  <c:v>14.03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2050202</c:v>
                </c:pt>
                <c:pt idx="1">
                  <c:v>2050299</c:v>
                </c:pt>
                <c:pt idx="2">
                  <c:v>205x</c:v>
                </c:pt>
              </c:strCache>
            </c:strRef>
          </c:cat>
          <c:val>
            <c:numRef>
              <c:f>Sheet1!$B$2:$B$4</c:f>
              <c:numCache>
                <c:formatCode>General</c:formatCode>
                <c:ptCount val="3"/>
                <c:pt idx="0">
                  <c:v>882.85</c:v>
                </c:pt>
                <c:pt idx="1">
                  <c:v>84.84</c:v>
                </c:pt>
                <c:pt idx="2">
                  <c:v>967.69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106.75</c:v>
                </c:pt>
                <c:pt idx="1">
                  <c:v>106.75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80.01</c:v>
                </c:pt>
                <c:pt idx="1">
                  <c:v>80.01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174.26</c:v>
                </c:pt>
                <c:pt idx="1">
                  <c:v>174.26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400.09</c:v>
                </c:pt>
                <c:pt idx="1">
                  <c:v>28.17</c:v>
                </c:pt>
                <c:pt idx="2">
                  <c:v>168.7</c:v>
                </c:pt>
                <c:pt idx="3">
                  <c:v>0</c:v>
                </c:pt>
                <c:pt idx="4">
                  <c:v>174.56</c:v>
                </c:pt>
                <c:pt idx="5">
                  <c:v>106.75</c:v>
                </c:pt>
                <c:pt idx="6">
                  <c:v>0</c:v>
                </c:pt>
                <c:pt idx="7">
                  <c:v>48.38</c:v>
                </c:pt>
                <c:pt idx="8">
                  <c:v>0</c:v>
                </c:pt>
                <c:pt idx="9">
                  <c:v>6</c:v>
                </c:pt>
                <c:pt idx="10">
                  <c:v>80.01</c:v>
                </c:pt>
                <c:pt idx="11">
                  <c:v>0</c:v>
                </c:pt>
                <c:pt idx="12">
                  <c:v>1.36</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61.74</c:v>
                </c:pt>
                <c:pt idx="1">
                  <c:v>0</c:v>
                </c:pt>
                <c:pt idx="2">
                  <c:v>0</c:v>
                </c:pt>
                <c:pt idx="3">
                  <c:v>0</c:v>
                </c:pt>
                <c:pt idx="4">
                  <c:v>0.55</c:v>
                </c:pt>
                <c:pt idx="5">
                  <c:v>1.35</c:v>
                </c:pt>
                <c:pt idx="6">
                  <c:v>0.65</c:v>
                </c:pt>
                <c:pt idx="7">
                  <c:v>0</c:v>
                </c:pt>
                <c:pt idx="8">
                  <c:v>0</c:v>
                </c:pt>
                <c:pt idx="9">
                  <c:v>2.49</c:v>
                </c:pt>
                <c:pt idx="10">
                  <c:v>0</c:v>
                </c:pt>
                <c:pt idx="11">
                  <c:v>7.71</c:v>
                </c:pt>
                <c:pt idx="12">
                  <c:v>0</c:v>
                </c:pt>
                <c:pt idx="13">
                  <c:v>0</c:v>
                </c:pt>
                <c:pt idx="14">
                  <c:v>0</c:v>
                </c:pt>
                <c:pt idx="15">
                  <c:v>0</c:v>
                </c:pt>
                <c:pt idx="16">
                  <c:v>0</c:v>
                </c:pt>
                <c:pt idx="17">
                  <c:v>0</c:v>
                </c:pt>
                <c:pt idx="18">
                  <c:v>0</c:v>
                </c:pt>
                <c:pt idx="19">
                  <c:v>0.28</c:v>
                </c:pt>
                <c:pt idx="20">
                  <c:v>0</c:v>
                </c:pt>
                <c:pt idx="21">
                  <c:v>14.03</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0</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2023-08-17T10:06:00Z</dcterms:created>
  <dc:creator>C D D</dc:creator>
  <cp:lastModifiedBy>Administrator</cp:lastModifiedBy>
  <cp:lastPrinted>2023-11-22T09:28:00Z</cp:lastPrinted>
  <dcterms:modified xsi:type="dcterms:W3CDTF">2023-11-28T07:43:52Z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