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环江毛南族自治县第一初级中学2022年度部门决算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hint="eastAsia" w:ascii="黑体" w:hAnsi="黑体" w:eastAsia="黑体" w:cs="黑体"/>
          <w:b/>
          <w:bCs/>
          <w:sz w:val="36"/>
          <w:szCs w:val="36"/>
          <w:highlight w:val="none"/>
          <w:lang w:val="en-US" w:eastAsia="zh-CN"/>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bookmarkStart w:id="5" w:name="_GoBack"/>
      <w:bookmarkEnd w:id="5"/>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环江毛南族自治县第一初级中学</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环江毛南族自治县第一初级中学</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环江毛南族自治县第一初级中学</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环江毛南族自治县第一初级中学</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（一）贯彻执行党和国家的教育方针、政策和法律法规；拟订</w:t>
      </w:r>
      <w:r>
        <w:rPr>
          <w:rFonts w:hint="eastAsia" w:ascii="仿宋_GB2312" w:eastAsia="仿宋_GB2312" w:cs="仿宋_GB2312"/>
          <w:kern w:val="0"/>
          <w:sz w:val="32"/>
          <w:szCs w:val="32"/>
          <w:highlight w:val="none"/>
          <w:lang w:eastAsia="zh-CN"/>
        </w:rPr>
        <w:t>全校</w:t>
      </w:r>
      <w:r>
        <w:rPr>
          <w:rFonts w:hint="eastAsia" w:ascii="仿宋_GB2312" w:eastAsia="仿宋_GB2312" w:cs="仿宋_GB2312"/>
          <w:kern w:val="0"/>
          <w:sz w:val="32"/>
          <w:szCs w:val="32"/>
          <w:highlight w:val="none"/>
        </w:rPr>
        <w:t>教育改革与发展规划并组织实施。</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（二）编制本</w:t>
      </w:r>
      <w:r>
        <w:rPr>
          <w:rFonts w:hint="eastAsia" w:ascii="仿宋_GB2312" w:eastAsia="仿宋_GB2312" w:cs="仿宋_GB2312"/>
          <w:kern w:val="0"/>
          <w:sz w:val="32"/>
          <w:szCs w:val="32"/>
          <w:highlight w:val="none"/>
          <w:lang w:eastAsia="zh-CN"/>
        </w:rPr>
        <w:t>校</w:t>
      </w:r>
      <w:r>
        <w:rPr>
          <w:rFonts w:hint="eastAsia" w:ascii="仿宋_GB2312" w:eastAsia="仿宋_GB2312" w:cs="仿宋_GB2312"/>
          <w:kern w:val="0"/>
          <w:sz w:val="32"/>
          <w:szCs w:val="32"/>
          <w:highlight w:val="none"/>
        </w:rPr>
        <w:t>教育事业发展规划并检查实施情况，向</w:t>
      </w:r>
      <w:r>
        <w:rPr>
          <w:rFonts w:hint="eastAsia" w:ascii="仿宋_GB2312" w:eastAsia="仿宋_GB2312" w:cs="仿宋_GB2312"/>
          <w:kern w:val="0"/>
          <w:sz w:val="32"/>
          <w:szCs w:val="32"/>
          <w:highlight w:val="none"/>
          <w:lang w:eastAsia="zh-CN"/>
        </w:rPr>
        <w:t>自治县教育局</w:t>
      </w:r>
      <w:r>
        <w:rPr>
          <w:rFonts w:hint="eastAsia" w:ascii="仿宋_GB2312" w:eastAsia="仿宋_GB2312" w:cs="仿宋_GB2312"/>
          <w:kern w:val="0"/>
          <w:sz w:val="32"/>
          <w:szCs w:val="32"/>
          <w:highlight w:val="none"/>
        </w:rPr>
        <w:t>作出报告。</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（三）督促检查全</w:t>
      </w:r>
      <w:r>
        <w:rPr>
          <w:rFonts w:hint="eastAsia" w:ascii="仿宋_GB2312" w:eastAsia="仿宋_GB2312" w:cs="仿宋_GB2312"/>
          <w:kern w:val="0"/>
          <w:sz w:val="32"/>
          <w:szCs w:val="32"/>
          <w:highlight w:val="none"/>
          <w:lang w:eastAsia="zh-CN"/>
        </w:rPr>
        <w:t>校</w:t>
      </w:r>
      <w:r>
        <w:rPr>
          <w:rFonts w:hint="eastAsia" w:ascii="仿宋_GB2312" w:eastAsia="仿宋_GB2312" w:cs="仿宋_GB2312"/>
          <w:kern w:val="0"/>
          <w:sz w:val="32"/>
          <w:szCs w:val="32"/>
          <w:highlight w:val="none"/>
        </w:rPr>
        <w:t>贯彻执行教育方针、政策、法令、法规和上级的各项规定；评估指导全</w:t>
      </w:r>
      <w:r>
        <w:rPr>
          <w:rFonts w:hint="eastAsia" w:ascii="仿宋_GB2312" w:eastAsia="仿宋_GB2312" w:cs="仿宋_GB2312"/>
          <w:kern w:val="0"/>
          <w:sz w:val="32"/>
          <w:szCs w:val="32"/>
          <w:highlight w:val="none"/>
          <w:lang w:eastAsia="zh-CN"/>
        </w:rPr>
        <w:t>校</w:t>
      </w:r>
      <w:r>
        <w:rPr>
          <w:rFonts w:hint="eastAsia" w:ascii="仿宋_GB2312" w:eastAsia="仿宋_GB2312" w:cs="仿宋_GB2312"/>
          <w:kern w:val="0"/>
          <w:sz w:val="32"/>
          <w:szCs w:val="32"/>
          <w:highlight w:val="none"/>
        </w:rPr>
        <w:t>教育教学工作。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  （四）负责</w:t>
      </w:r>
      <w:r>
        <w:rPr>
          <w:rFonts w:hint="eastAsia" w:ascii="仿宋_GB2312" w:eastAsia="仿宋_GB2312" w:cs="仿宋_GB2312"/>
          <w:kern w:val="0"/>
          <w:sz w:val="32"/>
          <w:szCs w:val="32"/>
          <w:highlight w:val="none"/>
          <w:lang w:eastAsia="zh-CN"/>
        </w:rPr>
        <w:t>全校</w:t>
      </w:r>
      <w:r>
        <w:rPr>
          <w:rFonts w:hint="eastAsia" w:ascii="仿宋_GB2312" w:eastAsia="仿宋_GB2312" w:cs="仿宋_GB2312"/>
          <w:kern w:val="0"/>
          <w:sz w:val="32"/>
          <w:szCs w:val="32"/>
          <w:highlight w:val="none"/>
        </w:rPr>
        <w:t>推进义务教育均衡发展和促进教育公平，</w:t>
      </w:r>
      <w:r>
        <w:rPr>
          <w:rFonts w:hint="eastAsia" w:ascii="仿宋_GB2312" w:eastAsia="仿宋_GB2312" w:cs="仿宋_GB2312"/>
          <w:kern w:val="0"/>
          <w:sz w:val="32"/>
          <w:szCs w:val="32"/>
          <w:highlight w:val="none"/>
          <w:lang w:eastAsia="zh-CN"/>
        </w:rPr>
        <w:t>指导全校</w:t>
      </w:r>
      <w:r>
        <w:rPr>
          <w:rFonts w:hint="eastAsia" w:ascii="仿宋_GB2312" w:eastAsia="仿宋_GB2312" w:cs="仿宋_GB2312"/>
          <w:kern w:val="0"/>
          <w:sz w:val="32"/>
          <w:szCs w:val="32"/>
          <w:highlight w:val="none"/>
        </w:rPr>
        <w:t>教育工作。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（五）负责全</w:t>
      </w:r>
      <w:r>
        <w:rPr>
          <w:rFonts w:hint="eastAsia" w:ascii="仿宋_GB2312" w:eastAsia="仿宋_GB2312" w:cs="仿宋_GB2312"/>
          <w:kern w:val="0"/>
          <w:sz w:val="32"/>
          <w:szCs w:val="32"/>
          <w:highlight w:val="none"/>
          <w:lang w:eastAsia="zh-CN"/>
        </w:rPr>
        <w:t>校教师</w:t>
      </w:r>
      <w:r>
        <w:rPr>
          <w:rFonts w:hint="eastAsia" w:ascii="仿宋_GB2312" w:eastAsia="仿宋_GB2312" w:cs="仿宋_GB2312"/>
          <w:kern w:val="0"/>
          <w:sz w:val="32"/>
          <w:szCs w:val="32"/>
          <w:highlight w:val="none"/>
        </w:rPr>
        <w:t>队伍、人才队伍和教师队伍建设，包括岗位培训、后备干部队伍建设、教师学历教育、继续教育等。</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（六）负责组织全</w:t>
      </w:r>
      <w:r>
        <w:rPr>
          <w:rFonts w:hint="eastAsia" w:ascii="仿宋_GB2312" w:eastAsia="仿宋_GB2312" w:cs="仿宋_GB2312"/>
          <w:kern w:val="0"/>
          <w:sz w:val="32"/>
          <w:szCs w:val="32"/>
          <w:highlight w:val="none"/>
          <w:lang w:eastAsia="zh-CN"/>
        </w:rPr>
        <w:t>校</w:t>
      </w:r>
      <w:r>
        <w:rPr>
          <w:rFonts w:hint="eastAsia" w:ascii="仿宋_GB2312" w:eastAsia="仿宋_GB2312" w:cs="仿宋_GB2312"/>
          <w:kern w:val="0"/>
          <w:sz w:val="32"/>
          <w:szCs w:val="32"/>
          <w:highlight w:val="none"/>
        </w:rPr>
        <w:t>做好中考的考务工作、招生录取工作和学籍管理工作。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 （七）按照中央关于全面推进素质教育要求，负责教育教学管理、教育教学改革及教育教学科学研究工作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（八）检查指导学校教育教学设备的装备、管理和使用工作。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（九）检查指导</w:t>
      </w:r>
      <w:r>
        <w:rPr>
          <w:rFonts w:hint="eastAsia" w:ascii="仿宋_GB2312" w:eastAsia="仿宋_GB2312" w:cs="仿宋_GB2312"/>
          <w:kern w:val="0"/>
          <w:sz w:val="32"/>
          <w:szCs w:val="32"/>
          <w:highlight w:val="none"/>
          <w:lang w:eastAsia="zh-CN"/>
        </w:rPr>
        <w:t>学校</w:t>
      </w:r>
      <w:r>
        <w:rPr>
          <w:rFonts w:hint="eastAsia" w:ascii="仿宋_GB2312" w:eastAsia="仿宋_GB2312" w:cs="仿宋_GB2312"/>
          <w:kern w:val="0"/>
          <w:sz w:val="32"/>
          <w:szCs w:val="32"/>
          <w:highlight w:val="none"/>
        </w:rPr>
        <w:t>开展电化教育和信息化教学工作。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  （十）负责</w:t>
      </w:r>
      <w:r>
        <w:rPr>
          <w:rFonts w:hint="eastAsia" w:ascii="仿宋_GB2312" w:eastAsia="仿宋_GB2312" w:cs="仿宋_GB2312"/>
          <w:kern w:val="0"/>
          <w:sz w:val="32"/>
          <w:szCs w:val="32"/>
          <w:highlight w:val="none"/>
          <w:lang w:eastAsia="zh-CN"/>
        </w:rPr>
        <w:t>学校</w:t>
      </w:r>
      <w:r>
        <w:rPr>
          <w:rFonts w:hint="eastAsia" w:ascii="仿宋_GB2312" w:eastAsia="仿宋_GB2312" w:cs="仿宋_GB2312"/>
          <w:kern w:val="0"/>
          <w:sz w:val="32"/>
          <w:szCs w:val="32"/>
          <w:highlight w:val="none"/>
        </w:rPr>
        <w:t>教师初级专业技术职务资格的评审，中、高级专业技术职务资格的申报</w:t>
      </w:r>
      <w:r>
        <w:rPr>
          <w:rFonts w:hint="eastAsia" w:ascii="仿宋_GB2312" w:eastAsia="仿宋_GB2312" w:cs="仿宋_GB2312"/>
          <w:kern w:val="0"/>
          <w:sz w:val="32"/>
          <w:szCs w:val="32"/>
          <w:highlight w:val="none"/>
          <w:lang w:eastAsia="zh-CN"/>
        </w:rPr>
        <w:t>指导</w:t>
      </w:r>
      <w:r>
        <w:rPr>
          <w:rFonts w:hint="eastAsia" w:ascii="仿宋_GB2312" w:eastAsia="仿宋_GB2312" w:cs="仿宋_GB2312"/>
          <w:kern w:val="0"/>
          <w:sz w:val="32"/>
          <w:szCs w:val="32"/>
          <w:highlight w:val="none"/>
        </w:rPr>
        <w:t>工作。按照管理权限对教师进行考核、聘任、奖惩、晋升等工作。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（十一）负责监督审计</w:t>
      </w:r>
      <w:r>
        <w:rPr>
          <w:rFonts w:hint="eastAsia" w:ascii="仿宋_GB2312" w:eastAsia="仿宋_GB2312" w:cs="仿宋_GB2312"/>
          <w:kern w:val="0"/>
          <w:sz w:val="32"/>
          <w:szCs w:val="32"/>
          <w:highlight w:val="none"/>
          <w:lang w:eastAsia="zh-CN"/>
        </w:rPr>
        <w:t>学校</w:t>
      </w:r>
      <w:r>
        <w:rPr>
          <w:rFonts w:hint="eastAsia" w:ascii="仿宋_GB2312" w:eastAsia="仿宋_GB2312" w:cs="仿宋_GB2312"/>
          <w:kern w:val="0"/>
          <w:sz w:val="32"/>
          <w:szCs w:val="32"/>
          <w:highlight w:val="none"/>
        </w:rPr>
        <w:t>教育经费管理与使用工作。</w:t>
      </w:r>
    </w:p>
    <w:p>
      <w:pPr>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 （十二）负责学校教学教育常规管理评估工作，指导学校德育、体育、卫生、艺术、安全工作以及团组织工作。</w:t>
      </w:r>
    </w:p>
    <w:p>
      <w:pPr>
        <w:jc w:val="left"/>
        <w:rPr>
          <w:rFonts w:hint="eastAsia" w:ascii="仿宋" w:hAnsi="仿宋" w:eastAsia="仿宋" w:cs="仿宋"/>
          <w:sz w:val="32"/>
          <w:szCs w:val="32"/>
        </w:rPr>
      </w:pPr>
      <w:r>
        <w:rPr>
          <w:rFonts w:hint="eastAsia" w:ascii="黑体" w:hAnsi="黑体" w:eastAsia="黑体" w:cs="黑体"/>
          <w:sz w:val="32"/>
          <w:szCs w:val="32"/>
          <w:highlight w:val="none"/>
        </w:rPr>
        <w:t>二、部门决算单位构成</w:t>
      </w:r>
    </w:p>
    <w:p>
      <w:pPr>
        <w:keepNext w:val="0"/>
        <w:keepLines w:val="0"/>
        <w:pageBreakBefore w:val="0"/>
        <w:widowControl w:val="0"/>
        <w:kinsoku/>
        <w:wordWrap/>
        <w:overflowPunct/>
        <w:topLinePunct w:val="0"/>
        <w:autoSpaceDE/>
        <w:autoSpaceDN/>
        <w:bidi w:val="0"/>
        <w:adjustRightInd/>
        <w:snapToGrid/>
        <w:spacing w:line="520" w:lineRule="exact"/>
        <w:ind w:firstLine="617" w:firstLineChars="193"/>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我部门没有下属单位，按照部门决算编报要求，单独编制本部门决算。内设机构情况</w:t>
      </w:r>
      <w:r>
        <w:rPr>
          <w:rFonts w:hint="eastAsia" w:ascii="仿宋_GB2312" w:hAnsi="仿宋_GB2312" w:eastAsia="仿宋_GB2312" w:cs="仿宋_GB2312"/>
          <w:b w:val="0"/>
          <w:bCs w:val="0"/>
          <w:color w:val="auto"/>
          <w:sz w:val="32"/>
          <w:szCs w:val="32"/>
          <w:highlight w:val="none"/>
          <w:lang w:val="en-US" w:eastAsia="zh-CN"/>
        </w:rPr>
        <w:t>如下：总编制130人，设有</w:t>
      </w:r>
      <w:r>
        <w:rPr>
          <w:rFonts w:hint="eastAsia" w:ascii="仿宋_GB2312" w:hAnsi="仿宋_GB2312" w:eastAsia="仿宋_GB2312" w:cs="仿宋_GB2312"/>
          <w:b w:val="0"/>
          <w:bCs w:val="0"/>
          <w:color w:val="auto"/>
          <w:kern w:val="0"/>
          <w:sz w:val="32"/>
          <w:szCs w:val="32"/>
          <w:highlight w:val="none"/>
        </w:rPr>
        <w:t>行政办公室、</w:t>
      </w:r>
      <w:r>
        <w:rPr>
          <w:rFonts w:hint="eastAsia" w:ascii="仿宋_GB2312" w:hAnsi="仿宋_GB2312" w:eastAsia="仿宋_GB2312" w:cs="仿宋_GB2312"/>
          <w:b w:val="0"/>
          <w:bCs w:val="0"/>
          <w:color w:val="auto"/>
          <w:kern w:val="0"/>
          <w:sz w:val="32"/>
          <w:szCs w:val="32"/>
          <w:highlight w:val="none"/>
          <w:lang w:eastAsia="zh-CN"/>
        </w:rPr>
        <w:t>校长室</w:t>
      </w:r>
      <w:r>
        <w:rPr>
          <w:rFonts w:hint="eastAsia" w:ascii="仿宋_GB2312" w:hAnsi="仿宋_GB2312" w:eastAsia="仿宋_GB2312" w:cs="仿宋_GB2312"/>
          <w:b w:val="0"/>
          <w:bCs w:val="0"/>
          <w:color w:val="auto"/>
          <w:kern w:val="0"/>
          <w:sz w:val="32"/>
          <w:szCs w:val="32"/>
          <w:highlight w:val="none"/>
        </w:rPr>
        <w:t>、</w:t>
      </w:r>
      <w:r>
        <w:rPr>
          <w:rFonts w:hint="eastAsia" w:ascii="仿宋_GB2312" w:hAnsi="仿宋_GB2312" w:eastAsia="仿宋_GB2312" w:cs="仿宋_GB2312"/>
          <w:b w:val="0"/>
          <w:bCs w:val="0"/>
          <w:color w:val="auto"/>
          <w:kern w:val="0"/>
          <w:sz w:val="32"/>
          <w:szCs w:val="32"/>
          <w:highlight w:val="none"/>
          <w:lang w:eastAsia="zh-CN"/>
        </w:rPr>
        <w:t>书记室、政教处、教务处、教研处、总务处、资助办、工会、校团委等</w:t>
      </w:r>
      <w:r>
        <w:rPr>
          <w:rFonts w:hint="eastAsia" w:ascii="仿宋_GB2312" w:hAnsi="仿宋_GB2312" w:eastAsia="仿宋_GB2312" w:cs="仿宋_GB2312"/>
          <w:b w:val="0"/>
          <w:bCs w:val="0"/>
          <w:color w:val="auto"/>
          <w:kern w:val="0"/>
          <w:sz w:val="32"/>
          <w:szCs w:val="32"/>
          <w:highlight w:val="none"/>
          <w:lang w:val="en-US" w:eastAsia="zh-CN"/>
        </w:rPr>
        <w:t>十</w:t>
      </w:r>
      <w:r>
        <w:rPr>
          <w:rFonts w:hint="eastAsia" w:ascii="仿宋_GB2312" w:hAnsi="仿宋_GB2312" w:eastAsia="仿宋_GB2312" w:cs="仿宋_GB2312"/>
          <w:b w:val="0"/>
          <w:bCs w:val="0"/>
          <w:color w:val="auto"/>
          <w:kern w:val="0"/>
          <w:sz w:val="32"/>
          <w:szCs w:val="32"/>
          <w:highlight w:val="none"/>
          <w:lang w:eastAsia="zh-CN"/>
        </w:rPr>
        <w:t>部门。</w:t>
      </w: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2240" w:firstLineChars="7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环江毛南族自治县第一初级中学</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环江毛南族自治县第一初级中学</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2355.69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23.60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1646.81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299.63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130.07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255.58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2355.69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2355.69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2355.69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2355.69</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环江毛南族自治县第一初级中学</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2355.69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2355.69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23.60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23.60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23.60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23.60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23.60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23.60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1646.81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1646.81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1646.81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1646.81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初中教育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1602.78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1602.78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44.03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44.03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299.63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299.63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299.63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299.63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299.63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299.63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130.07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130.07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130.07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130.07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130.07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130.07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255.58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255.58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255.58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255.58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255.58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255.58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环江毛南族自治县第一初级中学</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2355.69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2003.62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352.07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23.60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23.60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23.60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23.60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23.60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23.60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1646.81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1550.32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96.49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1646.81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1550.32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96.49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初中教育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1602.78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1550.32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52.46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44.03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44.03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299.63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299.63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299.63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299.63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299.63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299.63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130.07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130.07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130.07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130.07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130.07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130.07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255.58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255.58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255.58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255.58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255.58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255.58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环江毛南族自治县第一初级中学</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2355.69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23.60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23.60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1646.81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1646.81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299.63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299.63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130.07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130.07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255.58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255.58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2355.69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2355.69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2355.69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2355.69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2355.69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2355.69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环江毛南族自治县第一初级中学</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2355.69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2003.62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352.07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23.60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23.60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23.60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23.60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23.60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23.60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1646.81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1550.32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96.49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1646.81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1550.32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96.49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初中教育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1602.78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1550.32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52.46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44.03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44.03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299.63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299.63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299.63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299.63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299.63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299.63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130.07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130.07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130.07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130.07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130.07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130.07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255.58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255.58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255.58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255.58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255.58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255.58</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环江毛南族自治县第一初级中学</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3"/>
            <w:bookmarkStart w:id="1"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1609.48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97.23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707.39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9.23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44.48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70.74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7.25</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16.74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265.98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6.10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299.63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24.29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1.15</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81.53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9.66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130.07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14.90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289.66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38.33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224.34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23.60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26.98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1899.14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104.48</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环江毛南族自治县第一初级中学</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r>
              <w:rPr>
                <w:rFonts w:hint="eastAsia" w:ascii="Times New Roman" w:hAnsi="Times New Roman" w:eastAsia="宋体" w:cs="Times New Roman"/>
                <w:color w:val="auto"/>
                <w:kern w:val="2"/>
                <w:sz w:val="21"/>
                <w:szCs w:val="21"/>
                <w:lang w:val="en-US" w:eastAsia="zh-CN" w:bidi="ar"/>
              </w:rPr>
              <w:t xml:space="preserve"> </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环江毛南族自治县第一初级中学</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环江毛南族自治县第一初级中学</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 xml:space="preserve">年度没有财政拨款“三公”经费收入，也没有财政拨款“三公”经费安排的支出，故本表无数据。 </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环江毛南族自治县第一初级中学</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2355.69</w:t>
      </w:r>
      <w:r>
        <w:rPr>
          <w:rFonts w:hint="eastAsia" w:ascii="仿宋" w:hAnsi="仿宋" w:eastAsia="仿宋" w:cs="仿宋"/>
          <w:sz w:val="32"/>
          <w:szCs w:val="32"/>
          <w:highlight w:val="none"/>
        </w:rPr>
        <w:t>万元，较2021年度决算数</w:t>
      </w:r>
      <w:r>
        <w:rPr>
          <w:rFonts w:ascii="仿宋" w:hAnsi="仿宋" w:eastAsia="仿宋" w:cs="仿宋"/>
          <w:sz w:val="32"/>
          <w:u w:color="auto"/>
        </w:rPr>
        <w:t>减少191.27</w:t>
      </w:r>
      <w:r>
        <w:rPr>
          <w:rFonts w:hint="eastAsia" w:ascii="仿宋" w:hAnsi="仿宋" w:eastAsia="仿宋" w:cs="仿宋"/>
          <w:sz w:val="32"/>
          <w:szCs w:val="32"/>
          <w:highlight w:val="none"/>
        </w:rPr>
        <w:t>万元，</w:t>
      </w:r>
      <w:r>
        <w:rPr>
          <w:rFonts w:ascii="仿宋" w:hAnsi="仿宋" w:eastAsia="仿宋" w:cs="仿宋"/>
          <w:sz w:val="32"/>
          <w:u w:color="auto"/>
        </w:rPr>
        <w:t>下降7.51%</w:t>
      </w:r>
      <w:r>
        <w:rPr>
          <w:rFonts w:hint="eastAsia" w:ascii="仿宋" w:hAnsi="仿宋" w:eastAsia="仿宋" w:cs="仿宋"/>
          <w:sz w:val="32"/>
          <w:szCs w:val="32"/>
          <w:highlight w:val="none"/>
        </w:rPr>
        <w:t>，其中本年收入</w:t>
      </w:r>
      <w:r>
        <w:rPr>
          <w:rFonts w:ascii="仿宋" w:hAnsi="仿宋" w:eastAsia="仿宋" w:cs="仿宋"/>
          <w:sz w:val="32"/>
          <w:u w:color="auto"/>
        </w:rPr>
        <w:t>2355.69</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2355.69</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增加209.48</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增长9.76%</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人员增加，工资提高，上级拨款增加。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减少400.75</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本年度按预算实际开展工作，没有结余。</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984750" cy="2343785"/>
            <wp:effectExtent l="4445" t="4445" r="20955" b="1397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2355.69</w:t>
      </w:r>
      <w:r>
        <w:rPr>
          <w:rFonts w:hint="eastAsia" w:ascii="仿宋" w:hAnsi="仿宋" w:eastAsia="仿宋" w:cs="仿宋"/>
          <w:sz w:val="32"/>
          <w:szCs w:val="32"/>
          <w:highlight w:val="none"/>
        </w:rPr>
        <w:t>万元，其中本年支出</w:t>
      </w:r>
      <w:r>
        <w:rPr>
          <w:rFonts w:ascii="仿宋" w:hAnsi="仿宋" w:eastAsia="仿宋" w:cs="仿宋"/>
          <w:sz w:val="32"/>
          <w:u w:color="auto"/>
        </w:rPr>
        <w:t>2355.69</w:t>
      </w:r>
      <w:r>
        <w:rPr>
          <w:rFonts w:hint="eastAsia" w:ascii="仿宋" w:hAnsi="仿宋" w:eastAsia="仿宋" w:cs="仿宋"/>
          <w:sz w:val="32"/>
          <w:szCs w:val="32"/>
          <w:highlight w:val="none"/>
        </w:rPr>
        <w:t>万元，较2021年度决算数</w:t>
      </w:r>
      <w:r>
        <w:rPr>
          <w:rFonts w:ascii="仿宋" w:hAnsi="仿宋" w:eastAsia="仿宋" w:cs="仿宋"/>
          <w:sz w:val="32"/>
          <w:u w:color="auto"/>
        </w:rPr>
        <w:t>减少191.27</w:t>
      </w:r>
      <w:r>
        <w:rPr>
          <w:rFonts w:hint="eastAsia" w:ascii="仿宋" w:hAnsi="仿宋" w:eastAsia="仿宋" w:cs="仿宋"/>
          <w:sz w:val="32"/>
          <w:szCs w:val="32"/>
          <w:highlight w:val="none"/>
        </w:rPr>
        <w:t>万元，</w:t>
      </w:r>
      <w:r>
        <w:rPr>
          <w:rFonts w:ascii="仿宋" w:hAnsi="仿宋" w:eastAsia="仿宋" w:cs="仿宋"/>
          <w:sz w:val="32"/>
          <w:u w:color="auto"/>
        </w:rPr>
        <w:t>下降7.51%</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23.60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工会费支出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增加23.60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增长100%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人员增加，工会费增加。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教育支出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205</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1646.81</w:t>
      </w:r>
      <w:r>
        <w:rPr>
          <w:rFonts w:hint="eastAsia" w:ascii="仿宋" w:hAnsi="仿宋" w:eastAsia="仿宋" w:cs="仿宋"/>
          <w:sz w:val="32"/>
          <w:szCs w:val="32"/>
          <w:highlight w:val="none"/>
        </w:rPr>
        <w:t>万元：</w:t>
      </w:r>
      <w:r>
        <w:rPr>
          <w:rFonts w:hint="eastAsia" w:ascii="仿宋" w:hAnsi="仿宋" w:eastAsia="仿宋" w:cs="仿宋"/>
          <w:color w:val="auto"/>
          <w:sz w:val="32"/>
          <w:szCs w:val="32"/>
          <w:highlight w:val="none"/>
        </w:rPr>
        <w:t>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人员经费和办公经费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减少354.71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下降17.72%</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主要原因是：教育教学活动开展开支减少，办公费用减少</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299.63</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人员养老保险支出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增加107.12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增长55.64%</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人员工资上涨，人员增加，养老缴费增加。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130.07</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人员住房公积金支出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增加55.62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增长74.71%</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人员增加，工资提高，公积缴费额增长。</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255.58</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w:t>
      </w:r>
      <w:r>
        <w:rPr>
          <w:rFonts w:hint="eastAsia" w:ascii="仿宋" w:hAnsi="仿宋" w:eastAsia="仿宋" w:cs="仿宋"/>
          <w:color w:val="auto"/>
          <w:sz w:val="32"/>
          <w:szCs w:val="32"/>
          <w:highlight w:val="none"/>
        </w:rPr>
        <w:t>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绩效考评奖和伙食费补助</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w:t>
      </w:r>
      <w:r>
        <w:rPr>
          <w:rFonts w:hint="eastAsia" w:ascii="仿宋" w:hAnsi="仿宋" w:eastAsia="仿宋" w:cs="仿宋"/>
          <w:sz w:val="32"/>
          <w:szCs w:val="32"/>
          <w:highlight w:val="none"/>
          <w:lang w:bidi="ar"/>
        </w:rPr>
        <w:t>少22.89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下降8.22%</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绩效资金减少，伙食补助减少。</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color w:val="auto"/>
          <w:kern w:val="2"/>
          <w:sz w:val="32"/>
          <w:szCs w:val="32"/>
          <w:highlight w:val="none"/>
          <w:lang w:val="en-US" w:eastAsia="zh-CN" w:bidi="ar"/>
        </w:rPr>
        <w:t>。</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环江毛南族自治县第一初级中学2022年度一般公共预算财政拨款支出</w:t>
      </w:r>
      <w:r>
        <w:rPr>
          <w:rFonts w:ascii="仿宋" w:hAnsi="仿宋" w:eastAsia="仿宋" w:cs="仿宋"/>
          <w:sz w:val="32"/>
          <w:u w:color="auto"/>
        </w:rPr>
        <w:t>2355.69</w:t>
      </w:r>
      <w:r>
        <w:rPr>
          <w:rFonts w:hint="eastAsia" w:ascii="仿宋" w:hAnsi="仿宋" w:eastAsia="仿宋" w:cs="仿宋"/>
          <w:sz w:val="32"/>
          <w:szCs w:val="32"/>
          <w:highlight w:val="none"/>
        </w:rPr>
        <w:t>万元，较2021年度决算数</w:t>
      </w:r>
      <w:r>
        <w:rPr>
          <w:rFonts w:ascii="仿宋" w:hAnsi="仿宋" w:eastAsia="仿宋" w:cs="仿宋"/>
          <w:sz w:val="32"/>
          <w:u w:color="auto"/>
        </w:rPr>
        <w:t>减少191.27</w:t>
      </w:r>
      <w:r>
        <w:rPr>
          <w:rFonts w:hint="eastAsia" w:ascii="仿宋" w:hAnsi="仿宋" w:eastAsia="仿宋" w:cs="仿宋"/>
          <w:sz w:val="32"/>
          <w:szCs w:val="32"/>
          <w:highlight w:val="none"/>
        </w:rPr>
        <w:t>万元，</w:t>
      </w:r>
      <w:r>
        <w:rPr>
          <w:rFonts w:ascii="仿宋" w:hAnsi="仿宋" w:eastAsia="仿宋" w:cs="仿宋"/>
          <w:sz w:val="32"/>
          <w:u w:color="auto"/>
        </w:rPr>
        <w:t>下降7.51%</w:t>
      </w:r>
      <w:r>
        <w:rPr>
          <w:rFonts w:hint="eastAsia" w:ascii="仿宋" w:hAnsi="仿宋" w:eastAsia="仿宋" w:cs="仿宋"/>
          <w:sz w:val="32"/>
          <w:szCs w:val="32"/>
          <w:highlight w:val="none"/>
        </w:rPr>
        <w:t>。其中：基本支出</w:t>
      </w:r>
      <w:r>
        <w:rPr>
          <w:rFonts w:ascii="仿宋" w:hAnsi="仿宋" w:eastAsia="仿宋" w:cs="仿宋"/>
          <w:sz w:val="32"/>
          <w:u w:color="auto"/>
        </w:rPr>
        <w:t>2003.62</w:t>
      </w:r>
      <w:r>
        <w:rPr>
          <w:rFonts w:hint="eastAsia" w:ascii="仿宋" w:hAnsi="仿宋" w:eastAsia="仿宋" w:cs="仿宋"/>
          <w:sz w:val="32"/>
          <w:szCs w:val="32"/>
          <w:highlight w:val="none"/>
        </w:rPr>
        <w:t>万元，项目支出</w:t>
      </w:r>
      <w:r>
        <w:rPr>
          <w:rFonts w:ascii="仿宋" w:hAnsi="仿宋" w:eastAsia="仿宋" w:cs="仿宋"/>
          <w:sz w:val="32"/>
          <w:u w:color="auto"/>
        </w:rPr>
        <w:t>352.07</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环江毛南族自治县第一初级中学2022 年度一般公共预算财政拨款支出年初预算为</w:t>
      </w:r>
      <w:r>
        <w:rPr>
          <w:rFonts w:ascii="仿宋" w:hAnsi="仿宋" w:eastAsia="仿宋" w:cs="仿宋"/>
          <w:sz w:val="32"/>
          <w:u w:color="auto"/>
        </w:rPr>
        <w:t>1628.00</w:t>
      </w:r>
      <w:r>
        <w:rPr>
          <w:rFonts w:hint="eastAsia" w:ascii="仿宋" w:hAnsi="仿宋" w:eastAsia="仿宋" w:cs="仿宋"/>
          <w:sz w:val="32"/>
          <w:szCs w:val="32"/>
          <w:highlight w:val="none"/>
        </w:rPr>
        <w:t>万元，支出决算为</w:t>
      </w:r>
      <w:r>
        <w:rPr>
          <w:rFonts w:ascii="仿宋" w:hAnsi="仿宋" w:eastAsia="仿宋" w:cs="仿宋"/>
          <w:sz w:val="32"/>
          <w:u w:color="auto"/>
        </w:rPr>
        <w:t>2355.69</w:t>
      </w:r>
      <w:r>
        <w:rPr>
          <w:rFonts w:hint="eastAsia" w:ascii="仿宋" w:hAnsi="仿宋" w:eastAsia="仿宋" w:cs="仿宋"/>
          <w:sz w:val="32"/>
          <w:szCs w:val="32"/>
          <w:highlight w:val="none"/>
        </w:rPr>
        <w:t>万元，完成年初预算的</w:t>
      </w:r>
      <w:r>
        <w:rPr>
          <w:rFonts w:ascii="仿宋" w:hAnsi="仿宋" w:eastAsia="仿宋" w:cs="仿宋"/>
          <w:sz w:val="32"/>
          <w:u w:color="auto"/>
        </w:rPr>
        <w:t>144.70%</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23.60</w:t>
      </w:r>
      <w:r>
        <w:rPr>
          <w:rFonts w:hint="eastAsia" w:ascii="仿宋" w:hAnsi="仿宋" w:eastAsia="仿宋"/>
          <w:sz w:val="32"/>
          <w:szCs w:val="32"/>
          <w:highlight w:val="none"/>
        </w:rPr>
        <w:t>万元，支出决算为</w:t>
      </w:r>
      <w:r>
        <w:rPr>
          <w:rFonts w:ascii="仿宋" w:hAnsi="仿宋" w:eastAsia="仿宋"/>
          <w:sz w:val="32"/>
          <w:szCs w:val="32"/>
          <w:highlight w:val="none"/>
        </w:rPr>
        <w:t>23.60</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人员增加，工资收入提高。</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23.60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23.60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年度工会费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按时完成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23.60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23.60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年度工会费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按时完成</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教育支出</w:t>
      </w:r>
      <w:r>
        <w:rPr>
          <w:rFonts w:ascii="仿宋" w:hAnsi="仿宋" w:eastAsia="仿宋"/>
          <w:sz w:val="32"/>
          <w:u w:color="auto"/>
        </w:rPr>
        <w:t>（205</w:t>
      </w:r>
      <w:r>
        <w:rPr>
          <w:rFonts w:hint="eastAsia" w:ascii="仿宋" w:hAnsi="仿宋" w:eastAsia="仿宋"/>
          <w:sz w:val="32"/>
          <w:szCs w:val="32"/>
          <w:highlight w:val="none"/>
        </w:rPr>
        <w:t>类）年初预算为</w:t>
      </w:r>
      <w:r>
        <w:rPr>
          <w:rFonts w:ascii="仿宋" w:hAnsi="仿宋" w:eastAsia="仿宋"/>
          <w:sz w:val="32"/>
          <w:szCs w:val="32"/>
          <w:highlight w:val="none"/>
        </w:rPr>
        <w:t>1274.02</w:t>
      </w:r>
      <w:r>
        <w:rPr>
          <w:rFonts w:hint="eastAsia" w:ascii="仿宋" w:hAnsi="仿宋" w:eastAsia="仿宋"/>
          <w:sz w:val="32"/>
          <w:szCs w:val="32"/>
          <w:highlight w:val="none"/>
        </w:rPr>
        <w:t>万元，支出决算为</w:t>
      </w:r>
      <w:r>
        <w:rPr>
          <w:rFonts w:ascii="仿宋" w:hAnsi="仿宋" w:eastAsia="仿宋"/>
          <w:sz w:val="32"/>
          <w:szCs w:val="32"/>
          <w:highlight w:val="none"/>
        </w:rPr>
        <w:t>1646.81</w:t>
      </w:r>
      <w:r>
        <w:rPr>
          <w:rFonts w:hint="eastAsia" w:ascii="仿宋" w:hAnsi="仿宋" w:eastAsia="仿宋"/>
          <w:sz w:val="32"/>
          <w:szCs w:val="32"/>
          <w:highlight w:val="none"/>
        </w:rPr>
        <w:t>万元，完成年初预算的</w:t>
      </w:r>
      <w:r>
        <w:rPr>
          <w:rFonts w:ascii="仿宋" w:hAnsi="仿宋" w:eastAsia="仿宋"/>
          <w:sz w:val="32"/>
          <w:szCs w:val="32"/>
          <w:highlight w:val="none"/>
        </w:rPr>
        <w:t>129.26%</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人员增加，工资收入提高。</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2050203</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初中教育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1274.02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1602.78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125.80%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1"/>
                <w:szCs w:val="11"/>
                <w:highlight w:val="none"/>
                <w:u w:val="none"/>
                <w:lang w:val="en-US" w:eastAsia="zh-CN"/>
              </w:rPr>
            </w:pPr>
            <w:r>
              <w:rPr>
                <w:rFonts w:hint="eastAsia" w:ascii="仿宋" w:hAnsi="仿宋" w:eastAsia="仿宋" w:cs="仿宋"/>
                <w:color w:val="auto"/>
                <w:kern w:val="2"/>
                <w:sz w:val="21"/>
                <w:szCs w:val="21"/>
                <w:highlight w:val="none"/>
                <w:lang w:val="en-US" w:eastAsia="zh-CN" w:bidi="ar"/>
              </w:rPr>
              <w:t>人员增加，工资收入提高</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1"/>
                <w:szCs w:val="11"/>
                <w:highlight w:val="none"/>
                <w:u w:val="none"/>
                <w:lang w:val="en-US" w:eastAsia="zh-CN"/>
              </w:rPr>
            </w:pPr>
            <w:r>
              <w:rPr>
                <w:rFonts w:hint="eastAsia" w:ascii="仿宋" w:hAnsi="仿宋" w:eastAsia="仿宋" w:cs="仿宋"/>
                <w:color w:val="auto"/>
                <w:kern w:val="2"/>
                <w:sz w:val="21"/>
                <w:szCs w:val="21"/>
                <w:highlight w:val="none"/>
                <w:lang w:val="en-US" w:eastAsia="zh-CN" w:bidi="ar"/>
              </w:rPr>
              <w:t>人员增加，工资收入提高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44.03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1"/>
                <w:szCs w:val="11"/>
                <w:highlight w:val="none"/>
                <w:u w:val="none"/>
                <w:lang w:val="en-US" w:eastAsia="zh-CN"/>
              </w:rPr>
            </w:pPr>
            <w:r>
              <w:rPr>
                <w:rFonts w:hint="eastAsia" w:ascii="仿宋" w:hAnsi="仿宋" w:eastAsia="仿宋" w:cs="仿宋"/>
                <w:color w:val="auto"/>
                <w:kern w:val="2"/>
                <w:sz w:val="21"/>
                <w:szCs w:val="21"/>
                <w:highlight w:val="none"/>
                <w:lang w:val="en-US" w:eastAsia="zh-CN" w:bidi="ar"/>
              </w:rPr>
              <w:t>人员增加，工资收入提高</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1"/>
                <w:szCs w:val="11"/>
                <w:highlight w:val="none"/>
                <w:u w:val="none"/>
                <w:lang w:val="en-US" w:eastAsia="zh-CN"/>
              </w:rPr>
            </w:pPr>
            <w:r>
              <w:rPr>
                <w:rFonts w:hint="eastAsia" w:ascii="仿宋" w:hAnsi="仿宋" w:eastAsia="仿宋" w:cs="仿宋"/>
                <w:color w:val="auto"/>
                <w:kern w:val="2"/>
                <w:sz w:val="21"/>
                <w:szCs w:val="21"/>
                <w:highlight w:val="none"/>
                <w:lang w:val="en-US" w:eastAsia="zh-CN" w:bidi="ar"/>
              </w:rPr>
              <w:t>人员增加，工资收入提高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1274.02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1646.81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kern w:val="2"/>
                <w:sz w:val="21"/>
                <w:szCs w:val="21"/>
                <w:highlight w:val="none"/>
                <w:lang w:val="en-US" w:eastAsia="zh-CN" w:bidi="ar"/>
              </w:rPr>
              <w:t>人员增加，工资收入提高</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kern w:val="2"/>
                <w:sz w:val="21"/>
                <w:szCs w:val="21"/>
                <w:highlight w:val="none"/>
                <w:lang w:val="en-US" w:eastAsia="zh-CN" w:bidi="ar"/>
              </w:rPr>
              <w:t>人员增加，工资收入提高</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188.79</w:t>
      </w:r>
      <w:r>
        <w:rPr>
          <w:rFonts w:hint="eastAsia" w:ascii="仿宋" w:hAnsi="仿宋" w:eastAsia="仿宋"/>
          <w:sz w:val="32"/>
          <w:szCs w:val="32"/>
          <w:highlight w:val="none"/>
        </w:rPr>
        <w:t>万元，支出决算为</w:t>
      </w:r>
      <w:r>
        <w:rPr>
          <w:rFonts w:ascii="仿宋" w:hAnsi="仿宋" w:eastAsia="仿宋"/>
          <w:sz w:val="32"/>
          <w:szCs w:val="32"/>
          <w:highlight w:val="none"/>
        </w:rPr>
        <w:t>299.63</w:t>
      </w:r>
      <w:r>
        <w:rPr>
          <w:rFonts w:hint="eastAsia" w:ascii="仿宋" w:hAnsi="仿宋" w:eastAsia="仿宋"/>
          <w:sz w:val="32"/>
          <w:szCs w:val="32"/>
          <w:highlight w:val="none"/>
        </w:rPr>
        <w:t>万元，完成年初预算的</w:t>
      </w:r>
      <w:r>
        <w:rPr>
          <w:rFonts w:ascii="仿宋" w:hAnsi="仿宋" w:eastAsia="仿宋"/>
          <w:sz w:val="32"/>
          <w:szCs w:val="32"/>
          <w:highlight w:val="none"/>
        </w:rPr>
        <w:t>158.71%</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人员增加，费用增加。</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188.79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299.63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158.71%</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在职人员养老保险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人员增加，费用增加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188.79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299.63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在职人员养老保险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人员增加，费用增加</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644140"/>
            <wp:effectExtent l="4445" t="4445" r="16510" b="184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141.59</w:t>
      </w:r>
      <w:r>
        <w:rPr>
          <w:rFonts w:hint="eastAsia" w:ascii="仿宋" w:hAnsi="仿宋" w:eastAsia="仿宋"/>
          <w:sz w:val="32"/>
          <w:szCs w:val="32"/>
          <w:highlight w:val="none"/>
        </w:rPr>
        <w:t>万元，支出决算为</w:t>
      </w:r>
      <w:r>
        <w:rPr>
          <w:rFonts w:ascii="仿宋" w:hAnsi="仿宋" w:eastAsia="仿宋"/>
          <w:sz w:val="32"/>
          <w:szCs w:val="32"/>
          <w:highlight w:val="none"/>
        </w:rPr>
        <w:t>130.07</w:t>
      </w:r>
      <w:r>
        <w:rPr>
          <w:rFonts w:hint="eastAsia" w:ascii="仿宋" w:hAnsi="仿宋" w:eastAsia="仿宋"/>
          <w:sz w:val="32"/>
          <w:szCs w:val="32"/>
          <w:highlight w:val="none"/>
        </w:rPr>
        <w:t>万元，完成年初预算的</w:t>
      </w:r>
      <w:r>
        <w:rPr>
          <w:rFonts w:ascii="仿宋" w:hAnsi="仿宋" w:eastAsia="仿宋"/>
          <w:sz w:val="32"/>
          <w:szCs w:val="32"/>
          <w:highlight w:val="none"/>
        </w:rPr>
        <w:t>91.86%</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年初预算公积金基数偏高，实际较少。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141.59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130.07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91.86%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在职公积金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20"/>
                <w:szCs w:val="20"/>
                <w:highlight w:val="none"/>
                <w:u w:val="none"/>
                <w:lang w:val="en-US" w:eastAsia="zh-CN"/>
              </w:rPr>
            </w:pPr>
            <w:r>
              <w:rPr>
                <w:rFonts w:hint="eastAsia" w:ascii="仿宋" w:hAnsi="仿宋" w:eastAsia="仿宋" w:cs="仿宋"/>
                <w:color w:val="auto"/>
                <w:sz w:val="20"/>
                <w:szCs w:val="20"/>
                <w:highlight w:val="none"/>
                <w:lang w:val="en-US" w:eastAsia="zh-CN"/>
              </w:rPr>
              <w:t>年初预算基数偏高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141.59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130.07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在职公积金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20"/>
                <w:szCs w:val="20"/>
                <w:highlight w:val="none"/>
                <w:u w:val="none"/>
                <w:lang w:val="en-US" w:eastAsia="zh-CN"/>
              </w:rPr>
            </w:pPr>
            <w:r>
              <w:rPr>
                <w:rFonts w:hint="eastAsia" w:ascii="仿宋" w:hAnsi="仿宋" w:eastAsia="仿宋" w:cs="仿宋"/>
                <w:color w:val="auto"/>
                <w:sz w:val="20"/>
                <w:szCs w:val="20"/>
                <w:highlight w:val="none"/>
                <w:lang w:val="en-US" w:eastAsia="zh-CN"/>
              </w:rPr>
              <w:t>年初预算基数偏高</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748915"/>
            <wp:effectExtent l="4445" t="4445" r="16510" b="8890"/>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255.58</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年初没有预算。</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255.58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绩效及伙食补助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年初没有预算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255.58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绩效及伙食补助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年初没有预算</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环江毛南族自治县第一初级中学2022年度一般公共预算财政拨款基本支出</w:t>
      </w:r>
      <w:r>
        <w:rPr>
          <w:rFonts w:ascii="仿宋" w:hAnsi="仿宋" w:eastAsia="仿宋" w:cs="仿宋"/>
          <w:sz w:val="32"/>
          <w:u w:color="auto"/>
        </w:rPr>
        <w:t>2003.62</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1899.14</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104.48</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1609.48万元，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109.25%</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人员增加，工资增长。</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707.39万元，30102津贴补贴44.48万元，30103奖金70.74万元，30107绩效工资265.98万元，30108机关事业单位基本养老保险缴费299.63万元，30110职工基本医疗保险缴费81.53万元，30112其他社会保障缴费9.66万元，30113住房公积金130.07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97.23万元，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411.99%</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年初没有商品服务支出预算。</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9.23万元，30204手续费16.74万元，30206电费24.29万元，30207邮电费1.10万元，30211差旅费2.06万元，30213维修（护）费14.90万元，30218专用材料费2.72万元，30228工会经费23.60万元，30299其他商品和服务支出2.61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48915"/>
            <wp:effectExtent l="4445" t="4445" r="16510" b="8890"/>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ascii="仿宋" w:hAnsi="仿宋" w:eastAsia="仿宋" w:cs="仿宋"/>
          <w:sz w:val="32"/>
          <w:u w:color="auto"/>
        </w:rPr>
        <w:t>289.66万元，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929.29%</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主要原因是：年初只预算退休费，没有预算助学金和其他对个人和家庭的补助。</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30305生活补助38.33万元，30308助学金224.34万元，30399其他对个人和家庭的补助26.98万元。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 w:hAnsi="仿宋" w:eastAsia="仿宋" w:cs="仿宋"/>
          <w:color w:val="auto"/>
          <w:kern w:val="2"/>
          <w:sz w:val="32"/>
          <w:szCs w:val="32"/>
          <w:highlight w:val="none"/>
          <w:lang w:val="en-US" w:eastAsia="zh-CN" w:bidi="ar"/>
        </w:rPr>
        <w:t>。主要原因是：无。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7.25万元，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年初没有资本性支出预算。</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31002办公设备购置6.10万元，31003专用设备购置1.15万元。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616200"/>
            <wp:effectExtent l="4445" t="4445" r="16510" b="825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 w:hAnsi="仿宋" w:eastAsia="仿宋" w:cs="仿宋"/>
          <w:color w:val="auto"/>
          <w:kern w:val="2"/>
          <w:sz w:val="32"/>
          <w:szCs w:val="32"/>
          <w:highlight w:val="none"/>
          <w:lang w:val="en-US" w:eastAsia="zh-CN" w:bidi="ar"/>
        </w:rPr>
        <w:t>。主要原因是：无。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环江毛南族自治县第一初级中学2022年度政府性基金支出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环江毛南族自治县第一初级中学2022年度政府性基金支出年初预算为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rPr>
        <w:t>环江毛南族自治县第一初级中学</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环江毛南族自治县第一初级中学2022年度国有资本经营预算支出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环江毛南族自治县第一初级中学2022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bookmarkStart w:id="4" w:name="PO_part3A5B1C1DiffReason1"/>
      <w:r>
        <w:rPr>
          <w:rFonts w:hint="eastAsia" w:ascii="仿宋_GB2312" w:hAnsi="Times New Roman" w:eastAsia="仿宋_GB2312" w:cs="Times New Roman"/>
          <w:color w:val="auto"/>
          <w:sz w:val="32"/>
          <w:szCs w:val="32"/>
        </w:rPr>
        <w:t>环江毛南族自治县第一初级中学</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p>
    <w:p>
      <w:p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万元。2022年，</w:t>
      </w:r>
      <w:r>
        <w:rPr>
          <w:rFonts w:ascii="仿宋" w:hAnsi="仿宋" w:eastAsia="仿宋" w:cs="仿宋"/>
          <w:sz w:val="32"/>
          <w:u w:color="auto"/>
        </w:rPr>
        <w:t>环江毛南族自治县第一初级中学</w:t>
      </w:r>
      <w:r>
        <w:rPr>
          <w:rFonts w:hint="eastAsia" w:ascii="仿宋" w:hAnsi="仿宋" w:eastAsia="仿宋" w:cs="仿宋"/>
          <w:sz w:val="32"/>
          <w:szCs w:val="32"/>
          <w:highlight w:val="none"/>
        </w:rPr>
        <w:t>及</w:t>
      </w:r>
      <w:r>
        <w:rPr>
          <w:rFonts w:hint="eastAsia" w:ascii="仿宋" w:hAnsi="仿宋" w:eastAsia="仿宋" w:cs="仿宋"/>
          <w:color w:val="auto"/>
          <w:sz w:val="32"/>
          <w:szCs w:val="32"/>
          <w:highlight w:val="none"/>
          <w:u w:val="single"/>
          <w:lang w:val="en-US" w:eastAsia="zh-CN"/>
        </w:rPr>
        <w:t xml:space="preserve"> 0 个</w:t>
      </w:r>
      <w:r>
        <w:rPr>
          <w:rFonts w:hint="eastAsia" w:ascii="仿宋" w:hAnsi="仿宋" w:eastAsia="仿宋" w:cs="仿宋"/>
          <w:sz w:val="32"/>
          <w:szCs w:val="32"/>
          <w:highlight w:val="none"/>
        </w:rPr>
        <w:t>所属单位开支财政拨款的公务用车保有量为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auto"/>
          <w:sz w:val="32"/>
          <w:szCs w:val="32"/>
          <w:highlight w:val="none"/>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 w:hAnsi="仿宋" w:eastAsia="仿宋" w:cs="仿宋"/>
          <w:color w:val="FF0000"/>
          <w:sz w:val="32"/>
          <w:szCs w:val="32"/>
          <w:highlight w:val="none"/>
          <w:lang w:val="en-US" w:eastAsia="zh-CN"/>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万元，比上年决算数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本部门无机关运行经费。</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根据财政预算管理要求，本部门组织对</w:t>
      </w:r>
      <w:r>
        <w:rPr>
          <w:rFonts w:hint="eastAsia" w:ascii="仿宋" w:hAnsi="仿宋" w:eastAsia="仿宋" w:cs="仿宋"/>
          <w:color w:val="000000" w:themeColor="text1"/>
          <w:sz w:val="32"/>
          <w:szCs w:val="32"/>
          <w:highlight w:val="none"/>
          <w:lang w:eastAsia="zh-CN"/>
          <w14:textFill>
            <w14:solidFill>
              <w14:schemeClr w14:val="tx1"/>
            </w14:solidFill>
          </w14:textFill>
        </w:rPr>
        <w:t>2022年</w:t>
      </w:r>
      <w:r>
        <w:rPr>
          <w:rFonts w:hint="eastAsia" w:ascii="仿宋" w:hAnsi="仿宋" w:eastAsia="仿宋" w:cs="仿宋"/>
          <w:color w:val="000000" w:themeColor="text1"/>
          <w:sz w:val="32"/>
          <w:szCs w:val="32"/>
          <w:highlight w:val="none"/>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highlight w:val="none"/>
          <w:lang w:val="en-US" w:eastAsia="zh-CN"/>
          <w14:textFill>
            <w14:solidFill>
              <w14:schemeClr w14:val="tx1"/>
            </w14:solidFill>
          </w14:textFill>
        </w:rPr>
        <w:t>等</w:t>
      </w:r>
      <w:r>
        <w:rPr>
          <w:rFonts w:hint="eastAsia" w:ascii="仿宋" w:hAnsi="仿宋" w:eastAsia="仿宋" w:cs="仿宋"/>
          <w:color w:val="000000" w:themeColor="text1"/>
          <w:sz w:val="32"/>
          <w:szCs w:val="32"/>
          <w:highlight w:val="none"/>
          <w14:textFill>
            <w14:solidFill>
              <w14:schemeClr w14:val="tx1"/>
            </w14:solidFill>
          </w14:textFill>
        </w:rPr>
        <w:t>项目</w:t>
      </w:r>
      <w:r>
        <w:rPr>
          <w:rFonts w:hint="eastAsia" w:ascii="仿宋" w:hAnsi="仿宋" w:eastAsia="仿宋" w:cs="仿宋"/>
          <w:color w:val="000000" w:themeColor="text1"/>
          <w:sz w:val="32"/>
          <w:szCs w:val="32"/>
          <w:highlight w:val="none"/>
          <w:lang w:val="en-US" w:eastAsia="zh-CN"/>
          <w14:textFill>
            <w14:solidFill>
              <w14:schemeClr w14:val="tx1"/>
            </w14:solidFill>
          </w14:textFill>
        </w:rPr>
        <w:t>9</w:t>
      </w:r>
      <w:r>
        <w:rPr>
          <w:rFonts w:hint="eastAsia" w:ascii="仿宋" w:hAnsi="仿宋" w:eastAsia="仿宋" w:cs="仿宋"/>
          <w:color w:val="000000" w:themeColor="text1"/>
          <w:sz w:val="32"/>
          <w:szCs w:val="32"/>
          <w:highlight w:val="none"/>
          <w14:textFill>
            <w14:solidFill>
              <w14:schemeClr w14:val="tx1"/>
            </w14:solidFill>
          </w14:textFill>
        </w:rPr>
        <w:t>个，二</w:t>
      </w:r>
      <w:r>
        <w:rPr>
          <w:rFonts w:hint="eastAsia" w:ascii="仿宋" w:hAnsi="仿宋" w:eastAsia="仿宋" w:cs="仿宋"/>
          <w:color w:val="000000" w:themeColor="text1"/>
          <w:sz w:val="32"/>
          <w:szCs w:val="32"/>
          <w:highlight w:val="none"/>
          <w:lang w:val="en-US" w:eastAsia="zh-CN"/>
          <w14:textFill>
            <w14:solidFill>
              <w14:schemeClr w14:val="tx1"/>
            </w14:solidFill>
          </w14:textFill>
        </w:rPr>
        <w:t>等</w:t>
      </w:r>
      <w:r>
        <w:rPr>
          <w:rFonts w:hint="eastAsia" w:ascii="仿宋" w:hAnsi="仿宋" w:eastAsia="仿宋" w:cs="仿宋"/>
          <w:color w:val="000000" w:themeColor="text1"/>
          <w:sz w:val="32"/>
          <w:szCs w:val="32"/>
          <w:highlight w:val="none"/>
          <w14:textFill>
            <w14:solidFill>
              <w14:schemeClr w14:val="tx1"/>
            </w14:solidFill>
          </w14:textFill>
        </w:rPr>
        <w:t>项目</w:t>
      </w:r>
      <w:r>
        <w:rPr>
          <w:rFonts w:hint="eastAsia" w:ascii="仿宋" w:hAnsi="仿宋" w:eastAsia="仿宋" w:cs="仿宋"/>
          <w:color w:val="000000" w:themeColor="text1"/>
          <w:sz w:val="32"/>
          <w:szCs w:val="32"/>
          <w:highlight w:val="none"/>
          <w:lang w:val="en-US" w:eastAsia="zh-CN"/>
          <w14:textFill>
            <w14:solidFill>
              <w14:schemeClr w14:val="tx1"/>
            </w14:solidFill>
          </w14:textFill>
        </w:rPr>
        <w:t>3</w:t>
      </w:r>
      <w:r>
        <w:rPr>
          <w:rFonts w:hint="eastAsia" w:ascii="仿宋" w:hAnsi="仿宋" w:eastAsia="仿宋" w:cs="仿宋"/>
          <w:color w:val="000000" w:themeColor="text1"/>
          <w:sz w:val="32"/>
          <w:szCs w:val="32"/>
          <w:highlight w:val="none"/>
          <w14:textFill>
            <w14:solidFill>
              <w14:schemeClr w14:val="tx1"/>
            </w14:solidFill>
          </w14:textFill>
        </w:rPr>
        <w:t>个</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三等1个</w:t>
      </w:r>
      <w:r>
        <w:rPr>
          <w:rFonts w:hint="eastAsia" w:ascii="仿宋" w:hAnsi="仿宋" w:eastAsia="仿宋" w:cs="仿宋"/>
          <w:color w:val="000000" w:themeColor="text1"/>
          <w:sz w:val="32"/>
          <w:szCs w:val="32"/>
          <w:highlight w:val="none"/>
          <w14:textFill>
            <w14:solidFill>
              <w14:schemeClr w14:val="tx1"/>
            </w14:solidFill>
          </w14:textFill>
        </w:rPr>
        <w:t>，共涉及资金</w:t>
      </w:r>
      <w:r>
        <w:rPr>
          <w:rFonts w:hint="eastAsia" w:ascii="仿宋" w:hAnsi="仿宋" w:eastAsia="仿宋" w:cs="仿宋"/>
          <w:color w:val="000000" w:themeColor="text1"/>
          <w:sz w:val="32"/>
          <w:szCs w:val="32"/>
          <w:highlight w:val="none"/>
          <w:lang w:val="en-US" w:eastAsia="zh-CN"/>
          <w14:textFill>
            <w14:solidFill>
              <w14:schemeClr w14:val="tx1"/>
            </w14:solidFill>
          </w14:textFill>
        </w:rPr>
        <w:t>600</w:t>
      </w:r>
      <w:r>
        <w:rPr>
          <w:rFonts w:hint="eastAsia" w:ascii="仿宋" w:hAnsi="仿宋" w:eastAsia="仿宋" w:cs="仿宋"/>
          <w:color w:val="000000" w:themeColor="text1"/>
          <w:sz w:val="32"/>
          <w:szCs w:val="32"/>
          <w:highlight w:val="none"/>
          <w14:textFill>
            <w14:solidFill>
              <w14:schemeClr w14:val="tx1"/>
            </w14:solidFill>
          </w14:textFill>
        </w:rPr>
        <w:t>万元，占一般公共预算项目支出总额的</w:t>
      </w:r>
      <w:r>
        <w:rPr>
          <w:rFonts w:hint="eastAsia" w:ascii="仿宋" w:hAnsi="仿宋" w:eastAsia="仿宋" w:cs="仿宋"/>
          <w:color w:val="000000" w:themeColor="text1"/>
          <w:sz w:val="32"/>
          <w:szCs w:val="32"/>
          <w:highlight w:val="none"/>
          <w:lang w:val="en-US" w:eastAsia="zh-CN"/>
          <w14:textFill>
            <w14:solidFill>
              <w14:schemeClr w14:val="tx1"/>
            </w14:solidFill>
          </w14:textFill>
        </w:rPr>
        <w:t>100</w:t>
      </w:r>
      <w:r>
        <w:rPr>
          <w:rFonts w:hint="eastAsia" w:ascii="仿宋" w:hAnsi="仿宋" w:eastAsia="仿宋" w:cs="仿宋"/>
          <w:color w:val="000000" w:themeColor="text1"/>
          <w:sz w:val="32"/>
          <w:szCs w:val="32"/>
          <w:highlight w:val="none"/>
          <w14:textFill>
            <w14:solidFill>
              <w14:schemeClr w14:val="tx1"/>
            </w14:solidFill>
          </w14:textFill>
        </w:rPr>
        <w:t>%。组织对</w:t>
      </w:r>
      <w:r>
        <w:rPr>
          <w:rFonts w:hint="eastAsia" w:ascii="仿宋" w:hAnsi="仿宋" w:eastAsia="仿宋" w:cs="仿宋"/>
          <w:color w:val="000000" w:themeColor="text1"/>
          <w:sz w:val="32"/>
          <w:szCs w:val="32"/>
          <w:highlight w:val="none"/>
          <w:lang w:eastAsia="zh-CN"/>
          <w14:textFill>
            <w14:solidFill>
              <w14:schemeClr w14:val="tx1"/>
            </w14:solidFill>
          </w14:textFill>
        </w:rPr>
        <w:t>2022年</w:t>
      </w:r>
      <w:r>
        <w:rPr>
          <w:rFonts w:hint="eastAsia" w:ascii="仿宋" w:hAnsi="仿宋" w:eastAsia="仿宋" w:cs="仿宋"/>
          <w:color w:val="000000" w:themeColor="text1"/>
          <w:sz w:val="32"/>
          <w:szCs w:val="32"/>
          <w:highlight w:val="none"/>
          <w14:textFill>
            <w14:solidFill>
              <w14:schemeClr w14:val="tx1"/>
            </w14:solidFill>
          </w14:textFill>
        </w:rPr>
        <w:t>度</w:t>
      </w:r>
      <w:r>
        <w:rPr>
          <w:rFonts w:hint="eastAsia" w:ascii="仿宋" w:hAnsi="仿宋" w:eastAsia="仿宋" w:cs="仿宋"/>
          <w:color w:val="000000" w:themeColor="text1"/>
          <w:sz w:val="32"/>
          <w:szCs w:val="32"/>
          <w:highlight w:val="none"/>
          <w:lang w:val="en-US" w:eastAsia="zh-CN"/>
          <w14:textFill>
            <w14:solidFill>
              <w14:schemeClr w14:val="tx1"/>
            </w14:solidFill>
          </w14:textFill>
        </w:rPr>
        <w:t>一</w:t>
      </w:r>
      <w:r>
        <w:rPr>
          <w:rFonts w:hint="eastAsia" w:ascii="仿宋" w:hAnsi="仿宋" w:eastAsia="仿宋" w:cs="仿宋"/>
          <w:color w:val="000000" w:themeColor="text1"/>
          <w:sz w:val="32"/>
          <w:szCs w:val="32"/>
          <w:highlight w:val="none"/>
          <w14:textFill>
            <w14:solidFill>
              <w14:schemeClr w14:val="tx1"/>
            </w14:solidFill>
          </w14:textFill>
        </w:rPr>
        <w:t>等</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highlight w:val="none"/>
          <w:lang w:val="en-US" w:eastAsia="zh-CN"/>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highlight w:val="none"/>
          <w:lang w:val="en-US" w:eastAsia="zh-CN"/>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%。组织对</w:t>
      </w:r>
      <w:r>
        <w:rPr>
          <w:rFonts w:hint="eastAsia" w:ascii="仿宋" w:hAnsi="仿宋" w:eastAsia="仿宋" w:cs="仿宋"/>
          <w:color w:val="000000" w:themeColor="text1"/>
          <w:sz w:val="32"/>
          <w:szCs w:val="32"/>
          <w:highlight w:val="none"/>
          <w:lang w:eastAsia="zh-CN"/>
          <w14:textFill>
            <w14:solidFill>
              <w14:schemeClr w14:val="tx1"/>
            </w14:solidFill>
          </w14:textFill>
        </w:rPr>
        <w:t>2022年</w:t>
      </w:r>
      <w:r>
        <w:rPr>
          <w:rFonts w:hint="eastAsia" w:ascii="仿宋" w:hAnsi="仿宋" w:eastAsia="仿宋" w:cs="仿宋"/>
          <w:color w:val="000000" w:themeColor="text1"/>
          <w:sz w:val="32"/>
          <w:szCs w:val="32"/>
          <w:highlight w:val="none"/>
          <w14:textFill>
            <w14:solidFill>
              <w14:schemeClr w14:val="tx1"/>
            </w14:solidFill>
          </w14:textFill>
        </w:rPr>
        <w:t>度</w:t>
      </w:r>
      <w:r>
        <w:rPr>
          <w:rFonts w:hint="eastAsia" w:ascii="仿宋" w:hAnsi="仿宋" w:eastAsia="仿宋" w:cs="仿宋"/>
          <w:color w:val="000000" w:themeColor="text1"/>
          <w:sz w:val="32"/>
          <w:szCs w:val="32"/>
          <w:highlight w:val="none"/>
          <w:lang w:val="en-US" w:eastAsia="zh-CN"/>
          <w14:textFill>
            <w14:solidFill>
              <w14:schemeClr w14:val="tx1"/>
            </w14:solidFill>
          </w14:textFill>
        </w:rPr>
        <w:t>一</w:t>
      </w:r>
      <w:r>
        <w:rPr>
          <w:rFonts w:hint="eastAsia" w:ascii="仿宋" w:hAnsi="仿宋" w:eastAsia="仿宋" w:cs="仿宋"/>
          <w:color w:val="000000" w:themeColor="text1"/>
          <w:sz w:val="32"/>
          <w:szCs w:val="32"/>
          <w:highlight w:val="none"/>
          <w14:textFill>
            <w14:solidFill>
              <w14:schemeClr w14:val="tx1"/>
            </w14:solidFill>
          </w14:textFill>
        </w:rPr>
        <w:t>等</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highlight w:val="none"/>
          <w:lang w:val="en-US" w:eastAsia="zh-CN"/>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highlight w:val="none"/>
          <w:lang w:val="en-US" w:eastAsia="zh-CN"/>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000000" w:themeColor="text1"/>
          <w:sz w:val="32"/>
          <w:szCs w:val="32"/>
          <w:highlight w:val="none"/>
          <w14:textFill>
            <w14:solidFill>
              <w14:schemeClr w14:val="tx1"/>
            </w14:solidFill>
          </w14:textFill>
        </w:rPr>
        <w:t>组织对“</w:t>
      </w:r>
      <w:r>
        <w:rPr>
          <w:rFonts w:hint="eastAsia" w:ascii="仿宋" w:hAnsi="仿宋" w:eastAsia="仿宋" w:cs="仿宋"/>
          <w:color w:val="000000" w:themeColor="text1"/>
          <w:sz w:val="32"/>
          <w:szCs w:val="32"/>
          <w:highlight w:val="none"/>
          <w:lang w:val="en-US" w:eastAsia="zh-CN"/>
          <w14:textFill>
            <w14:solidFill>
              <w14:schemeClr w14:val="tx1"/>
            </w14:solidFill>
          </w14:textFill>
        </w:rPr>
        <w:t>一二三</w:t>
      </w:r>
      <w:r>
        <w:rPr>
          <w:rFonts w:hint="eastAsia" w:ascii="仿宋" w:hAnsi="仿宋" w:eastAsia="仿宋" w:cs="仿宋"/>
          <w:color w:val="000000" w:themeColor="text1"/>
          <w:sz w:val="32"/>
          <w:szCs w:val="32"/>
          <w:highlight w:val="none"/>
          <w14:textFill>
            <w14:solidFill>
              <w14:schemeClr w14:val="tx1"/>
            </w14:solidFill>
          </w14:textFill>
        </w:rPr>
        <w:t>”等</w:t>
      </w:r>
      <w:r>
        <w:rPr>
          <w:rFonts w:hint="eastAsia" w:ascii="仿宋" w:hAnsi="仿宋" w:eastAsia="仿宋" w:cs="仿宋"/>
          <w:color w:val="000000" w:themeColor="text1"/>
          <w:sz w:val="32"/>
          <w:szCs w:val="32"/>
          <w:highlight w:val="none"/>
          <w:lang w:val="en-US" w:eastAsia="zh-CN"/>
          <w14:textFill>
            <w14:solidFill>
              <w14:schemeClr w14:val="tx1"/>
            </w14:solidFill>
          </w14:textFill>
        </w:rPr>
        <w:t>13</w:t>
      </w:r>
      <w:r>
        <w:rPr>
          <w:rFonts w:hint="eastAsia" w:ascii="仿宋" w:hAnsi="仿宋" w:eastAsia="仿宋" w:cs="仿宋"/>
          <w:color w:val="000000" w:themeColor="text1"/>
          <w:sz w:val="32"/>
          <w:szCs w:val="32"/>
          <w:highlight w:val="none"/>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highlight w:val="none"/>
          <w:lang w:val="en-US" w:eastAsia="zh-CN"/>
          <w14:textFill>
            <w14:solidFill>
              <w14:schemeClr w14:val="tx1"/>
            </w14:solidFill>
          </w14:textFill>
        </w:rPr>
        <w:t>600</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auto"/>
          <w:sz w:val="32"/>
          <w:szCs w:val="32"/>
          <w:highlight w:val="none"/>
        </w:rPr>
        <w:t>政府性基金预算支出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万元，国有资本经营预算支出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万元。从评价情况来看，</w:t>
      </w:r>
      <w:r>
        <w:rPr>
          <w:rFonts w:hint="eastAsia" w:ascii="仿宋" w:hAnsi="仿宋" w:eastAsia="仿宋" w:cs="仿宋"/>
          <w:color w:val="auto"/>
          <w:sz w:val="32"/>
          <w:szCs w:val="32"/>
          <w:highlight w:val="none"/>
          <w:lang w:val="en-US" w:eastAsia="zh-CN"/>
        </w:rPr>
        <w:t>项目开展按年初预算进行，基本完成了所有的项目经费支出</w:t>
      </w:r>
      <w:r>
        <w:rPr>
          <w:rFonts w:hint="eastAsia" w:ascii="仿宋" w:hAnsi="仿宋" w:eastAsia="仿宋" w:cs="仿宋"/>
          <w:color w:val="auto"/>
          <w:sz w:val="32"/>
          <w:szCs w:val="32"/>
          <w:highlight w:val="none"/>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auto"/>
          <w:sz w:val="32"/>
          <w:szCs w:val="32"/>
          <w:highlight w:val="none"/>
        </w:rPr>
        <w:t>组织对</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个部门（单位）开展整体支出绩效评价试点，涉及一般公共预算支出</w:t>
      </w:r>
      <w:r>
        <w:rPr>
          <w:rFonts w:hint="eastAsia" w:ascii="仿宋" w:hAnsi="仿宋" w:eastAsia="仿宋" w:cs="仿宋"/>
          <w:color w:val="auto"/>
          <w:sz w:val="32"/>
          <w:szCs w:val="32"/>
          <w:highlight w:val="none"/>
          <w:lang w:val="en-US" w:eastAsia="zh-CN"/>
        </w:rPr>
        <w:t>600</w:t>
      </w:r>
      <w:r>
        <w:rPr>
          <w:rFonts w:hint="eastAsia" w:ascii="仿宋" w:hAnsi="仿宋" w:eastAsia="仿宋" w:cs="仿宋"/>
          <w:color w:val="auto"/>
          <w:sz w:val="32"/>
          <w:szCs w:val="32"/>
          <w:highlight w:val="none"/>
        </w:rPr>
        <w:t>万元，政府性基金预算支出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万元。从评价情况来看，</w:t>
      </w:r>
      <w:r>
        <w:rPr>
          <w:rFonts w:hint="eastAsia" w:ascii="仿宋" w:hAnsi="仿宋" w:eastAsia="仿宋" w:cs="仿宋"/>
          <w:color w:val="auto"/>
          <w:sz w:val="32"/>
          <w:szCs w:val="32"/>
          <w:highlight w:val="none"/>
          <w:lang w:val="en-US" w:eastAsia="zh-CN"/>
        </w:rPr>
        <w:t>项目开展按年初预算正常进行，基本完成了所有的项目经费支出，效果良好</w:t>
      </w:r>
      <w:r>
        <w:rPr>
          <w:rFonts w:hint="eastAsia" w:ascii="仿宋" w:hAnsi="仿宋" w:eastAsia="仿宋" w:cs="仿宋"/>
          <w:color w:val="auto"/>
          <w:sz w:val="32"/>
          <w:szCs w:val="32"/>
          <w:highlight w:val="none"/>
        </w:rPr>
        <w:t>。</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auto"/>
          <w:sz w:val="32"/>
          <w:szCs w:val="32"/>
        </w:rPr>
        <w:t>。</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color w:val="000000" w:themeColor="text1"/>
          <w:sz w:val="32"/>
          <w:szCs w:val="32"/>
          <w:highlight w:val="none"/>
          <w14:textFill>
            <w14:solidFill>
              <w14:schemeClr w14:val="tx1"/>
            </w14:solidFill>
          </w14:textFill>
        </w:rPr>
        <w:t>我部门根据年初设定的绩效目标，义务教育阶段家庭经济困难学生生活自治区补助资金项目自评得分为</w:t>
      </w:r>
      <w:r>
        <w:rPr>
          <w:rFonts w:hint="eastAsia" w:ascii="仿宋" w:hAnsi="仿宋" w:eastAsia="仿宋" w:cs="仿宋"/>
          <w:color w:val="000000" w:themeColor="text1"/>
          <w:sz w:val="32"/>
          <w:szCs w:val="32"/>
          <w:highlight w:val="none"/>
          <w:lang w:val="en-US" w:eastAsia="zh-CN"/>
          <w14:textFill>
            <w14:solidFill>
              <w14:schemeClr w14:val="tx1"/>
            </w14:solidFill>
          </w14:textFill>
        </w:rPr>
        <w:t>100</w:t>
      </w:r>
      <w:r>
        <w:rPr>
          <w:rFonts w:hint="eastAsia" w:ascii="仿宋" w:hAnsi="仿宋" w:eastAsia="仿宋" w:cs="仿宋"/>
          <w:color w:val="000000" w:themeColor="text1"/>
          <w:sz w:val="32"/>
          <w:szCs w:val="32"/>
          <w:highlight w:val="none"/>
          <w14:textFill>
            <w14:solidFill>
              <w14:schemeClr w14:val="tx1"/>
            </w14:solidFill>
          </w14:textFill>
        </w:rPr>
        <w:t>分。奖励性补贴项目自评得分为</w:t>
      </w:r>
      <w:r>
        <w:rPr>
          <w:rFonts w:hint="eastAsia" w:ascii="仿宋" w:hAnsi="仿宋" w:eastAsia="仿宋" w:cs="仿宋"/>
          <w:color w:val="000000" w:themeColor="text1"/>
          <w:sz w:val="32"/>
          <w:szCs w:val="32"/>
          <w:highlight w:val="none"/>
          <w:lang w:val="en-US" w:eastAsia="zh-CN"/>
          <w14:textFill>
            <w14:solidFill>
              <w14:schemeClr w14:val="tx1"/>
            </w14:solidFill>
          </w14:textFill>
        </w:rPr>
        <w:t>100</w:t>
      </w:r>
      <w:r>
        <w:rPr>
          <w:rFonts w:hint="eastAsia" w:ascii="仿宋" w:hAnsi="仿宋" w:eastAsia="仿宋" w:cs="仿宋"/>
          <w:color w:val="000000" w:themeColor="text1"/>
          <w:sz w:val="32"/>
          <w:szCs w:val="32"/>
          <w:highlight w:val="none"/>
          <w14:textFill>
            <w14:solidFill>
              <w14:schemeClr w14:val="tx1"/>
            </w14:solidFill>
          </w14:textFill>
        </w:rPr>
        <w:t>分</w:t>
      </w:r>
      <w:r>
        <w:rPr>
          <w:rFonts w:hint="eastAsia" w:ascii="仿宋" w:hAnsi="仿宋" w:eastAsia="仿宋" w:cs="仿宋"/>
          <w:color w:val="000000" w:themeColor="text1"/>
          <w:sz w:val="32"/>
          <w:szCs w:val="32"/>
          <w:highlight w:val="none"/>
          <w:lang w:val="en-US" w:eastAsia="zh-CN"/>
          <w14:textFill>
            <w14:solidFill>
              <w14:schemeClr w14:val="tx1"/>
            </w14:solidFill>
          </w14:textFill>
        </w:rPr>
        <w:t>;义务教育中央级公用经费</w:t>
      </w:r>
      <w:r>
        <w:rPr>
          <w:rFonts w:hint="eastAsia" w:ascii="仿宋" w:hAnsi="仿宋" w:eastAsia="仿宋" w:cs="仿宋"/>
          <w:color w:val="000000" w:themeColor="text1"/>
          <w:sz w:val="32"/>
          <w:szCs w:val="32"/>
          <w:highlight w:val="none"/>
          <w14:textFill>
            <w14:solidFill>
              <w14:schemeClr w14:val="tx1"/>
            </w14:solidFill>
          </w14:textFill>
        </w:rPr>
        <w:t>项目自评得分为</w:t>
      </w:r>
      <w:r>
        <w:rPr>
          <w:rFonts w:hint="eastAsia" w:ascii="仿宋" w:hAnsi="仿宋" w:eastAsia="仿宋" w:cs="仿宋"/>
          <w:color w:val="000000" w:themeColor="text1"/>
          <w:sz w:val="32"/>
          <w:szCs w:val="32"/>
          <w:highlight w:val="none"/>
          <w:lang w:val="en-US" w:eastAsia="zh-CN"/>
          <w14:textFill>
            <w14:solidFill>
              <w14:schemeClr w14:val="tx1"/>
            </w14:solidFill>
          </w14:textFill>
        </w:rPr>
        <w:t>93.94</w:t>
      </w:r>
      <w:r>
        <w:rPr>
          <w:rFonts w:hint="eastAsia" w:ascii="仿宋" w:hAnsi="仿宋" w:eastAsia="仿宋" w:cs="仿宋"/>
          <w:color w:val="000000" w:themeColor="text1"/>
          <w:sz w:val="32"/>
          <w:szCs w:val="32"/>
          <w:highlight w:val="none"/>
          <w14:textFill>
            <w14:solidFill>
              <w14:schemeClr w14:val="tx1"/>
            </w14:solidFill>
          </w14:textFill>
        </w:rPr>
        <w:t>分</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发现的主要问题及原因：一是</w:t>
      </w:r>
      <w:r>
        <w:rPr>
          <w:rFonts w:hint="eastAsia" w:ascii="仿宋" w:hAnsi="仿宋" w:eastAsia="仿宋" w:cs="仿宋"/>
          <w:color w:val="000000" w:themeColor="text1"/>
          <w:sz w:val="32"/>
          <w:szCs w:val="32"/>
          <w:highlight w:val="none"/>
          <w:lang w:val="en-US" w:eastAsia="zh-CN"/>
          <w14:textFill>
            <w14:solidFill>
              <w14:schemeClr w14:val="tx1"/>
            </w14:solidFill>
          </w14:textFill>
        </w:rPr>
        <w:t>经费支出效率低，没有发挥经费应有的作用，主要原因是工作开展不积极，没有完成预期效果</w:t>
      </w:r>
      <w:r>
        <w:rPr>
          <w:rFonts w:hint="eastAsia" w:ascii="仿宋" w:hAnsi="仿宋" w:eastAsia="仿宋" w:cs="仿宋"/>
          <w:color w:val="000000" w:themeColor="text1"/>
          <w:sz w:val="32"/>
          <w:szCs w:val="32"/>
          <w:highlight w:val="none"/>
          <w14:textFill>
            <w14:solidFill>
              <w14:schemeClr w14:val="tx1"/>
            </w14:solidFill>
          </w14:textFill>
        </w:rPr>
        <w:t>。下一步改进措施：</w:t>
      </w:r>
      <w:r>
        <w:rPr>
          <w:rFonts w:hint="eastAsia" w:ascii="仿宋" w:hAnsi="仿宋" w:eastAsia="仿宋" w:cs="仿宋"/>
          <w:color w:val="000000" w:themeColor="text1"/>
          <w:sz w:val="32"/>
          <w:szCs w:val="32"/>
          <w:highlight w:val="none"/>
          <w:lang w:eastAsia="zh-CN"/>
          <w14:textFill>
            <w14:solidFill>
              <w14:schemeClr w14:val="tx1"/>
            </w14:solidFill>
          </w14:textFill>
        </w:rPr>
        <w:t>加强</w:t>
      </w:r>
      <w:r>
        <w:rPr>
          <w:rFonts w:hint="eastAsia" w:ascii="仿宋" w:hAnsi="仿宋" w:eastAsia="仿宋" w:cs="仿宋"/>
          <w:color w:val="000000" w:themeColor="text1"/>
          <w:sz w:val="32"/>
          <w:szCs w:val="32"/>
          <w:highlight w:val="none"/>
          <w:lang w:val="en-US" w:eastAsia="zh-CN"/>
          <w14:textFill>
            <w14:solidFill>
              <w14:schemeClr w14:val="tx1"/>
            </w14:solidFill>
          </w14:textFill>
        </w:rPr>
        <w:t>各项工作进展，加大建设。项目进度监督，每一个内容完成尽快完成结账，提高经费支付力度。年初预算经费</w:t>
      </w:r>
      <w:r>
        <w:rPr>
          <w:rFonts w:hint="eastAsia" w:ascii="仿宋" w:hAnsi="仿宋" w:eastAsia="仿宋" w:cs="仿宋"/>
          <w:color w:val="000000" w:themeColor="text1"/>
          <w:sz w:val="32"/>
          <w:szCs w:val="32"/>
          <w:highlight w:val="none"/>
          <w14:textFill>
            <w14:solidFill>
              <w14:schemeClr w14:val="tx1"/>
            </w14:solidFill>
          </w14:textFill>
        </w:rPr>
        <w:t>项目自评得分为</w:t>
      </w:r>
      <w:r>
        <w:rPr>
          <w:rFonts w:hint="eastAsia" w:ascii="仿宋" w:hAnsi="仿宋" w:eastAsia="仿宋" w:cs="仿宋"/>
          <w:color w:val="000000" w:themeColor="text1"/>
          <w:sz w:val="32"/>
          <w:szCs w:val="32"/>
          <w:highlight w:val="none"/>
          <w:lang w:val="en-US" w:eastAsia="zh-CN"/>
          <w14:textFill>
            <w14:solidFill>
              <w14:schemeClr w14:val="tx1"/>
            </w14:solidFill>
          </w14:textFill>
        </w:rPr>
        <w:t>98.57</w:t>
      </w:r>
      <w:r>
        <w:rPr>
          <w:rFonts w:hint="eastAsia" w:ascii="仿宋" w:hAnsi="仿宋" w:eastAsia="仿宋" w:cs="仿宋"/>
          <w:color w:val="000000" w:themeColor="text1"/>
          <w:sz w:val="32"/>
          <w:szCs w:val="32"/>
          <w:highlight w:val="none"/>
          <w14:textFill>
            <w14:solidFill>
              <w14:schemeClr w14:val="tx1"/>
            </w14:solidFill>
          </w14:textFill>
        </w:rPr>
        <w:t>分</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发现的主要问题及原因：一是</w:t>
      </w:r>
      <w:r>
        <w:rPr>
          <w:rFonts w:hint="eastAsia" w:ascii="仿宋" w:hAnsi="仿宋" w:eastAsia="仿宋" w:cs="仿宋"/>
          <w:color w:val="000000" w:themeColor="text1"/>
          <w:sz w:val="32"/>
          <w:szCs w:val="32"/>
          <w:highlight w:val="none"/>
          <w:lang w:val="en-US" w:eastAsia="zh-CN"/>
          <w14:textFill>
            <w14:solidFill>
              <w14:schemeClr w14:val="tx1"/>
            </w14:solidFill>
          </w14:textFill>
        </w:rPr>
        <w:t>经费支出效率低，没有发挥经费应有的作用，主要原因是工作开展不积极，没有完成预期效果</w:t>
      </w:r>
      <w:r>
        <w:rPr>
          <w:rFonts w:hint="eastAsia" w:ascii="仿宋" w:hAnsi="仿宋" w:eastAsia="仿宋" w:cs="仿宋"/>
          <w:color w:val="000000" w:themeColor="text1"/>
          <w:sz w:val="32"/>
          <w:szCs w:val="32"/>
          <w:highlight w:val="none"/>
          <w14:textFill>
            <w14:solidFill>
              <w14:schemeClr w14:val="tx1"/>
            </w14:solidFill>
          </w14:textFill>
        </w:rPr>
        <w:t>。下一步改进措施：</w:t>
      </w:r>
      <w:r>
        <w:rPr>
          <w:rFonts w:hint="eastAsia" w:ascii="仿宋" w:hAnsi="仿宋" w:eastAsia="仿宋" w:cs="仿宋"/>
          <w:color w:val="000000" w:themeColor="text1"/>
          <w:sz w:val="32"/>
          <w:szCs w:val="32"/>
          <w:highlight w:val="none"/>
          <w:lang w:eastAsia="zh-CN"/>
          <w14:textFill>
            <w14:solidFill>
              <w14:schemeClr w14:val="tx1"/>
            </w14:solidFill>
          </w14:textFill>
        </w:rPr>
        <w:t>加强</w:t>
      </w:r>
      <w:r>
        <w:rPr>
          <w:rFonts w:hint="eastAsia" w:ascii="仿宋" w:hAnsi="仿宋" w:eastAsia="仿宋" w:cs="仿宋"/>
          <w:color w:val="000000" w:themeColor="text1"/>
          <w:sz w:val="32"/>
          <w:szCs w:val="32"/>
          <w:highlight w:val="none"/>
          <w:lang w:val="en-US" w:eastAsia="zh-CN"/>
          <w14:textFill>
            <w14:solidFill>
              <w14:schemeClr w14:val="tx1"/>
            </w14:solidFill>
          </w14:textFill>
        </w:rPr>
        <w:t>各项工作进展，加大建设项目进度监督，每一个内容完成尽快完成结账，提高经费支付力度</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全县校长绩效工资</w:t>
      </w:r>
      <w:r>
        <w:rPr>
          <w:rFonts w:hint="eastAsia" w:ascii="仿宋" w:hAnsi="仿宋" w:eastAsia="仿宋" w:cs="仿宋"/>
          <w:color w:val="000000" w:themeColor="text1"/>
          <w:sz w:val="32"/>
          <w:szCs w:val="32"/>
          <w:highlight w:val="none"/>
          <w14:textFill>
            <w14:solidFill>
              <w14:schemeClr w14:val="tx1"/>
            </w14:solidFill>
          </w14:textFill>
        </w:rPr>
        <w:t>项目自评得分为</w:t>
      </w:r>
      <w:r>
        <w:rPr>
          <w:rFonts w:hint="eastAsia" w:ascii="仿宋" w:hAnsi="仿宋" w:eastAsia="仿宋" w:cs="仿宋"/>
          <w:color w:val="000000" w:themeColor="text1"/>
          <w:sz w:val="32"/>
          <w:szCs w:val="32"/>
          <w:highlight w:val="none"/>
          <w:lang w:val="en-US" w:eastAsia="zh-CN"/>
          <w14:textFill>
            <w14:solidFill>
              <w14:schemeClr w14:val="tx1"/>
            </w14:solidFill>
          </w14:textFill>
        </w:rPr>
        <w:t>100</w:t>
      </w:r>
      <w:r>
        <w:rPr>
          <w:rFonts w:hint="eastAsia" w:ascii="仿宋" w:hAnsi="仿宋" w:eastAsia="仿宋" w:cs="仿宋"/>
          <w:color w:val="000000" w:themeColor="text1"/>
          <w:sz w:val="32"/>
          <w:szCs w:val="32"/>
          <w:highlight w:val="none"/>
          <w14:textFill>
            <w14:solidFill>
              <w14:schemeClr w14:val="tx1"/>
            </w14:solidFill>
          </w14:textFill>
        </w:rPr>
        <w:t>分</w:t>
      </w:r>
      <w:r>
        <w:rPr>
          <w:rFonts w:hint="eastAsia" w:ascii="仿宋" w:hAnsi="仿宋" w:eastAsia="仿宋" w:cs="仿宋"/>
          <w:color w:val="000000" w:themeColor="text1"/>
          <w:sz w:val="32"/>
          <w:szCs w:val="32"/>
          <w:highlight w:val="none"/>
          <w:lang w:val="en-US" w:eastAsia="zh-CN"/>
          <w14:textFill>
            <w14:solidFill>
              <w14:schemeClr w14:val="tx1"/>
            </w14:solidFill>
          </w14:textFill>
        </w:rPr>
        <w:t>,环江县一中2022年年初预算经费(经销店管理费)</w:t>
      </w:r>
      <w:r>
        <w:rPr>
          <w:rFonts w:hint="eastAsia" w:ascii="仿宋" w:hAnsi="仿宋" w:eastAsia="仿宋" w:cs="仿宋"/>
          <w:color w:val="000000" w:themeColor="text1"/>
          <w:sz w:val="32"/>
          <w:szCs w:val="32"/>
          <w:highlight w:val="none"/>
          <w14:textFill>
            <w14:solidFill>
              <w14:schemeClr w14:val="tx1"/>
            </w14:solidFill>
          </w14:textFill>
        </w:rPr>
        <w:t>项目自评得分为</w:t>
      </w:r>
      <w:r>
        <w:rPr>
          <w:rFonts w:hint="eastAsia" w:ascii="仿宋" w:hAnsi="仿宋" w:eastAsia="仿宋" w:cs="仿宋"/>
          <w:color w:val="000000" w:themeColor="text1"/>
          <w:sz w:val="32"/>
          <w:szCs w:val="32"/>
          <w:highlight w:val="none"/>
          <w:lang w:val="en-US" w:eastAsia="zh-CN"/>
          <w14:textFill>
            <w14:solidFill>
              <w14:schemeClr w14:val="tx1"/>
            </w14:solidFill>
          </w14:textFill>
        </w:rPr>
        <w:t>80.36</w:t>
      </w:r>
      <w:r>
        <w:rPr>
          <w:rFonts w:hint="eastAsia" w:ascii="仿宋" w:hAnsi="仿宋" w:eastAsia="仿宋" w:cs="仿宋"/>
          <w:color w:val="000000" w:themeColor="text1"/>
          <w:sz w:val="32"/>
          <w:szCs w:val="32"/>
          <w:highlight w:val="none"/>
          <w14:textFill>
            <w14:solidFill>
              <w14:schemeClr w14:val="tx1"/>
            </w14:solidFill>
          </w14:textFill>
        </w:rPr>
        <w:t>分</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发现的主要问题及原因：</w:t>
      </w:r>
      <w:r>
        <w:rPr>
          <w:rFonts w:hint="eastAsia" w:ascii="仿宋" w:hAnsi="仿宋" w:eastAsia="仿宋" w:cs="仿宋"/>
          <w:color w:val="000000" w:themeColor="text1"/>
          <w:sz w:val="32"/>
          <w:szCs w:val="32"/>
          <w:highlight w:val="none"/>
          <w:lang w:val="en-US" w:eastAsia="zh-CN"/>
          <w14:textFill>
            <w14:solidFill>
              <w14:schemeClr w14:val="tx1"/>
            </w14:solidFill>
          </w14:textFill>
        </w:rPr>
        <w:t>门面租金没有及时上缴，经费使用率低</w:t>
      </w:r>
      <w:r>
        <w:rPr>
          <w:rFonts w:hint="eastAsia" w:ascii="仿宋" w:hAnsi="仿宋" w:eastAsia="仿宋" w:cs="仿宋"/>
          <w:color w:val="000000" w:themeColor="text1"/>
          <w:sz w:val="32"/>
          <w:szCs w:val="32"/>
          <w:highlight w:val="none"/>
          <w14:textFill>
            <w14:solidFill>
              <w14:schemeClr w14:val="tx1"/>
            </w14:solidFill>
          </w14:textFill>
        </w:rPr>
        <w:t>。下一步改进措施：</w:t>
      </w:r>
      <w:r>
        <w:rPr>
          <w:rFonts w:hint="eastAsia" w:ascii="仿宋" w:hAnsi="仿宋" w:eastAsia="仿宋" w:cs="仿宋"/>
          <w:color w:val="000000" w:themeColor="text1"/>
          <w:sz w:val="32"/>
          <w:szCs w:val="32"/>
          <w:highlight w:val="none"/>
          <w:lang w:eastAsia="zh-CN"/>
          <w14:textFill>
            <w14:solidFill>
              <w14:schemeClr w14:val="tx1"/>
            </w14:solidFill>
          </w14:textFill>
        </w:rPr>
        <w:t>加强</w:t>
      </w:r>
      <w:r>
        <w:rPr>
          <w:rFonts w:hint="eastAsia" w:ascii="仿宋" w:hAnsi="仿宋" w:eastAsia="仿宋" w:cs="仿宋"/>
          <w:color w:val="000000" w:themeColor="text1"/>
          <w:sz w:val="32"/>
          <w:szCs w:val="32"/>
          <w:highlight w:val="none"/>
          <w:lang w:val="en-US" w:eastAsia="zh-CN"/>
          <w14:textFill>
            <w14:solidFill>
              <w14:schemeClr w14:val="tx1"/>
            </w14:solidFill>
          </w14:textFill>
        </w:rPr>
        <w:t>租金收缴力度，加大经费使用效率。城乡义务教育公用经费县级配套资金</w:t>
      </w:r>
      <w:r>
        <w:rPr>
          <w:rFonts w:hint="eastAsia" w:ascii="仿宋" w:hAnsi="仿宋" w:eastAsia="仿宋" w:cs="仿宋"/>
          <w:color w:val="000000" w:themeColor="text1"/>
          <w:sz w:val="32"/>
          <w:szCs w:val="32"/>
          <w:highlight w:val="none"/>
          <w14:textFill>
            <w14:solidFill>
              <w14:schemeClr w14:val="tx1"/>
            </w14:solidFill>
          </w14:textFill>
        </w:rPr>
        <w:t>项目自评得分为</w:t>
      </w:r>
      <w:r>
        <w:rPr>
          <w:rFonts w:hint="eastAsia" w:ascii="仿宋" w:hAnsi="仿宋" w:eastAsia="仿宋" w:cs="仿宋"/>
          <w:color w:val="000000" w:themeColor="text1"/>
          <w:sz w:val="32"/>
          <w:szCs w:val="32"/>
          <w:highlight w:val="none"/>
          <w:lang w:val="en-US" w:eastAsia="zh-CN"/>
          <w14:textFill>
            <w14:solidFill>
              <w14:schemeClr w14:val="tx1"/>
            </w14:solidFill>
          </w14:textFill>
        </w:rPr>
        <w:t>92.8</w:t>
      </w:r>
      <w:r>
        <w:rPr>
          <w:rFonts w:hint="eastAsia" w:ascii="仿宋" w:hAnsi="仿宋" w:eastAsia="仿宋" w:cs="仿宋"/>
          <w:color w:val="000000" w:themeColor="text1"/>
          <w:sz w:val="32"/>
          <w:szCs w:val="32"/>
          <w:highlight w:val="none"/>
          <w14:textFill>
            <w14:solidFill>
              <w14:schemeClr w14:val="tx1"/>
            </w14:solidFill>
          </w14:textFill>
        </w:rPr>
        <w:t>分</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发现的主要问题及原因：一是</w:t>
      </w:r>
      <w:r>
        <w:rPr>
          <w:rFonts w:hint="eastAsia" w:ascii="仿宋" w:hAnsi="仿宋" w:eastAsia="仿宋" w:cs="仿宋"/>
          <w:color w:val="000000" w:themeColor="text1"/>
          <w:sz w:val="32"/>
          <w:szCs w:val="32"/>
          <w:highlight w:val="none"/>
          <w:lang w:val="en-US" w:eastAsia="zh-CN"/>
          <w14:textFill>
            <w14:solidFill>
              <w14:schemeClr w14:val="tx1"/>
            </w14:solidFill>
          </w14:textFill>
        </w:rPr>
        <w:t>经费支出效率低，没有发挥经费应有的作用，主要原因是工作开展不积极，没有完成预期效果</w:t>
      </w:r>
      <w:r>
        <w:rPr>
          <w:rFonts w:hint="eastAsia" w:ascii="仿宋" w:hAnsi="仿宋" w:eastAsia="仿宋" w:cs="仿宋"/>
          <w:color w:val="000000" w:themeColor="text1"/>
          <w:sz w:val="32"/>
          <w:szCs w:val="32"/>
          <w:highlight w:val="none"/>
          <w14:textFill>
            <w14:solidFill>
              <w14:schemeClr w14:val="tx1"/>
            </w14:solidFill>
          </w14:textFill>
        </w:rPr>
        <w:t>。下一步改进措施：</w:t>
      </w:r>
      <w:r>
        <w:rPr>
          <w:rFonts w:hint="eastAsia" w:ascii="仿宋" w:hAnsi="仿宋" w:eastAsia="仿宋" w:cs="仿宋"/>
          <w:color w:val="000000" w:themeColor="text1"/>
          <w:sz w:val="32"/>
          <w:szCs w:val="32"/>
          <w:highlight w:val="none"/>
          <w:lang w:eastAsia="zh-CN"/>
          <w14:textFill>
            <w14:solidFill>
              <w14:schemeClr w14:val="tx1"/>
            </w14:solidFill>
          </w14:textFill>
        </w:rPr>
        <w:t>加强</w:t>
      </w:r>
      <w:r>
        <w:rPr>
          <w:rFonts w:hint="eastAsia" w:ascii="仿宋" w:hAnsi="仿宋" w:eastAsia="仿宋" w:cs="仿宋"/>
          <w:color w:val="000000" w:themeColor="text1"/>
          <w:sz w:val="32"/>
          <w:szCs w:val="32"/>
          <w:highlight w:val="none"/>
          <w:lang w:val="en-US" w:eastAsia="zh-CN"/>
          <w14:textFill>
            <w14:solidFill>
              <w14:schemeClr w14:val="tx1"/>
            </w14:solidFill>
          </w14:textFill>
        </w:rPr>
        <w:t>各项工作进展，加大建设。项目进度监督，每一个内容完成尽快完成结账，提高经费支付力度</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环江县一中2022年年初预算经费(门面租金)</w:t>
      </w:r>
      <w:r>
        <w:rPr>
          <w:rFonts w:hint="eastAsia" w:ascii="仿宋" w:hAnsi="仿宋" w:eastAsia="仿宋" w:cs="仿宋"/>
          <w:color w:val="000000" w:themeColor="text1"/>
          <w:sz w:val="32"/>
          <w:szCs w:val="32"/>
          <w:highlight w:val="none"/>
          <w14:textFill>
            <w14:solidFill>
              <w14:schemeClr w14:val="tx1"/>
            </w14:solidFill>
          </w14:textFill>
        </w:rPr>
        <w:t>项目自评得分为</w:t>
      </w:r>
      <w:r>
        <w:rPr>
          <w:rFonts w:hint="eastAsia" w:ascii="仿宋" w:hAnsi="仿宋" w:eastAsia="仿宋" w:cs="仿宋"/>
          <w:color w:val="000000" w:themeColor="text1"/>
          <w:sz w:val="32"/>
          <w:szCs w:val="32"/>
          <w:highlight w:val="none"/>
          <w:lang w:val="en-US" w:eastAsia="zh-CN"/>
          <w14:textFill>
            <w14:solidFill>
              <w14:schemeClr w14:val="tx1"/>
            </w14:solidFill>
          </w14:textFill>
        </w:rPr>
        <w:t>80</w:t>
      </w:r>
      <w:r>
        <w:rPr>
          <w:rFonts w:hint="eastAsia" w:ascii="仿宋" w:hAnsi="仿宋" w:eastAsia="仿宋" w:cs="仿宋"/>
          <w:color w:val="000000" w:themeColor="text1"/>
          <w:sz w:val="32"/>
          <w:szCs w:val="32"/>
          <w:highlight w:val="none"/>
          <w14:textFill>
            <w14:solidFill>
              <w14:schemeClr w14:val="tx1"/>
            </w14:solidFill>
          </w14:textFill>
        </w:rPr>
        <w:t>分</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发现的主要问题及原因：</w:t>
      </w:r>
      <w:r>
        <w:rPr>
          <w:rFonts w:hint="eastAsia" w:ascii="仿宋" w:hAnsi="仿宋" w:eastAsia="仿宋" w:cs="仿宋"/>
          <w:color w:val="000000" w:themeColor="text1"/>
          <w:sz w:val="32"/>
          <w:szCs w:val="32"/>
          <w:highlight w:val="none"/>
          <w:lang w:val="en-US" w:eastAsia="zh-CN"/>
          <w14:textFill>
            <w14:solidFill>
              <w14:schemeClr w14:val="tx1"/>
            </w14:solidFill>
          </w14:textFill>
        </w:rPr>
        <w:t>门面租金没有及时上缴，经费使用率低</w:t>
      </w:r>
      <w:r>
        <w:rPr>
          <w:rFonts w:hint="eastAsia" w:ascii="仿宋" w:hAnsi="仿宋" w:eastAsia="仿宋" w:cs="仿宋"/>
          <w:color w:val="000000" w:themeColor="text1"/>
          <w:sz w:val="32"/>
          <w:szCs w:val="32"/>
          <w:highlight w:val="none"/>
          <w14:textFill>
            <w14:solidFill>
              <w14:schemeClr w14:val="tx1"/>
            </w14:solidFill>
          </w14:textFill>
        </w:rPr>
        <w:t>。下一步改进措施：</w:t>
      </w:r>
      <w:r>
        <w:rPr>
          <w:rFonts w:hint="eastAsia" w:ascii="仿宋" w:hAnsi="仿宋" w:eastAsia="仿宋" w:cs="仿宋"/>
          <w:color w:val="000000" w:themeColor="text1"/>
          <w:sz w:val="32"/>
          <w:szCs w:val="32"/>
          <w:highlight w:val="none"/>
          <w:lang w:eastAsia="zh-CN"/>
          <w14:textFill>
            <w14:solidFill>
              <w14:schemeClr w14:val="tx1"/>
            </w14:solidFill>
          </w14:textFill>
        </w:rPr>
        <w:t>加强</w:t>
      </w:r>
      <w:r>
        <w:rPr>
          <w:rFonts w:hint="eastAsia" w:ascii="仿宋" w:hAnsi="仿宋" w:eastAsia="仿宋" w:cs="仿宋"/>
          <w:color w:val="000000" w:themeColor="text1"/>
          <w:sz w:val="32"/>
          <w:szCs w:val="32"/>
          <w:highlight w:val="none"/>
          <w:lang w:val="en-US" w:eastAsia="zh-CN"/>
          <w14:textFill>
            <w14:solidFill>
              <w14:schemeClr w14:val="tx1"/>
            </w14:solidFill>
          </w14:textFill>
        </w:rPr>
        <w:t>租金收缴力度，加大经费使用效率。伙食补助</w:t>
      </w:r>
      <w:r>
        <w:rPr>
          <w:rFonts w:hint="eastAsia" w:ascii="仿宋" w:hAnsi="仿宋" w:eastAsia="仿宋" w:cs="仿宋"/>
          <w:color w:val="000000" w:themeColor="text1"/>
          <w:sz w:val="32"/>
          <w:szCs w:val="32"/>
          <w:highlight w:val="none"/>
          <w14:textFill>
            <w14:solidFill>
              <w14:schemeClr w14:val="tx1"/>
            </w14:solidFill>
          </w14:textFill>
        </w:rPr>
        <w:t>项目自评得分为</w:t>
      </w:r>
      <w:r>
        <w:rPr>
          <w:rFonts w:hint="eastAsia" w:ascii="仿宋" w:hAnsi="仿宋" w:eastAsia="仿宋" w:cs="仿宋"/>
          <w:color w:val="000000" w:themeColor="text1"/>
          <w:sz w:val="32"/>
          <w:szCs w:val="32"/>
          <w:highlight w:val="none"/>
          <w:lang w:val="en-US" w:eastAsia="zh-CN"/>
          <w14:textFill>
            <w14:solidFill>
              <w14:schemeClr w14:val="tx1"/>
            </w14:solidFill>
          </w14:textFill>
        </w:rPr>
        <w:t>100</w:t>
      </w:r>
      <w:r>
        <w:rPr>
          <w:rFonts w:hint="eastAsia" w:ascii="仿宋" w:hAnsi="仿宋" w:eastAsia="仿宋" w:cs="仿宋"/>
          <w:color w:val="000000" w:themeColor="text1"/>
          <w:sz w:val="32"/>
          <w:szCs w:val="32"/>
          <w:highlight w:val="none"/>
          <w14:textFill>
            <w14:solidFill>
              <w14:schemeClr w14:val="tx1"/>
            </w14:solidFill>
          </w14:textFill>
        </w:rPr>
        <w:t>分</w:t>
      </w:r>
      <w:r>
        <w:rPr>
          <w:rFonts w:hint="eastAsia" w:ascii="仿宋" w:hAnsi="仿宋" w:eastAsia="仿宋" w:cs="仿宋"/>
          <w:color w:val="000000" w:themeColor="text1"/>
          <w:sz w:val="32"/>
          <w:szCs w:val="32"/>
          <w:highlight w:val="none"/>
          <w:lang w:val="en-US" w:eastAsia="zh-CN"/>
          <w14:textFill>
            <w14:solidFill>
              <w14:schemeClr w14:val="tx1"/>
            </w14:solidFill>
          </w14:textFill>
        </w:rPr>
        <w:t>;班主任津贴</w:t>
      </w:r>
      <w:r>
        <w:rPr>
          <w:rFonts w:hint="eastAsia" w:ascii="仿宋" w:hAnsi="仿宋" w:eastAsia="仿宋" w:cs="仿宋"/>
          <w:color w:val="000000" w:themeColor="text1"/>
          <w:sz w:val="32"/>
          <w:szCs w:val="32"/>
          <w:highlight w:val="none"/>
          <w14:textFill>
            <w14:solidFill>
              <w14:schemeClr w14:val="tx1"/>
            </w14:solidFill>
          </w14:textFill>
        </w:rPr>
        <w:t>项目自评得分为</w:t>
      </w:r>
      <w:r>
        <w:rPr>
          <w:rFonts w:hint="eastAsia" w:ascii="仿宋" w:hAnsi="仿宋" w:eastAsia="仿宋" w:cs="仿宋"/>
          <w:color w:val="000000" w:themeColor="text1"/>
          <w:sz w:val="32"/>
          <w:szCs w:val="32"/>
          <w:highlight w:val="none"/>
          <w:lang w:val="en-US" w:eastAsia="zh-CN"/>
          <w14:textFill>
            <w14:solidFill>
              <w14:schemeClr w14:val="tx1"/>
            </w14:solidFill>
          </w14:textFill>
        </w:rPr>
        <w:t>94.07</w:t>
      </w:r>
      <w:r>
        <w:rPr>
          <w:rFonts w:hint="eastAsia" w:ascii="仿宋" w:hAnsi="仿宋" w:eastAsia="仿宋" w:cs="仿宋"/>
          <w:color w:val="000000" w:themeColor="text1"/>
          <w:sz w:val="32"/>
          <w:szCs w:val="32"/>
          <w:highlight w:val="none"/>
          <w14:textFill>
            <w14:solidFill>
              <w14:schemeClr w14:val="tx1"/>
            </w14:solidFill>
          </w14:textFill>
        </w:rPr>
        <w:t>分</w:t>
      </w:r>
      <w:r>
        <w:rPr>
          <w:rFonts w:hint="eastAsia" w:ascii="仿宋" w:hAnsi="仿宋" w:eastAsia="仿宋" w:cs="仿宋"/>
          <w:color w:val="000000" w:themeColor="text1"/>
          <w:sz w:val="32"/>
          <w:szCs w:val="32"/>
          <w:highlight w:val="none"/>
          <w:lang w:val="en-US" w:eastAsia="zh-CN"/>
          <w14:textFill>
            <w14:solidFill>
              <w14:schemeClr w14:val="tx1"/>
            </w14:solidFill>
          </w14:textFill>
        </w:rPr>
        <w:t>,发现主要问题及原因是部分班级班主任安排有误，没有跟预算时相吻合，下一步改进措施是规范班主任津贴上报程序，做到数据准确。教师节经费</w:t>
      </w:r>
      <w:r>
        <w:rPr>
          <w:rFonts w:hint="eastAsia" w:ascii="仿宋" w:hAnsi="仿宋" w:eastAsia="仿宋" w:cs="仿宋"/>
          <w:color w:val="000000" w:themeColor="text1"/>
          <w:sz w:val="32"/>
          <w:szCs w:val="32"/>
          <w:highlight w:val="none"/>
          <w14:textFill>
            <w14:solidFill>
              <w14:schemeClr w14:val="tx1"/>
            </w14:solidFill>
          </w14:textFill>
        </w:rPr>
        <w:t>项目自评得分为</w:t>
      </w:r>
      <w:r>
        <w:rPr>
          <w:rFonts w:hint="eastAsia" w:ascii="仿宋" w:hAnsi="仿宋" w:eastAsia="仿宋" w:cs="仿宋"/>
          <w:color w:val="000000" w:themeColor="text1"/>
          <w:sz w:val="32"/>
          <w:szCs w:val="32"/>
          <w:highlight w:val="none"/>
          <w:lang w:val="en-US" w:eastAsia="zh-CN"/>
          <w14:textFill>
            <w14:solidFill>
              <w14:schemeClr w14:val="tx1"/>
            </w14:solidFill>
          </w14:textFill>
        </w:rPr>
        <w:t>100</w:t>
      </w:r>
      <w:r>
        <w:rPr>
          <w:rFonts w:hint="eastAsia" w:ascii="仿宋" w:hAnsi="仿宋" w:eastAsia="仿宋" w:cs="仿宋"/>
          <w:color w:val="000000" w:themeColor="text1"/>
          <w:sz w:val="32"/>
          <w:szCs w:val="32"/>
          <w:highlight w:val="none"/>
          <w14:textFill>
            <w14:solidFill>
              <w14:schemeClr w14:val="tx1"/>
            </w14:solidFill>
          </w14:textFill>
        </w:rPr>
        <w:t>分</w:t>
      </w:r>
      <w:r>
        <w:rPr>
          <w:rFonts w:hint="eastAsia" w:ascii="仿宋" w:hAnsi="仿宋" w:eastAsia="仿宋" w:cs="仿宋"/>
          <w:color w:val="000000" w:themeColor="text1"/>
          <w:sz w:val="32"/>
          <w:szCs w:val="32"/>
          <w:highlight w:val="none"/>
          <w:lang w:val="en-US" w:eastAsia="zh-CN"/>
          <w14:textFill>
            <w14:solidFill>
              <w14:schemeClr w14:val="tx1"/>
            </w14:solidFill>
          </w14:textFill>
        </w:rPr>
        <w:t>;义务教育公用经费</w:t>
      </w:r>
      <w:r>
        <w:rPr>
          <w:rFonts w:hint="eastAsia" w:ascii="仿宋" w:hAnsi="仿宋" w:eastAsia="仿宋" w:cs="仿宋"/>
          <w:color w:val="000000" w:themeColor="text1"/>
          <w:sz w:val="32"/>
          <w:szCs w:val="32"/>
          <w:highlight w:val="none"/>
          <w14:textFill>
            <w14:solidFill>
              <w14:schemeClr w14:val="tx1"/>
            </w14:solidFill>
          </w14:textFill>
        </w:rPr>
        <w:t>项目自评得分为</w:t>
      </w:r>
      <w:r>
        <w:rPr>
          <w:rFonts w:hint="eastAsia" w:ascii="仿宋" w:hAnsi="仿宋" w:eastAsia="仿宋" w:cs="仿宋"/>
          <w:color w:val="000000" w:themeColor="text1"/>
          <w:sz w:val="32"/>
          <w:szCs w:val="32"/>
          <w:highlight w:val="none"/>
          <w:lang w:val="en-US" w:eastAsia="zh-CN"/>
          <w14:textFill>
            <w14:solidFill>
              <w14:schemeClr w14:val="tx1"/>
            </w14:solidFill>
          </w14:textFill>
        </w:rPr>
        <w:t>80</w:t>
      </w:r>
      <w:r>
        <w:rPr>
          <w:rFonts w:hint="eastAsia" w:ascii="仿宋" w:hAnsi="仿宋" w:eastAsia="仿宋" w:cs="仿宋"/>
          <w:color w:val="000000" w:themeColor="text1"/>
          <w:sz w:val="32"/>
          <w:szCs w:val="32"/>
          <w:highlight w:val="none"/>
          <w14:textFill>
            <w14:solidFill>
              <w14:schemeClr w14:val="tx1"/>
            </w14:solidFill>
          </w14:textFill>
        </w:rPr>
        <w:t>分</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发现的主要问题及原因：一是</w:t>
      </w:r>
      <w:r>
        <w:rPr>
          <w:rFonts w:hint="eastAsia" w:ascii="仿宋" w:hAnsi="仿宋" w:eastAsia="仿宋" w:cs="仿宋"/>
          <w:color w:val="000000" w:themeColor="text1"/>
          <w:sz w:val="32"/>
          <w:szCs w:val="32"/>
          <w:highlight w:val="none"/>
          <w:lang w:val="en-US" w:eastAsia="zh-CN"/>
          <w14:textFill>
            <w14:solidFill>
              <w14:schemeClr w14:val="tx1"/>
            </w14:solidFill>
          </w14:textFill>
        </w:rPr>
        <w:t>经费支出效率低，没有发挥经费应有的作用，主要原因是工作开展不积极，没有完成预期效果</w:t>
      </w:r>
      <w:r>
        <w:rPr>
          <w:rFonts w:hint="eastAsia" w:ascii="仿宋" w:hAnsi="仿宋" w:eastAsia="仿宋" w:cs="仿宋"/>
          <w:color w:val="000000" w:themeColor="text1"/>
          <w:sz w:val="32"/>
          <w:szCs w:val="32"/>
          <w:highlight w:val="none"/>
          <w14:textFill>
            <w14:solidFill>
              <w14:schemeClr w14:val="tx1"/>
            </w14:solidFill>
          </w14:textFill>
        </w:rPr>
        <w:t>。下一步改进措施：</w:t>
      </w:r>
      <w:r>
        <w:rPr>
          <w:rFonts w:hint="eastAsia" w:ascii="仿宋" w:hAnsi="仿宋" w:eastAsia="仿宋" w:cs="仿宋"/>
          <w:color w:val="000000" w:themeColor="text1"/>
          <w:sz w:val="32"/>
          <w:szCs w:val="32"/>
          <w:highlight w:val="none"/>
          <w:lang w:eastAsia="zh-CN"/>
          <w14:textFill>
            <w14:solidFill>
              <w14:schemeClr w14:val="tx1"/>
            </w14:solidFill>
          </w14:textFill>
        </w:rPr>
        <w:t>加强</w:t>
      </w:r>
      <w:r>
        <w:rPr>
          <w:rFonts w:hint="eastAsia" w:ascii="仿宋" w:hAnsi="仿宋" w:eastAsia="仿宋" w:cs="仿宋"/>
          <w:color w:val="000000" w:themeColor="text1"/>
          <w:sz w:val="32"/>
          <w:szCs w:val="32"/>
          <w:highlight w:val="none"/>
          <w:lang w:val="en-US" w:eastAsia="zh-CN"/>
          <w14:textFill>
            <w14:solidFill>
              <w14:schemeClr w14:val="tx1"/>
            </w14:solidFill>
          </w14:textFill>
        </w:rPr>
        <w:t>各项工作进展，加大建设项目进度监督，每一个内容完成尽快完成结账，提高经费支付力度</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自治区公用经费</w:t>
      </w:r>
      <w:r>
        <w:rPr>
          <w:rFonts w:hint="eastAsia" w:ascii="仿宋" w:hAnsi="仿宋" w:eastAsia="仿宋" w:cs="仿宋"/>
          <w:color w:val="000000" w:themeColor="text1"/>
          <w:sz w:val="32"/>
          <w:szCs w:val="32"/>
          <w:highlight w:val="none"/>
          <w14:textFill>
            <w14:solidFill>
              <w14:schemeClr w14:val="tx1"/>
            </w14:solidFill>
          </w14:textFill>
        </w:rPr>
        <w:t>项目自评得分为</w:t>
      </w:r>
      <w:r>
        <w:rPr>
          <w:rFonts w:hint="eastAsia" w:ascii="仿宋" w:hAnsi="仿宋" w:eastAsia="仿宋" w:cs="仿宋"/>
          <w:color w:val="000000" w:themeColor="text1"/>
          <w:sz w:val="32"/>
          <w:szCs w:val="32"/>
          <w:highlight w:val="none"/>
          <w:lang w:val="en-US" w:eastAsia="zh-CN"/>
          <w14:textFill>
            <w14:solidFill>
              <w14:schemeClr w14:val="tx1"/>
            </w14:solidFill>
          </w14:textFill>
        </w:rPr>
        <w:t>72.06</w:t>
      </w:r>
      <w:r>
        <w:rPr>
          <w:rFonts w:hint="eastAsia" w:ascii="仿宋" w:hAnsi="仿宋" w:eastAsia="仿宋" w:cs="仿宋"/>
          <w:color w:val="000000" w:themeColor="text1"/>
          <w:sz w:val="32"/>
          <w:szCs w:val="32"/>
          <w:highlight w:val="none"/>
          <w14:textFill>
            <w14:solidFill>
              <w14:schemeClr w14:val="tx1"/>
            </w14:solidFill>
          </w14:textFill>
        </w:rPr>
        <w:t>分</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发现的主要问题及原因：一是</w:t>
      </w:r>
      <w:r>
        <w:rPr>
          <w:rFonts w:hint="eastAsia" w:ascii="仿宋" w:hAnsi="仿宋" w:eastAsia="仿宋" w:cs="仿宋"/>
          <w:color w:val="000000" w:themeColor="text1"/>
          <w:sz w:val="32"/>
          <w:szCs w:val="32"/>
          <w:highlight w:val="none"/>
          <w:lang w:val="en-US" w:eastAsia="zh-CN"/>
          <w14:textFill>
            <w14:solidFill>
              <w14:schemeClr w14:val="tx1"/>
            </w14:solidFill>
          </w14:textFill>
        </w:rPr>
        <w:t>经费支出效率低，没有发挥经费应有的作用，主要原因是工作开展不积极，没有完成预期效果</w:t>
      </w:r>
      <w:r>
        <w:rPr>
          <w:rFonts w:hint="eastAsia" w:ascii="仿宋" w:hAnsi="仿宋" w:eastAsia="仿宋" w:cs="仿宋"/>
          <w:color w:val="000000" w:themeColor="text1"/>
          <w:sz w:val="32"/>
          <w:szCs w:val="32"/>
          <w:highlight w:val="none"/>
          <w14:textFill>
            <w14:solidFill>
              <w14:schemeClr w14:val="tx1"/>
            </w14:solidFill>
          </w14:textFill>
        </w:rPr>
        <w:t>。下一步改进措施：</w:t>
      </w:r>
      <w:r>
        <w:rPr>
          <w:rFonts w:hint="eastAsia" w:ascii="仿宋" w:hAnsi="仿宋" w:eastAsia="仿宋" w:cs="仿宋"/>
          <w:color w:val="000000" w:themeColor="text1"/>
          <w:sz w:val="32"/>
          <w:szCs w:val="32"/>
          <w:highlight w:val="none"/>
          <w:lang w:eastAsia="zh-CN"/>
          <w14:textFill>
            <w14:solidFill>
              <w14:schemeClr w14:val="tx1"/>
            </w14:solidFill>
          </w14:textFill>
        </w:rPr>
        <w:t>加强</w:t>
      </w:r>
      <w:r>
        <w:rPr>
          <w:rFonts w:hint="eastAsia" w:ascii="仿宋" w:hAnsi="仿宋" w:eastAsia="仿宋" w:cs="仿宋"/>
          <w:color w:val="000000" w:themeColor="text1"/>
          <w:sz w:val="32"/>
          <w:szCs w:val="32"/>
          <w:highlight w:val="none"/>
          <w:lang w:val="en-US" w:eastAsia="zh-CN"/>
          <w14:textFill>
            <w14:solidFill>
              <w14:schemeClr w14:val="tx1"/>
            </w14:solidFill>
          </w14:textFill>
        </w:rPr>
        <w:t>各项工作进展，加大建设项目进度监督，每一个内容完成尽快完成结账，提高经费支付力度</w:t>
      </w:r>
      <w:r>
        <w:rPr>
          <w:rFonts w:hint="eastAsia" w:ascii="仿宋" w:hAnsi="仿宋" w:eastAsia="仿宋" w:cs="仿宋"/>
          <w:color w:val="000000" w:themeColor="text1"/>
          <w:sz w:val="32"/>
          <w:szCs w:val="32"/>
          <w:highlight w:val="none"/>
          <w14:textFill>
            <w14:solidFill>
              <w14:schemeClr w14:val="tx1"/>
            </w14:solidFill>
          </w14:textFill>
        </w:rPr>
        <w:t>。</w:t>
      </w: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textAlignment w:val="auto"/>
        <w:rPr>
          <w:rFonts w:hint="eastAsia"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czZGJiMzk3NmE4MTFmY2I0NmVkOTVhODY4OTk3OTc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992762"/>
    <w:rsid w:val="07B0770E"/>
    <w:rsid w:val="0942143F"/>
    <w:rsid w:val="0D100297"/>
    <w:rsid w:val="0D202B45"/>
    <w:rsid w:val="0F8D4C87"/>
    <w:rsid w:val="10505FAA"/>
    <w:rsid w:val="105F7E7E"/>
    <w:rsid w:val="11E56B5B"/>
    <w:rsid w:val="125C77AB"/>
    <w:rsid w:val="14A717F5"/>
    <w:rsid w:val="14CB726E"/>
    <w:rsid w:val="17E92249"/>
    <w:rsid w:val="18D304F1"/>
    <w:rsid w:val="19F32577"/>
    <w:rsid w:val="19F45B80"/>
    <w:rsid w:val="1B0C078D"/>
    <w:rsid w:val="1B1C5B58"/>
    <w:rsid w:val="1B2B31E2"/>
    <w:rsid w:val="1B4C295A"/>
    <w:rsid w:val="1B973C63"/>
    <w:rsid w:val="1BA1001E"/>
    <w:rsid w:val="1D317259"/>
    <w:rsid w:val="1E664F5B"/>
    <w:rsid w:val="1EB34BE1"/>
    <w:rsid w:val="1ED12380"/>
    <w:rsid w:val="1FDD4C1F"/>
    <w:rsid w:val="215E639F"/>
    <w:rsid w:val="21EC3183"/>
    <w:rsid w:val="225E72CD"/>
    <w:rsid w:val="241038D6"/>
    <w:rsid w:val="246E2F77"/>
    <w:rsid w:val="254B4E2B"/>
    <w:rsid w:val="25F80EA9"/>
    <w:rsid w:val="283D7C94"/>
    <w:rsid w:val="29333183"/>
    <w:rsid w:val="29480E03"/>
    <w:rsid w:val="2983634D"/>
    <w:rsid w:val="2BB02055"/>
    <w:rsid w:val="2C575A56"/>
    <w:rsid w:val="2F257714"/>
    <w:rsid w:val="2F3275E5"/>
    <w:rsid w:val="2FE720EB"/>
    <w:rsid w:val="30AA08EF"/>
    <w:rsid w:val="30D23D1C"/>
    <w:rsid w:val="31221CF5"/>
    <w:rsid w:val="31400178"/>
    <w:rsid w:val="321E3342"/>
    <w:rsid w:val="327759C8"/>
    <w:rsid w:val="33185FE3"/>
    <w:rsid w:val="34EE2E36"/>
    <w:rsid w:val="36777241"/>
    <w:rsid w:val="371E78D5"/>
    <w:rsid w:val="38A951DB"/>
    <w:rsid w:val="38B31605"/>
    <w:rsid w:val="39003F4F"/>
    <w:rsid w:val="39037B98"/>
    <w:rsid w:val="3C07002B"/>
    <w:rsid w:val="3D0D152A"/>
    <w:rsid w:val="3DF62756"/>
    <w:rsid w:val="3F1B7587"/>
    <w:rsid w:val="41E57B4F"/>
    <w:rsid w:val="432F26F6"/>
    <w:rsid w:val="43880F63"/>
    <w:rsid w:val="441C5A6F"/>
    <w:rsid w:val="44C44FCC"/>
    <w:rsid w:val="44CC7369"/>
    <w:rsid w:val="457F5108"/>
    <w:rsid w:val="46951B6B"/>
    <w:rsid w:val="49A34401"/>
    <w:rsid w:val="4A3E30AB"/>
    <w:rsid w:val="4AC14DAC"/>
    <w:rsid w:val="4D154C85"/>
    <w:rsid w:val="4EB35ECE"/>
    <w:rsid w:val="508F4E24"/>
    <w:rsid w:val="51461E90"/>
    <w:rsid w:val="51463753"/>
    <w:rsid w:val="52553A93"/>
    <w:rsid w:val="53521F8B"/>
    <w:rsid w:val="53E22F47"/>
    <w:rsid w:val="54522FF8"/>
    <w:rsid w:val="55450629"/>
    <w:rsid w:val="56692963"/>
    <w:rsid w:val="568B0F48"/>
    <w:rsid w:val="5786217B"/>
    <w:rsid w:val="590F3C66"/>
    <w:rsid w:val="59337A15"/>
    <w:rsid w:val="59810274"/>
    <w:rsid w:val="5AA24788"/>
    <w:rsid w:val="5CA96A00"/>
    <w:rsid w:val="5CF730BC"/>
    <w:rsid w:val="5E5F0DCE"/>
    <w:rsid w:val="5FA40A7B"/>
    <w:rsid w:val="5FD56D29"/>
    <w:rsid w:val="5FEC7F3F"/>
    <w:rsid w:val="604D3E2F"/>
    <w:rsid w:val="60F74BC3"/>
    <w:rsid w:val="617D3BF8"/>
    <w:rsid w:val="61841F6A"/>
    <w:rsid w:val="623007A9"/>
    <w:rsid w:val="637D7558"/>
    <w:rsid w:val="644F19AC"/>
    <w:rsid w:val="65AA4920"/>
    <w:rsid w:val="65E31D0B"/>
    <w:rsid w:val="67694F1E"/>
    <w:rsid w:val="69597934"/>
    <w:rsid w:val="6B964DDC"/>
    <w:rsid w:val="6C783074"/>
    <w:rsid w:val="6D9E65C6"/>
    <w:rsid w:val="6DA81947"/>
    <w:rsid w:val="6EB66DE2"/>
    <w:rsid w:val="6ED3075F"/>
    <w:rsid w:val="6F2A2D4B"/>
    <w:rsid w:val="6F8A0C1E"/>
    <w:rsid w:val="703F45D4"/>
    <w:rsid w:val="715D6546"/>
    <w:rsid w:val="71BE069E"/>
    <w:rsid w:val="7378159F"/>
    <w:rsid w:val="73953409"/>
    <w:rsid w:val="73E069A3"/>
    <w:rsid w:val="78104AA8"/>
    <w:rsid w:val="78E257C5"/>
    <w:rsid w:val="794B35BE"/>
    <w:rsid w:val="7B0A3A31"/>
    <w:rsid w:val="7B3360ED"/>
    <w:rsid w:val="7BDF037E"/>
    <w:rsid w:val="7BF50948"/>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8.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2355.69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38.33</c:v>
                </c:pt>
                <c:pt idx="5">
                  <c:v>0</c:v>
                </c:pt>
                <c:pt idx="6">
                  <c:v>0</c:v>
                </c:pt>
                <c:pt idx="7">
                  <c:v>224.34</c:v>
                </c:pt>
                <c:pt idx="8">
                  <c:v>0</c:v>
                </c:pt>
                <c:pt idx="9">
                  <c:v>0</c:v>
                </c:pt>
                <c:pt idx="10">
                  <c:v>0</c:v>
                </c:pt>
                <c:pt idx="11">
                  <c:v>26.98</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6.1</c:v>
                </c:pt>
                <c:pt idx="2">
                  <c:v>1.15</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2001.52</c:v>
                </c:pt>
                <c:pt idx="2">
                  <c:v>192.51</c:v>
                </c:pt>
                <c:pt idx="3">
                  <c:v>74.45</c:v>
                </c:pt>
                <c:pt idx="4">
                  <c:v>278.47</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23.6</c:v>
                </c:pt>
                <c:pt idx="1">
                  <c:v>1646.81</c:v>
                </c:pt>
                <c:pt idx="2">
                  <c:v>299.63</c:v>
                </c:pt>
                <c:pt idx="3">
                  <c:v>130.07</c:v>
                </c:pt>
                <c:pt idx="4">
                  <c:v>255.58</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23.6</c:v>
                </c:pt>
                <c:pt idx="1">
                  <c:v>23.6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2050203</c:v>
                </c:pt>
                <c:pt idx="1">
                  <c:v>2050299</c:v>
                </c:pt>
                <c:pt idx="2">
                  <c:v>205x</c:v>
                </c:pt>
              </c:strCache>
            </c:strRef>
          </c:cat>
          <c:val>
            <c:numRef>
              <c:f>Sheet1!$B$2:$B$4</c:f>
              <c:numCache>
                <c:formatCode>General</c:formatCode>
                <c:ptCount val="3"/>
                <c:pt idx="0">
                  <c:v>1602.78</c:v>
                </c:pt>
                <c:pt idx="1">
                  <c:v>44.03</c:v>
                </c:pt>
                <c:pt idx="2">
                  <c:v>1646.81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299.63</c:v>
                </c:pt>
                <c:pt idx="1">
                  <c:v>299.63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130.07</c:v>
                </c:pt>
                <c:pt idx="1">
                  <c:v>130.07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255.58</c:v>
                </c:pt>
                <c:pt idx="1">
                  <c:v>255.58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707.39</c:v>
                </c:pt>
                <c:pt idx="1">
                  <c:v>44.48</c:v>
                </c:pt>
                <c:pt idx="2">
                  <c:v>70.74</c:v>
                </c:pt>
                <c:pt idx="3">
                  <c:v>0</c:v>
                </c:pt>
                <c:pt idx="4">
                  <c:v>265.98</c:v>
                </c:pt>
                <c:pt idx="5">
                  <c:v>299.63</c:v>
                </c:pt>
                <c:pt idx="6">
                  <c:v>0</c:v>
                </c:pt>
                <c:pt idx="7">
                  <c:v>81.53</c:v>
                </c:pt>
                <c:pt idx="8">
                  <c:v>0</c:v>
                </c:pt>
                <c:pt idx="9">
                  <c:v>9.66</c:v>
                </c:pt>
                <c:pt idx="10">
                  <c:v>130.07</c:v>
                </c:pt>
                <c:pt idx="11">
                  <c:v>0</c:v>
                </c:pt>
                <c:pt idx="12">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9.23</c:v>
                </c:pt>
                <c:pt idx="1">
                  <c:v>0</c:v>
                </c:pt>
                <c:pt idx="2">
                  <c:v>0</c:v>
                </c:pt>
                <c:pt idx="3">
                  <c:v>16.74</c:v>
                </c:pt>
                <c:pt idx="4">
                  <c:v>0</c:v>
                </c:pt>
                <c:pt idx="5">
                  <c:v>24.29</c:v>
                </c:pt>
                <c:pt idx="6">
                  <c:v>1.1</c:v>
                </c:pt>
                <c:pt idx="7">
                  <c:v>0</c:v>
                </c:pt>
                <c:pt idx="8">
                  <c:v>0</c:v>
                </c:pt>
                <c:pt idx="9">
                  <c:v>2.06</c:v>
                </c:pt>
                <c:pt idx="10">
                  <c:v>0</c:v>
                </c:pt>
                <c:pt idx="11">
                  <c:v>14.9</c:v>
                </c:pt>
                <c:pt idx="12">
                  <c:v>0</c:v>
                </c:pt>
                <c:pt idx="13">
                  <c:v>0</c:v>
                </c:pt>
                <c:pt idx="14">
                  <c:v>0</c:v>
                </c:pt>
                <c:pt idx="15">
                  <c:v>0</c:v>
                </c:pt>
                <c:pt idx="16">
                  <c:v>2.72</c:v>
                </c:pt>
                <c:pt idx="17">
                  <c:v>0</c:v>
                </c:pt>
                <c:pt idx="18">
                  <c:v>0</c:v>
                </c:pt>
                <c:pt idx="19">
                  <c:v>0</c:v>
                </c:pt>
                <c:pt idx="20">
                  <c:v>0</c:v>
                </c:pt>
                <c:pt idx="21">
                  <c:v>23.6</c:v>
                </c:pt>
                <c:pt idx="22">
                  <c:v>0</c:v>
                </c:pt>
                <c:pt idx="23">
                  <c:v>0</c:v>
                </c:pt>
                <c:pt idx="24">
                  <c:v>0</c:v>
                </c:pt>
                <c:pt idx="25">
                  <c:v>0</c:v>
                </c:pt>
                <c:pt idx="26">
                  <c:v>2.61</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0</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2023-08-17T10:06:00Z</dcterms:created>
  <dc:creator>C D D</dc:creator>
  <cp:lastModifiedBy>Administrator</cp:lastModifiedBy>
  <dcterms:modified xsi:type="dcterms:W3CDTF">2023-11-28T07:46:51Z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10C4A1E8558E4A4AAEB1F187CA9D3AF2_13</vt:lpwstr>
  </property>
</Properties>
</file>