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center"/>
        <w:rPr>
          <w:rFonts w:hint="eastAsia" w:ascii="黑体" w:hAnsi="黑体" w:eastAsia="黑体" w:cs="黑体"/>
          <w:b/>
          <w:bCs/>
          <w:sz w:val="52"/>
          <w:szCs w:val="52"/>
          <w:highlight w:val="none"/>
          <w:lang w:eastAsia="zh-CN"/>
        </w:rPr>
      </w:pPr>
      <w:r>
        <w:rPr>
          <w:rFonts w:hint="eastAsia" w:ascii="黑体" w:hAnsi="黑体" w:eastAsia="黑体" w:cs="黑体"/>
          <w:b/>
          <w:bCs/>
          <w:sz w:val="52"/>
          <w:szCs w:val="52"/>
          <w:highlight w:val="none"/>
        </w:rPr>
        <w:t>环江毛南族自治县职业技术学校2022年度部门决算</w:t>
      </w:r>
      <w:r>
        <w:rPr>
          <w:rFonts w:hint="eastAsia" w:ascii="黑体" w:hAnsi="黑体" w:eastAsia="黑体" w:cs="黑体"/>
          <w:b/>
          <w:bCs/>
          <w:sz w:val="52"/>
          <w:szCs w:val="52"/>
          <w:highlight w:val="none"/>
          <w:lang w:eastAsia="zh-CN"/>
        </w:rPr>
        <w:t>公开</w:t>
      </w:r>
    </w:p>
    <w:p>
      <w:pPr>
        <w:jc w:val="center"/>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center"/>
        <w:rPr>
          <w:rFonts w:hint="eastAsia" w:ascii="黑体" w:hAnsi="黑体" w:eastAsia="黑体" w:cs="黑体"/>
          <w:b/>
          <w:bCs/>
          <w:sz w:val="36"/>
          <w:szCs w:val="36"/>
          <w:highlight w:val="none"/>
          <w:lang w:val="en-US" w:eastAsia="zh-CN"/>
        </w:rPr>
      </w:pPr>
      <w:r>
        <w:rPr>
          <w:rFonts w:hint="eastAsia" w:ascii="黑体" w:hAnsi="黑体" w:eastAsia="黑体" w:cs="黑体"/>
          <w:b/>
          <w:bCs/>
          <w:sz w:val="36"/>
          <w:szCs w:val="36"/>
          <w:highlight w:val="none"/>
        </w:rPr>
        <w:t>2023年</w:t>
      </w:r>
      <w:r>
        <w:rPr>
          <w:rFonts w:hint="eastAsia" w:ascii="黑体" w:hAnsi="黑体" w:eastAsia="黑体" w:cs="黑体"/>
          <w:b/>
          <w:bCs/>
          <w:sz w:val="36"/>
          <w:szCs w:val="36"/>
          <w:highlight w:val="none"/>
          <w:lang w:val="en-US" w:eastAsia="zh-CN"/>
        </w:rPr>
        <w:t>10</w:t>
      </w:r>
      <w:r>
        <w:rPr>
          <w:rFonts w:hint="eastAsia" w:ascii="黑体" w:hAnsi="黑体" w:eastAsia="黑体" w:cs="黑体"/>
          <w:b/>
          <w:bCs/>
          <w:sz w:val="36"/>
          <w:szCs w:val="36"/>
          <w:highlight w:val="none"/>
        </w:rPr>
        <w:t>月</w:t>
      </w:r>
      <w:bookmarkStart w:id="4" w:name="_GoBack"/>
      <w:bookmarkEnd w:id="4"/>
    </w:p>
    <w:p>
      <w:pPr>
        <w:rPr>
          <w:rFonts w:ascii="仿宋" w:hAnsi="仿宋" w:eastAsia="仿宋" w:cs="仿宋"/>
          <w:sz w:val="32"/>
          <w:szCs w:val="32"/>
          <w:highlight w:val="none"/>
        </w:rPr>
      </w:pPr>
      <w:r>
        <w:rPr>
          <w:rFonts w:ascii="仿宋" w:hAnsi="仿宋" w:eastAsia="仿宋" w:cs="仿宋"/>
          <w:sz w:val="32"/>
          <w:szCs w:val="32"/>
          <w:highlight w:val="none"/>
        </w:rPr>
        <w:br w:type="page"/>
      </w:r>
    </w:p>
    <w:p>
      <w:pPr>
        <w:jc w:val="center"/>
        <w:rPr>
          <w:rFonts w:ascii="黑体" w:hAnsi="黑体" w:eastAsia="黑体" w:cs="黑体"/>
          <w:b/>
          <w:bCs/>
          <w:sz w:val="36"/>
          <w:szCs w:val="36"/>
          <w:highlight w:val="none"/>
        </w:rPr>
      </w:pPr>
      <w:r>
        <w:rPr>
          <w:rFonts w:hint="eastAsia" w:ascii="黑体" w:hAnsi="黑体" w:eastAsia="黑体" w:cs="黑体"/>
          <w:b/>
          <w:bCs/>
          <w:sz w:val="36"/>
          <w:szCs w:val="36"/>
          <w:highlight w:val="none"/>
        </w:rPr>
        <w:t>目</w:t>
      </w:r>
      <w:r>
        <w:rPr>
          <w:rFonts w:hint="eastAsia" w:ascii="黑体" w:hAnsi="黑体" w:eastAsia="黑体" w:cs="黑体"/>
          <w:b/>
          <w:bCs/>
          <w:sz w:val="36"/>
          <w:szCs w:val="36"/>
          <w:highlight w:val="none"/>
          <w:lang w:val="en-US" w:eastAsia="zh-CN"/>
        </w:rPr>
        <w:t xml:space="preserve">  </w:t>
      </w:r>
      <w:r>
        <w:rPr>
          <w:rFonts w:hint="eastAsia" w:ascii="黑体" w:hAnsi="黑体" w:eastAsia="黑体" w:cs="黑体"/>
          <w:b/>
          <w:bCs/>
          <w:sz w:val="36"/>
          <w:szCs w:val="36"/>
          <w:highlight w:val="none"/>
        </w:rPr>
        <w:t xml:space="preserve"> 录</w:t>
      </w:r>
    </w:p>
    <w:p>
      <w:pPr>
        <w:jc w:val="left"/>
        <w:rPr>
          <w:rFonts w:ascii="黑体" w:hAnsi="黑体" w:eastAsia="黑体" w:cs="黑体"/>
          <w:b/>
          <w:bCs/>
          <w:sz w:val="36"/>
          <w:szCs w:val="36"/>
          <w:highlight w:val="none"/>
        </w:rPr>
      </w:pPr>
    </w:p>
    <w:p>
      <w:pPr>
        <w:jc w:val="left"/>
        <w:rPr>
          <w:rFonts w:ascii="仿宋" w:hAnsi="仿宋" w:eastAsia="仿宋" w:cs="仿宋"/>
          <w:sz w:val="32"/>
          <w:szCs w:val="32"/>
          <w:highlight w:val="none"/>
        </w:rPr>
      </w:pPr>
      <w:r>
        <w:rPr>
          <w:rFonts w:hint="eastAsia" w:ascii="黑体" w:hAnsi="黑体" w:eastAsia="黑体" w:cs="黑体"/>
          <w:sz w:val="32"/>
          <w:szCs w:val="32"/>
          <w:highlight w:val="none"/>
        </w:rPr>
        <w:t>第一部分：</w:t>
      </w:r>
      <w:r>
        <w:rPr>
          <w:rFonts w:ascii="黑体" w:hAnsi="黑体" w:eastAsia="黑体" w:cs="黑体"/>
          <w:sz w:val="32"/>
          <w:u w:color="auto"/>
        </w:rPr>
        <w:t>环江毛南族自治县职业技术学校</w:t>
      </w:r>
      <w:r>
        <w:rPr>
          <w:rFonts w:hint="eastAsia" w:ascii="黑体" w:hAnsi="黑体" w:eastAsia="黑体" w:cs="黑体"/>
          <w:sz w:val="32"/>
          <w:szCs w:val="32"/>
          <w:highlight w:val="none"/>
        </w:rPr>
        <w:t>概况</w:t>
      </w:r>
    </w:p>
    <w:p>
      <w:pPr>
        <w:jc w:val="left"/>
        <w:rPr>
          <w:rFonts w:ascii="仿宋" w:hAnsi="仿宋" w:eastAsia="仿宋" w:cs="仿宋"/>
          <w:sz w:val="32"/>
          <w:szCs w:val="32"/>
          <w:highlight w:val="none"/>
        </w:rPr>
      </w:pPr>
      <w:r>
        <w:rPr>
          <w:rFonts w:hint="eastAsia" w:ascii="仿宋" w:hAnsi="仿宋" w:eastAsia="仿宋" w:cs="仿宋"/>
          <w:sz w:val="32"/>
          <w:szCs w:val="32"/>
          <w:highlight w:val="none"/>
        </w:rPr>
        <w:t>一、主要职能</w:t>
      </w:r>
    </w:p>
    <w:p>
      <w:pPr>
        <w:jc w:val="left"/>
        <w:rPr>
          <w:rFonts w:ascii="仿宋" w:hAnsi="仿宋" w:eastAsia="仿宋" w:cs="仿宋"/>
          <w:sz w:val="32"/>
          <w:szCs w:val="32"/>
          <w:highlight w:val="none"/>
        </w:rPr>
      </w:pPr>
      <w:r>
        <w:rPr>
          <w:rFonts w:hint="eastAsia" w:ascii="仿宋" w:hAnsi="仿宋" w:eastAsia="仿宋" w:cs="仿宋"/>
          <w:sz w:val="32"/>
          <w:szCs w:val="32"/>
          <w:highlight w:val="none"/>
        </w:rPr>
        <w:t>二、部门决算单位构成</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第二部分：</w:t>
      </w:r>
      <w:r>
        <w:rPr>
          <w:rFonts w:ascii="黑体" w:hAnsi="黑体" w:eastAsia="黑体" w:cs="黑体"/>
          <w:sz w:val="32"/>
          <w:u w:color="auto"/>
        </w:rPr>
        <w:t>环江毛南族自治县职业技术学校</w:t>
      </w:r>
      <w:r>
        <w:rPr>
          <w:rFonts w:hint="eastAsia" w:ascii="黑体" w:hAnsi="黑体" w:eastAsia="黑体" w:cs="黑体"/>
          <w:sz w:val="32"/>
          <w:szCs w:val="32"/>
          <w:highlight w:val="none"/>
        </w:rPr>
        <w:t>2022年度部门决算报表</w:t>
      </w:r>
    </w:p>
    <w:p>
      <w:pPr>
        <w:rPr>
          <w:rFonts w:hint="eastAsia" w:ascii="仿宋_GB2312" w:eastAsia="仿宋_GB2312"/>
          <w:sz w:val="32"/>
          <w:szCs w:val="32"/>
          <w:highlight w:val="none"/>
        </w:rPr>
      </w:pPr>
      <w:r>
        <w:rPr>
          <w:rFonts w:hint="eastAsia" w:ascii="仿宋_GB2312" w:eastAsia="仿宋_GB2312"/>
          <w:sz w:val="32"/>
          <w:szCs w:val="32"/>
          <w:highlight w:val="none"/>
        </w:rPr>
        <w:t>表一：收入支出决算总表</w:t>
      </w:r>
    </w:p>
    <w:p>
      <w:pPr>
        <w:rPr>
          <w:rFonts w:hint="eastAsia" w:ascii="仿宋_GB2312" w:eastAsia="仿宋_GB2312"/>
          <w:sz w:val="32"/>
          <w:szCs w:val="32"/>
          <w:highlight w:val="none"/>
        </w:rPr>
      </w:pPr>
      <w:r>
        <w:rPr>
          <w:rFonts w:hint="eastAsia" w:ascii="仿宋_GB2312" w:eastAsia="仿宋_GB2312"/>
          <w:sz w:val="32"/>
          <w:szCs w:val="32"/>
          <w:highlight w:val="none"/>
        </w:rPr>
        <w:t>表二：收入决算表</w:t>
      </w:r>
    </w:p>
    <w:p>
      <w:pPr>
        <w:rPr>
          <w:rFonts w:hint="eastAsia" w:ascii="仿宋_GB2312" w:eastAsia="仿宋_GB2312"/>
          <w:sz w:val="32"/>
          <w:szCs w:val="32"/>
          <w:highlight w:val="none"/>
        </w:rPr>
      </w:pPr>
      <w:r>
        <w:rPr>
          <w:rFonts w:hint="eastAsia" w:ascii="仿宋_GB2312" w:eastAsia="仿宋_GB2312"/>
          <w:sz w:val="32"/>
          <w:szCs w:val="32"/>
          <w:highlight w:val="none"/>
        </w:rPr>
        <w:t>表三：支出决算表</w:t>
      </w:r>
    </w:p>
    <w:p>
      <w:pPr>
        <w:rPr>
          <w:rFonts w:hint="eastAsia" w:ascii="仿宋_GB2312" w:eastAsia="仿宋_GB2312"/>
          <w:sz w:val="32"/>
          <w:szCs w:val="32"/>
          <w:highlight w:val="none"/>
        </w:rPr>
      </w:pPr>
      <w:r>
        <w:rPr>
          <w:rFonts w:hint="eastAsia" w:ascii="仿宋_GB2312" w:eastAsia="仿宋_GB2312"/>
          <w:sz w:val="32"/>
          <w:szCs w:val="32"/>
          <w:highlight w:val="none"/>
        </w:rPr>
        <w:t>表四：财政拨款收入支出决算总表</w:t>
      </w:r>
    </w:p>
    <w:p>
      <w:pPr>
        <w:rPr>
          <w:rFonts w:hint="eastAsia" w:ascii="仿宋_GB2312" w:eastAsia="仿宋_GB2312"/>
          <w:sz w:val="32"/>
          <w:szCs w:val="32"/>
          <w:highlight w:val="none"/>
        </w:rPr>
      </w:pPr>
      <w:r>
        <w:rPr>
          <w:rFonts w:hint="eastAsia" w:ascii="仿宋_GB2312" w:eastAsia="仿宋_GB2312"/>
          <w:sz w:val="32"/>
          <w:szCs w:val="32"/>
          <w:highlight w:val="none"/>
        </w:rPr>
        <w:t>表五：一般公共预算财政拨款支出决算表</w:t>
      </w:r>
    </w:p>
    <w:p>
      <w:pPr>
        <w:rPr>
          <w:rFonts w:hint="eastAsia" w:ascii="仿宋_GB2312" w:eastAsia="仿宋_GB2312"/>
          <w:sz w:val="32"/>
          <w:szCs w:val="32"/>
          <w:highlight w:val="none"/>
        </w:rPr>
      </w:pPr>
      <w:r>
        <w:rPr>
          <w:rFonts w:hint="eastAsia" w:ascii="仿宋_GB2312" w:eastAsia="仿宋_GB2312"/>
          <w:sz w:val="32"/>
          <w:szCs w:val="32"/>
          <w:highlight w:val="none"/>
        </w:rPr>
        <w:t>表六：一般公共预算财政拨款基本支出决算明细表</w:t>
      </w:r>
    </w:p>
    <w:p>
      <w:pPr>
        <w:rPr>
          <w:rFonts w:hint="eastAsia" w:ascii="仿宋_GB2312" w:eastAsia="仿宋_GB2312"/>
          <w:sz w:val="32"/>
          <w:szCs w:val="32"/>
          <w:highlight w:val="none"/>
        </w:rPr>
      </w:pPr>
      <w:r>
        <w:rPr>
          <w:rFonts w:hint="eastAsia" w:ascii="仿宋_GB2312" w:eastAsia="仿宋_GB2312"/>
          <w:sz w:val="32"/>
          <w:szCs w:val="32"/>
          <w:highlight w:val="none"/>
        </w:rPr>
        <w:t>表七：政府性基金</w:t>
      </w:r>
      <w:r>
        <w:rPr>
          <w:rFonts w:hint="eastAsia" w:ascii="仿宋_GB2312" w:hAnsi="黑体" w:eastAsia="仿宋_GB2312"/>
          <w:sz w:val="32"/>
          <w:szCs w:val="32"/>
          <w:highlight w:val="none"/>
        </w:rPr>
        <w:t>预算财政拨款</w:t>
      </w:r>
      <w:r>
        <w:rPr>
          <w:rFonts w:hint="eastAsia" w:ascii="仿宋_GB2312" w:eastAsia="仿宋_GB2312"/>
          <w:sz w:val="32"/>
          <w:szCs w:val="32"/>
          <w:highlight w:val="none"/>
        </w:rPr>
        <w:t>收入支出决算表</w:t>
      </w:r>
    </w:p>
    <w:p>
      <w:pPr>
        <w:rPr>
          <w:rFonts w:hint="eastAsia" w:ascii="仿宋_GB2312" w:eastAsia="仿宋_GB2312"/>
          <w:sz w:val="32"/>
          <w:szCs w:val="32"/>
          <w:highlight w:val="none"/>
        </w:rPr>
      </w:pPr>
      <w:r>
        <w:rPr>
          <w:rFonts w:hint="eastAsia" w:ascii="仿宋_GB2312" w:eastAsia="仿宋_GB2312"/>
          <w:sz w:val="32"/>
          <w:szCs w:val="32"/>
          <w:highlight w:val="none"/>
        </w:rPr>
        <w:t>表八：国有资本经营预算</w:t>
      </w:r>
      <w:r>
        <w:rPr>
          <w:rFonts w:hint="eastAsia" w:ascii="仿宋_GB2312" w:hAnsi="黑体" w:eastAsia="仿宋_GB2312"/>
          <w:sz w:val="32"/>
          <w:szCs w:val="32"/>
          <w:highlight w:val="none"/>
        </w:rPr>
        <w:t>财政拨款</w:t>
      </w:r>
      <w:r>
        <w:rPr>
          <w:rFonts w:hint="eastAsia" w:ascii="仿宋_GB2312" w:eastAsia="仿宋_GB2312"/>
          <w:sz w:val="32"/>
          <w:szCs w:val="32"/>
          <w:highlight w:val="none"/>
        </w:rPr>
        <w:t>支出决算表</w:t>
      </w:r>
    </w:p>
    <w:p>
      <w:pPr>
        <w:rPr>
          <w:rFonts w:hint="eastAsia" w:ascii="仿宋_GB2312" w:eastAsia="仿宋_GB2312"/>
          <w:sz w:val="32"/>
          <w:szCs w:val="32"/>
          <w:highlight w:val="none"/>
        </w:rPr>
      </w:pPr>
      <w:r>
        <w:rPr>
          <w:rFonts w:hint="eastAsia" w:ascii="仿宋_GB2312" w:eastAsia="仿宋_GB2312"/>
          <w:sz w:val="32"/>
          <w:szCs w:val="32"/>
          <w:highlight w:val="none"/>
        </w:rPr>
        <w:t>表九：财政拨款“三公”经费支出决算表</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第三部分：</w:t>
      </w:r>
      <w:r>
        <w:rPr>
          <w:rFonts w:ascii="黑体" w:hAnsi="黑体" w:eastAsia="黑体" w:cs="黑体"/>
          <w:sz w:val="32"/>
          <w:u w:color="auto"/>
        </w:rPr>
        <w:t>环江毛南族自治县职业技术学校</w:t>
      </w:r>
      <w:r>
        <w:rPr>
          <w:rFonts w:hint="eastAsia" w:ascii="黑体" w:hAnsi="黑体" w:eastAsia="黑体" w:cs="黑体"/>
          <w:sz w:val="32"/>
          <w:szCs w:val="32"/>
          <w:highlight w:val="none"/>
        </w:rPr>
        <w:t>2022年度部门决算情况说明</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一、</w:t>
      </w:r>
      <w:r>
        <w:rPr>
          <w:rFonts w:hint="eastAsia" w:ascii="仿宋_GB2312" w:eastAsia="仿宋_GB2312"/>
          <w:kern w:val="0"/>
          <w:sz w:val="32"/>
          <w:szCs w:val="32"/>
          <w:highlight w:val="none"/>
        </w:rPr>
        <w:t>202</w:t>
      </w:r>
      <w:r>
        <w:rPr>
          <w:rFonts w:hint="eastAsia" w:ascii="仿宋_GB2312" w:eastAsia="仿宋_GB2312"/>
          <w:kern w:val="0"/>
          <w:sz w:val="32"/>
          <w:szCs w:val="32"/>
          <w:highlight w:val="none"/>
          <w:lang w:val="en-US" w:eastAsia="zh-CN"/>
        </w:rPr>
        <w:t>2</w:t>
      </w:r>
      <w:r>
        <w:rPr>
          <w:rFonts w:hint="eastAsia" w:ascii="仿宋_GB2312" w:eastAsia="仿宋_GB2312" w:cs="仿宋_GB2312"/>
          <w:kern w:val="0"/>
          <w:sz w:val="32"/>
          <w:szCs w:val="32"/>
          <w:highlight w:val="none"/>
        </w:rPr>
        <w:t>年度收入支出决算总体情况。</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二、</w:t>
      </w:r>
      <w:r>
        <w:rPr>
          <w:rFonts w:hint="eastAsia" w:ascii="仿宋_GB2312" w:eastAsia="仿宋_GB2312"/>
          <w:kern w:val="0"/>
          <w:sz w:val="32"/>
          <w:szCs w:val="32"/>
          <w:highlight w:val="none"/>
        </w:rPr>
        <w:t>20</w:t>
      </w:r>
      <w:r>
        <w:rPr>
          <w:rFonts w:hint="eastAsia" w:ascii="仿宋_GB2312" w:eastAsia="仿宋_GB2312"/>
          <w:kern w:val="0"/>
          <w:sz w:val="32"/>
          <w:szCs w:val="32"/>
          <w:highlight w:val="none"/>
          <w:lang w:val="en-US" w:eastAsia="zh-CN"/>
        </w:rPr>
        <w:t>22</w:t>
      </w:r>
      <w:r>
        <w:rPr>
          <w:rFonts w:hint="eastAsia" w:ascii="仿宋_GB2312" w:eastAsia="仿宋_GB2312" w:cs="仿宋_GB2312"/>
          <w:kern w:val="0"/>
          <w:sz w:val="32"/>
          <w:szCs w:val="32"/>
          <w:highlight w:val="none"/>
        </w:rPr>
        <w:t>年度</w:t>
      </w:r>
      <w:r>
        <w:rPr>
          <w:rFonts w:hint="eastAsia" w:ascii="仿宋_GB2312" w:eastAsia="仿宋_GB2312"/>
          <w:sz w:val="32"/>
          <w:szCs w:val="32"/>
          <w:highlight w:val="none"/>
        </w:rPr>
        <w:t>一般</w:t>
      </w:r>
      <w:r>
        <w:rPr>
          <w:rFonts w:hint="eastAsia" w:ascii="仿宋_GB2312" w:eastAsia="仿宋_GB2312" w:cs="仿宋_GB2312"/>
          <w:kern w:val="0"/>
          <w:sz w:val="32"/>
          <w:szCs w:val="32"/>
          <w:highlight w:val="none"/>
        </w:rPr>
        <w:t>公共预算财政拨款支出决算情况。</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三、20</w:t>
      </w:r>
      <w:r>
        <w:rPr>
          <w:rFonts w:hint="eastAsia" w:ascii="仿宋_GB2312" w:eastAsia="仿宋_GB2312" w:cs="仿宋_GB2312"/>
          <w:kern w:val="0"/>
          <w:sz w:val="32"/>
          <w:szCs w:val="32"/>
          <w:highlight w:val="none"/>
          <w:lang w:val="en-US" w:eastAsia="zh-CN"/>
        </w:rPr>
        <w:t>22</w:t>
      </w:r>
      <w:r>
        <w:rPr>
          <w:rFonts w:hint="eastAsia" w:ascii="仿宋_GB2312" w:eastAsia="仿宋_GB2312" w:cs="仿宋_GB2312"/>
          <w:kern w:val="0"/>
          <w:sz w:val="32"/>
          <w:szCs w:val="32"/>
          <w:highlight w:val="none"/>
        </w:rPr>
        <w:t>年度一般公共预算财政拨款基本支出决算情况说明。</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四、</w:t>
      </w:r>
      <w:r>
        <w:rPr>
          <w:rFonts w:hint="eastAsia" w:ascii="仿宋_GB2312" w:eastAsia="仿宋_GB2312"/>
          <w:kern w:val="0"/>
          <w:sz w:val="32"/>
          <w:szCs w:val="32"/>
          <w:highlight w:val="none"/>
        </w:rPr>
        <w:t>20</w:t>
      </w:r>
      <w:r>
        <w:rPr>
          <w:rFonts w:hint="eastAsia" w:ascii="仿宋_GB2312" w:eastAsia="仿宋_GB2312"/>
          <w:kern w:val="0"/>
          <w:sz w:val="32"/>
          <w:szCs w:val="32"/>
          <w:highlight w:val="none"/>
          <w:lang w:val="en-US" w:eastAsia="zh-CN"/>
        </w:rPr>
        <w:t>22</w:t>
      </w:r>
      <w:r>
        <w:rPr>
          <w:rFonts w:hint="eastAsia" w:ascii="仿宋_GB2312" w:eastAsia="仿宋_GB2312" w:cs="仿宋_GB2312"/>
          <w:kern w:val="0"/>
          <w:sz w:val="32"/>
          <w:szCs w:val="32"/>
          <w:highlight w:val="none"/>
        </w:rPr>
        <w:t>年度政府性基金支出决算情况。</w:t>
      </w:r>
    </w:p>
    <w:p>
      <w:pPr>
        <w:autoSpaceDE w:val="0"/>
        <w:autoSpaceDN w:val="0"/>
        <w:adjustRightInd w:val="0"/>
        <w:jc w:val="left"/>
        <w:rPr>
          <w:rFonts w:hint="eastAsia" w:ascii="仿宋_GB2312" w:eastAsia="仿宋_GB2312" w:cs="仿宋_GB2312"/>
          <w:kern w:val="0"/>
          <w:sz w:val="32"/>
          <w:szCs w:val="32"/>
          <w:highlight w:val="none"/>
          <w:lang w:eastAsia="zh-CN"/>
        </w:rPr>
      </w:pPr>
      <w:r>
        <w:rPr>
          <w:rFonts w:hint="eastAsia" w:ascii="仿宋_GB2312" w:eastAsia="仿宋_GB2312" w:cs="仿宋_GB2312"/>
          <w:kern w:val="0"/>
          <w:sz w:val="32"/>
          <w:szCs w:val="32"/>
          <w:highlight w:val="none"/>
        </w:rPr>
        <w:t>五、20</w:t>
      </w:r>
      <w:r>
        <w:rPr>
          <w:rFonts w:hint="eastAsia" w:ascii="仿宋_GB2312" w:eastAsia="仿宋_GB2312" w:cs="仿宋_GB2312"/>
          <w:kern w:val="0"/>
          <w:sz w:val="32"/>
          <w:szCs w:val="32"/>
          <w:highlight w:val="none"/>
          <w:lang w:val="en-US" w:eastAsia="zh-CN"/>
        </w:rPr>
        <w:t>22</w:t>
      </w:r>
      <w:r>
        <w:rPr>
          <w:rFonts w:hint="eastAsia" w:ascii="仿宋_GB2312" w:eastAsia="仿宋_GB2312" w:cs="仿宋_GB2312"/>
          <w:kern w:val="0"/>
          <w:sz w:val="32"/>
          <w:szCs w:val="32"/>
          <w:highlight w:val="none"/>
        </w:rPr>
        <w:t>年度国有资本经营预算支出决算情况</w:t>
      </w:r>
      <w:r>
        <w:rPr>
          <w:rFonts w:hint="eastAsia" w:ascii="仿宋_GB2312" w:eastAsia="仿宋_GB2312" w:cs="仿宋_GB2312"/>
          <w:kern w:val="0"/>
          <w:sz w:val="32"/>
          <w:szCs w:val="32"/>
          <w:highlight w:val="none"/>
          <w:lang w:eastAsia="zh-CN"/>
        </w:rPr>
        <w:t>。</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六、财政拨款“三公”经费支出决算情况说明。</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七、其他重要事项情况说明。</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第四部分：名词解释</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br w:type="page"/>
      </w:r>
    </w:p>
    <w:p>
      <w:pPr>
        <w:jc w:val="center"/>
        <w:rPr>
          <w:rFonts w:ascii="仿宋" w:hAnsi="仿宋" w:eastAsia="仿宋" w:cs="仿宋"/>
          <w:sz w:val="32"/>
          <w:szCs w:val="32"/>
          <w:highlight w:val="none"/>
        </w:rPr>
      </w:pPr>
      <w:r>
        <w:rPr>
          <w:rFonts w:hint="eastAsia" w:ascii="黑体" w:hAnsi="黑体" w:eastAsia="黑体" w:cs="黑体"/>
          <w:b/>
          <w:bCs/>
          <w:sz w:val="32"/>
          <w:szCs w:val="32"/>
          <w:highlight w:val="none"/>
        </w:rPr>
        <w:t>第一部分：</w:t>
      </w:r>
      <w:r>
        <w:rPr>
          <w:rFonts w:ascii="黑体" w:hAnsi="黑体" w:eastAsia="黑体" w:cs="黑体"/>
          <w:b/>
          <w:sz w:val="32"/>
          <w:u w:color="auto"/>
        </w:rPr>
        <w:t>环江毛南族自治县职业技术学校</w:t>
      </w:r>
      <w:r>
        <w:rPr>
          <w:rFonts w:hint="eastAsia" w:ascii="黑体" w:hAnsi="黑体" w:eastAsia="黑体" w:cs="黑体"/>
          <w:b/>
          <w:bCs/>
          <w:sz w:val="32"/>
          <w:szCs w:val="32"/>
          <w:highlight w:val="none"/>
        </w:rPr>
        <w:t>概况</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一、主要职能</w:t>
      </w:r>
    </w:p>
    <w:p>
      <w:p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环江毛南族自治县职业技术学校</w:t>
      </w:r>
      <w:r>
        <w:rPr>
          <w:rFonts w:hint="eastAsia" w:ascii="仿宋" w:hAnsi="仿宋" w:eastAsia="仿宋" w:cs="仿宋"/>
          <w:color w:val="000000" w:themeColor="text1"/>
          <w:sz w:val="32"/>
          <w:szCs w:val="32"/>
          <w14:textFill>
            <w14:solidFill>
              <w14:schemeClr w14:val="tx1"/>
            </w14:solidFill>
          </w14:textFill>
        </w:rPr>
        <w:t>的主要职能是：</w:t>
      </w:r>
    </w:p>
    <w:p>
      <w:pPr>
        <w:keepNext w:val="0"/>
        <w:keepLines w:val="0"/>
        <w:pageBreakBefore w:val="0"/>
        <w:numPr>
          <w:ilvl w:val="0"/>
          <w:numId w:val="0"/>
        </w:numPr>
        <w:kinsoku/>
        <w:wordWrap/>
        <w:overflowPunct/>
        <w:topLinePunct w:val="0"/>
        <w:bidi w:val="0"/>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（一）宣传贯彻执行党和国家的教育方针、教育政策、教育法律和法规，贯彻执行上级教育行政部门的各项规章制度。</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（二）在政府和上级教育主管部门的领导下，争取资金改善办学条件，为师生的学习和工作提供优美和谐的环境。</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（三）根据县级人民政府制定的教育事业发展规划，结合本校实际制定并组织实施本校的教育事业发展规划。在政府的领导下，全面</w:t>
      </w:r>
      <w:r>
        <w:rPr>
          <w:rFonts w:hint="eastAsia" w:ascii="仿宋" w:hAnsi="仿宋" w:eastAsia="仿宋" w:cs="仿宋"/>
          <w:sz w:val="32"/>
          <w:szCs w:val="32"/>
          <w:lang w:eastAsia="zh-CN"/>
        </w:rPr>
        <w:t>推进四“</w:t>
      </w:r>
      <w:r>
        <w:rPr>
          <w:rFonts w:hint="eastAsia" w:ascii="仿宋" w:hAnsi="仿宋" w:eastAsia="仿宋" w:cs="仿宋"/>
          <w:sz w:val="32"/>
          <w:szCs w:val="32"/>
          <w:lang w:val="en-US" w:eastAsia="zh-CN"/>
        </w:rPr>
        <w:t>5</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20导学案</w:t>
      </w:r>
      <w:r>
        <w:rPr>
          <w:rFonts w:hint="eastAsia" w:ascii="仿宋" w:hAnsi="仿宋" w:eastAsia="仿宋" w:cs="仿宋"/>
          <w:sz w:val="32"/>
          <w:szCs w:val="32"/>
          <w:lang w:eastAsia="zh-CN"/>
        </w:rPr>
        <w:t>和促进教育公平</w:t>
      </w:r>
      <w:r>
        <w:rPr>
          <w:rFonts w:hint="eastAsia" w:ascii="仿宋" w:hAnsi="仿宋" w:eastAsia="仿宋" w:cs="仿宋"/>
          <w:sz w:val="32"/>
          <w:szCs w:val="32"/>
          <w:lang w:val="en-US" w:eastAsia="zh-CN"/>
        </w:rPr>
        <w:t>。</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（四）按照干部和教师的职数、编制和管理权限，负责对本校的干部和教师进行管理，制定切实可行的学校工作规章制度，以提高教育教学质量为目的，对干部职工的工作开展客观公正的评价和考核。</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（五）按照上级有关部们的规定负责对本校的财务和项目建设进行管理，负责核算和发放教职工工资。</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（六）按照教育课程计划，开齐课程，开足课时，认真实施中小学的教育教学管理，全面推进素质教育，全面提高教育教学质量。</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（七）组织开展本校的教育教学科研和教育教学改革，以科学的发展观和以人为本的管理理念注重学生的全面发展。</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（八）负责指导全校学生资助管理工作。</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（九）负责语言文字和指导推广普通话工作。</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（十）学校开展高中教育教学为基本职能，培养合格的高中毕业生及向高校输送优秀人才，为学生的终身发展奠定基础。</w:t>
      </w:r>
    </w:p>
    <w:p>
      <w:pPr>
        <w:ind w:firstLine="640" w:firstLineChars="200"/>
        <w:jc w:val="left"/>
        <w:rPr>
          <w:rFonts w:hint="default" w:ascii="Times New Roman" w:hAnsi="Times New Roman" w:eastAsia="仿宋_GB2312" w:cs="Times New Roman"/>
          <w:sz w:val="32"/>
          <w:szCs w:val="32"/>
        </w:rPr>
      </w:pPr>
      <w:r>
        <w:rPr>
          <w:rFonts w:hint="eastAsia" w:ascii="仿宋" w:hAnsi="仿宋" w:eastAsia="仿宋" w:cs="仿宋"/>
          <w:sz w:val="32"/>
          <w:szCs w:val="32"/>
          <w:lang w:eastAsia="zh-CN"/>
        </w:rPr>
        <w:t>（十一）完成自治县人民政府及上级教育部门交办的其他工作。</w:t>
      </w:r>
      <w:r>
        <w:rPr>
          <w:rFonts w:hint="default" w:ascii="Times New Roman" w:hAnsi="Times New Roman" w:eastAsia="仿宋_GB2312" w:cs="Times New Roman"/>
          <w:sz w:val="32"/>
          <w:szCs w:val="32"/>
        </w:rPr>
        <w:t xml:space="preserve">　 </w:t>
      </w:r>
    </w:p>
    <w:p>
      <w:pPr>
        <w:ind w:firstLine="640" w:firstLineChars="200"/>
        <w:jc w:val="left"/>
        <w:rPr>
          <w:rFonts w:hint="eastAsia" w:ascii="仿宋" w:hAnsi="仿宋" w:eastAsia="仿宋" w:cs="仿宋"/>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sz w:val="32"/>
          <w:szCs w:val="32"/>
        </w:rPr>
        <w:t>（十</w:t>
      </w:r>
      <w:r>
        <w:rPr>
          <w:rFonts w:hint="eastAsia" w:ascii="Times New Roman" w:hAnsi="Times New Roman" w:eastAsia="仿宋_GB2312" w:cs="Times New Roman"/>
          <w:sz w:val="32"/>
          <w:szCs w:val="32"/>
          <w:lang w:eastAsia="zh-CN"/>
        </w:rPr>
        <w:t>二</w:t>
      </w:r>
      <w:r>
        <w:rPr>
          <w:rFonts w:hint="default" w:ascii="Times New Roman" w:hAnsi="Times New Roman" w:eastAsia="仿宋_GB2312" w:cs="Times New Roman"/>
          <w:sz w:val="32"/>
          <w:szCs w:val="32"/>
        </w:rPr>
        <w:t>）承办自治区人民政府交办的其他事项。 </w:t>
      </w:r>
    </w:p>
    <w:p>
      <w:pPr>
        <w:jc w:val="left"/>
        <w:rPr>
          <w:rFonts w:hint="eastAsia" w:ascii="黑体" w:hAnsi="黑体" w:eastAsia="黑体" w:cs="黑体"/>
          <w:sz w:val="32"/>
          <w:szCs w:val="32"/>
          <w:highlight w:val="none"/>
        </w:rPr>
      </w:pPr>
      <w:r>
        <w:rPr>
          <w:rFonts w:hint="eastAsia" w:ascii="黑体" w:hAnsi="黑体" w:eastAsia="黑体" w:cs="黑体"/>
          <w:sz w:val="32"/>
          <w:szCs w:val="32"/>
          <w:highlight w:val="none"/>
        </w:rPr>
        <w:t>二、部门决算单位构成</w:t>
      </w:r>
    </w:p>
    <w:p>
      <w:pPr>
        <w:keepNext w:val="0"/>
        <w:keepLines w:val="0"/>
        <w:pageBreakBefore w:val="0"/>
        <w:kinsoku/>
        <w:wordWrap/>
        <w:overflowPunct/>
        <w:topLinePunct w:val="0"/>
        <w:bidi w:val="0"/>
        <w:snapToGrid/>
        <w:spacing w:line="560" w:lineRule="exact"/>
        <w:ind w:firstLine="645"/>
        <w:textAlignment w:val="auto"/>
        <w:rPr>
          <w:rFonts w:hint="eastAsia" w:ascii="黑体" w:hAnsi="黑体" w:eastAsia="黑体" w:cs="黑体"/>
          <w:sz w:val="32"/>
          <w:szCs w:val="32"/>
          <w:highlight w:val="none"/>
          <w:lang w:val="en-US" w:eastAsia="zh-CN"/>
        </w:rPr>
        <w:sectPr>
          <w:pgSz w:w="11906" w:h="16838"/>
          <w:pgMar w:top="1440" w:right="1800" w:bottom="1440" w:left="1800" w:header="851" w:footer="992" w:gutter="0"/>
          <w:cols w:space="425" w:num="1"/>
          <w:docGrid w:type="lines" w:linePitch="312" w:charSpace="0"/>
        </w:sectPr>
      </w:pPr>
      <w:r>
        <w:rPr>
          <w:rFonts w:hint="eastAsia" w:ascii="Times New Roman" w:hAnsi="Times New Roman" w:eastAsia="仿宋_GB2312" w:cs="Times New Roman"/>
          <w:sz w:val="32"/>
          <w:szCs w:val="32"/>
          <w:lang w:eastAsia="zh-CN"/>
        </w:rPr>
        <w:t>本单位</w:t>
      </w:r>
      <w:r>
        <w:rPr>
          <w:rFonts w:hint="default" w:ascii="Times New Roman" w:hAnsi="Times New Roman" w:eastAsia="仿宋_GB2312" w:cs="Times New Roman"/>
          <w:sz w:val="32"/>
          <w:szCs w:val="32"/>
        </w:rPr>
        <w:t>是</w:t>
      </w:r>
      <w:r>
        <w:rPr>
          <w:rFonts w:hint="eastAsia" w:ascii="Times New Roman" w:hAnsi="Times New Roman" w:eastAsia="仿宋_GB2312" w:cs="Times New Roman"/>
          <w:sz w:val="32"/>
          <w:szCs w:val="32"/>
          <w:lang w:eastAsia="zh-CN"/>
        </w:rPr>
        <w:t>全额拨款事业单位，</w:t>
      </w:r>
      <w:r>
        <w:rPr>
          <w:rFonts w:hint="eastAsia" w:ascii="仿宋" w:hAnsi="仿宋" w:eastAsia="仿宋" w:cs="仿宋"/>
          <w:sz w:val="32"/>
          <w:szCs w:val="32"/>
          <w:lang w:eastAsia="zh-CN"/>
        </w:rPr>
        <w:t>本单位有十五个处室，分别为：党政办、行政办、政教处、教务处、教研处、宣传办、信息办、总务处、资助办、安全办、心理辅导站、财务室、工会、团委、社团。我单位没有下属单位，按照部门决算编报要求，单独编制本部门决算。</w:t>
      </w:r>
    </w:p>
    <w:p>
      <w:pPr>
        <w:ind w:firstLine="2560" w:firstLineChars="800"/>
        <w:jc w:val="both"/>
        <w:rPr>
          <w:rFonts w:hint="eastAsia" w:ascii="黑体" w:hAnsi="黑体" w:eastAsia="黑体" w:cs="黑体"/>
          <w:sz w:val="32"/>
          <w:szCs w:val="32"/>
          <w:highlight w:val="none"/>
        </w:rPr>
      </w:pPr>
      <w:r>
        <w:rPr>
          <w:rFonts w:hint="eastAsia" w:ascii="黑体" w:hAnsi="黑体" w:eastAsia="黑体" w:cs="黑体"/>
          <w:sz w:val="32"/>
          <w:szCs w:val="32"/>
          <w:highlight w:val="none"/>
        </w:rPr>
        <w:t>第二部分：</w:t>
      </w:r>
      <w:r>
        <w:rPr>
          <w:rFonts w:ascii="黑体" w:hAnsi="黑体" w:eastAsia="黑体" w:cs="黑体"/>
          <w:sz w:val="32"/>
          <w:u w:color="auto"/>
        </w:rPr>
        <w:t>环江毛南族自治县职业技术学校</w:t>
      </w:r>
      <w:r>
        <w:rPr>
          <w:rFonts w:hint="eastAsia" w:ascii="黑体" w:hAnsi="黑体" w:eastAsia="黑体" w:cs="黑体"/>
          <w:sz w:val="32"/>
          <w:szCs w:val="32"/>
          <w:highlight w:val="none"/>
        </w:rPr>
        <w:t>2022年度部门决算报表</w:t>
      </w:r>
    </w:p>
    <w:p>
      <w:pPr>
        <w:keepNext w:val="0"/>
        <w:keepLines w:val="0"/>
        <w:pageBreakBefore w:val="0"/>
        <w:kinsoku/>
        <w:wordWrap/>
        <w:overflowPunct/>
        <w:topLinePunct w:val="0"/>
        <w:bidi w:val="0"/>
        <w:snapToGrid/>
        <w:spacing w:line="560" w:lineRule="exact"/>
        <w:textAlignment w:val="auto"/>
        <w:rPr>
          <w:rFonts w:hint="eastAsia" w:ascii="黑体" w:hAnsi="黑体" w:eastAsia="黑体" w:cs="黑体"/>
          <w:sz w:val="32"/>
          <w:szCs w:val="32"/>
          <w:highlight w:val="none"/>
        </w:rPr>
      </w:pPr>
      <w:r>
        <w:rPr>
          <w:rFonts w:hint="default" w:ascii="Times New Roman" w:hAnsi="Times New Roman" w:eastAsia="仿宋_GB2312" w:cs="Times New Roman"/>
          <w:sz w:val="32"/>
          <w:szCs w:val="32"/>
        </w:rPr>
        <w:t>表一：</w:t>
      </w:r>
      <w:r>
        <w:rPr>
          <w:rFonts w:hint="eastAsia" w:ascii="Times New Roman" w:hAnsi="Times New Roman" w:eastAsia="仿宋_GB2312" w:cs="Times New Roman"/>
          <w:sz w:val="32"/>
          <w:szCs w:val="32"/>
          <w:lang w:val="en-US" w:eastAsia="zh-CN"/>
        </w:rPr>
        <w:t>Z01 收入支出决算总表(公开01表)</w:t>
      </w:r>
    </w:p>
    <w:tbl>
      <w:tblPr>
        <w:tblStyle w:val="6"/>
        <w:tblW w:w="5000" w:type="pct"/>
        <w:tblInd w:w="0" w:type="dxa"/>
        <w:tblLayout w:type="autofit"/>
        <w:tblCellMar>
          <w:top w:w="0" w:type="dxa"/>
          <w:left w:w="108" w:type="dxa"/>
          <w:bottom w:w="0" w:type="dxa"/>
          <w:right w:w="108" w:type="dxa"/>
        </w:tblCellMar>
      </w:tblPr>
      <w:tblGrid>
        <w:gridCol w:w="3576"/>
        <w:gridCol w:w="1940"/>
        <w:gridCol w:w="1780"/>
        <w:gridCol w:w="3516"/>
        <w:gridCol w:w="1746"/>
        <w:gridCol w:w="1616"/>
      </w:tblGrid>
      <w:tr>
        <w:tblPrEx>
          <w:tblCellMar>
            <w:top w:w="0" w:type="dxa"/>
            <w:left w:w="108" w:type="dxa"/>
            <w:bottom w:w="0" w:type="dxa"/>
            <w:right w:w="108" w:type="dxa"/>
          </w:tblCellMar>
        </w:tblPrEx>
        <w:trPr>
          <w:trHeight w:val="761" w:hRule="atLeast"/>
        </w:trPr>
        <w:tc>
          <w:tcPr>
            <w:tcW w:w="5000" w:type="pct"/>
            <w:gridSpan w:val="6"/>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收入支出决算总表</w:t>
            </w:r>
          </w:p>
        </w:tc>
      </w:tr>
      <w:tr>
        <w:tblPrEx>
          <w:tblCellMar>
            <w:top w:w="0" w:type="dxa"/>
            <w:left w:w="108" w:type="dxa"/>
            <w:bottom w:w="0" w:type="dxa"/>
            <w:right w:w="108" w:type="dxa"/>
          </w:tblCellMar>
        </w:tblPrEx>
        <w:trPr>
          <w:trHeight w:val="301" w:hRule="atLeast"/>
        </w:trPr>
        <w:tc>
          <w:tcPr>
            <w:tcW w:w="911"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858"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800"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957"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789"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683" w:type="pct"/>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公开01表</w:t>
            </w:r>
          </w:p>
        </w:tc>
      </w:tr>
      <w:tr>
        <w:tblPrEx>
          <w:tblCellMar>
            <w:top w:w="0" w:type="dxa"/>
            <w:left w:w="108" w:type="dxa"/>
            <w:bottom w:w="0" w:type="dxa"/>
            <w:right w:w="108" w:type="dxa"/>
          </w:tblCellMar>
        </w:tblPrEx>
        <w:trPr>
          <w:trHeight w:val="301" w:hRule="atLeast"/>
        </w:trPr>
        <w:tc>
          <w:tcPr>
            <w:tcW w:w="2570" w:type="pct"/>
            <w:gridSpan w:val="3"/>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环江毛南族自治县职业技术学校</w:t>
            </w:r>
          </w:p>
        </w:tc>
        <w:tc>
          <w:tcPr>
            <w:tcW w:w="957" w:type="pct"/>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789" w:type="pct"/>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683" w:type="pct"/>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15" w:hRule="atLeast"/>
        </w:trPr>
        <w:tc>
          <w:tcPr>
            <w:tcW w:w="2570"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收入</w:t>
            </w:r>
          </w:p>
        </w:tc>
        <w:tc>
          <w:tcPr>
            <w:tcW w:w="2429"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支出</w:t>
            </w:r>
          </w:p>
        </w:tc>
      </w:tr>
      <w:tr>
        <w:tblPrEx>
          <w:tblCellMar>
            <w:top w:w="0" w:type="dxa"/>
            <w:left w:w="108" w:type="dxa"/>
            <w:bottom w:w="0" w:type="dxa"/>
            <w:right w:w="108" w:type="dxa"/>
          </w:tblCellMar>
        </w:tblPrEx>
        <w:trPr>
          <w:trHeight w:val="315" w:hRule="atLeast"/>
        </w:trPr>
        <w:tc>
          <w:tcPr>
            <w:tcW w:w="91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85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行次</w:t>
            </w:r>
          </w:p>
        </w:tc>
        <w:tc>
          <w:tcPr>
            <w:tcW w:w="8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金额</w:t>
            </w:r>
          </w:p>
        </w:tc>
        <w:tc>
          <w:tcPr>
            <w:tcW w:w="95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78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行次</w:t>
            </w:r>
          </w:p>
        </w:tc>
        <w:tc>
          <w:tcPr>
            <w:tcW w:w="68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金额</w:t>
            </w:r>
          </w:p>
        </w:tc>
      </w:tr>
      <w:tr>
        <w:tblPrEx>
          <w:tblCellMar>
            <w:top w:w="0" w:type="dxa"/>
            <w:left w:w="108" w:type="dxa"/>
            <w:bottom w:w="0" w:type="dxa"/>
            <w:right w:w="108" w:type="dxa"/>
          </w:tblCellMar>
        </w:tblPrEx>
        <w:trPr>
          <w:trHeight w:val="315" w:hRule="atLeast"/>
        </w:trPr>
        <w:tc>
          <w:tcPr>
            <w:tcW w:w="91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85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8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95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78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68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r>
      <w:tr>
        <w:tblPrEx>
          <w:tblCellMar>
            <w:top w:w="0" w:type="dxa"/>
            <w:left w:w="108" w:type="dxa"/>
            <w:bottom w:w="0" w:type="dxa"/>
            <w:right w:w="108" w:type="dxa"/>
          </w:tblCellMar>
        </w:tblPrEx>
        <w:trPr>
          <w:trHeight w:val="334" w:hRule="atLeast"/>
        </w:trPr>
        <w:tc>
          <w:tcPr>
            <w:tcW w:w="91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一、一般公共预算财政拨款收入</w:t>
            </w:r>
          </w:p>
        </w:tc>
        <w:tc>
          <w:tcPr>
            <w:tcW w:w="85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w:t>
            </w:r>
          </w:p>
        </w:tc>
        <w:tc>
          <w:tcPr>
            <w:tcW w:w="8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3511.22</w:t>
            </w:r>
          </w:p>
        </w:tc>
        <w:tc>
          <w:tcPr>
            <w:tcW w:w="95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一、一般公共服务支出</w:t>
            </w:r>
          </w:p>
        </w:tc>
        <w:tc>
          <w:tcPr>
            <w:tcW w:w="78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32</w:t>
            </w:r>
          </w:p>
        </w:tc>
        <w:tc>
          <w:tcPr>
            <w:tcW w:w="68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32.81</w:t>
            </w:r>
          </w:p>
        </w:tc>
      </w:tr>
      <w:tr>
        <w:tblPrEx>
          <w:tblCellMar>
            <w:top w:w="0" w:type="dxa"/>
            <w:left w:w="108" w:type="dxa"/>
            <w:bottom w:w="0" w:type="dxa"/>
            <w:right w:w="108" w:type="dxa"/>
          </w:tblCellMar>
        </w:tblPrEx>
        <w:trPr>
          <w:trHeight w:val="334" w:hRule="atLeast"/>
        </w:trPr>
        <w:tc>
          <w:tcPr>
            <w:tcW w:w="91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二、政府性基金预算财政拨款收入</w:t>
            </w:r>
          </w:p>
        </w:tc>
        <w:tc>
          <w:tcPr>
            <w:tcW w:w="85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w:t>
            </w:r>
          </w:p>
        </w:tc>
        <w:tc>
          <w:tcPr>
            <w:tcW w:w="8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95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二、外交支出</w:t>
            </w:r>
          </w:p>
        </w:tc>
        <w:tc>
          <w:tcPr>
            <w:tcW w:w="78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33</w:t>
            </w:r>
          </w:p>
        </w:tc>
        <w:tc>
          <w:tcPr>
            <w:tcW w:w="68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91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三、国有资本经营预算财政拨款收入</w:t>
            </w:r>
          </w:p>
        </w:tc>
        <w:tc>
          <w:tcPr>
            <w:tcW w:w="85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3</w:t>
            </w:r>
          </w:p>
        </w:tc>
        <w:tc>
          <w:tcPr>
            <w:tcW w:w="8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95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三、国防支出</w:t>
            </w:r>
          </w:p>
        </w:tc>
        <w:tc>
          <w:tcPr>
            <w:tcW w:w="78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34</w:t>
            </w:r>
          </w:p>
        </w:tc>
        <w:tc>
          <w:tcPr>
            <w:tcW w:w="68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91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四、上级补助收入</w:t>
            </w:r>
          </w:p>
        </w:tc>
        <w:tc>
          <w:tcPr>
            <w:tcW w:w="85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4</w:t>
            </w:r>
          </w:p>
        </w:tc>
        <w:tc>
          <w:tcPr>
            <w:tcW w:w="8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95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四、公共安全支出</w:t>
            </w:r>
          </w:p>
        </w:tc>
        <w:tc>
          <w:tcPr>
            <w:tcW w:w="78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35</w:t>
            </w:r>
          </w:p>
        </w:tc>
        <w:tc>
          <w:tcPr>
            <w:tcW w:w="68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91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五、事业收入</w:t>
            </w:r>
          </w:p>
        </w:tc>
        <w:tc>
          <w:tcPr>
            <w:tcW w:w="85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5</w:t>
            </w:r>
          </w:p>
        </w:tc>
        <w:tc>
          <w:tcPr>
            <w:tcW w:w="8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71.50</w:t>
            </w:r>
          </w:p>
        </w:tc>
        <w:tc>
          <w:tcPr>
            <w:tcW w:w="95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五、教育支出</w:t>
            </w:r>
          </w:p>
        </w:tc>
        <w:tc>
          <w:tcPr>
            <w:tcW w:w="78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36</w:t>
            </w:r>
          </w:p>
        </w:tc>
        <w:tc>
          <w:tcPr>
            <w:tcW w:w="68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2740.26</w:t>
            </w:r>
          </w:p>
        </w:tc>
      </w:tr>
      <w:tr>
        <w:tblPrEx>
          <w:tblCellMar>
            <w:top w:w="0" w:type="dxa"/>
            <w:left w:w="108" w:type="dxa"/>
            <w:bottom w:w="0" w:type="dxa"/>
            <w:right w:w="108" w:type="dxa"/>
          </w:tblCellMar>
        </w:tblPrEx>
        <w:trPr>
          <w:trHeight w:val="334" w:hRule="atLeast"/>
        </w:trPr>
        <w:tc>
          <w:tcPr>
            <w:tcW w:w="91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六、经营收入</w:t>
            </w:r>
          </w:p>
        </w:tc>
        <w:tc>
          <w:tcPr>
            <w:tcW w:w="85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6</w:t>
            </w:r>
          </w:p>
        </w:tc>
        <w:tc>
          <w:tcPr>
            <w:tcW w:w="8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95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六、科学技术支出</w:t>
            </w:r>
          </w:p>
        </w:tc>
        <w:tc>
          <w:tcPr>
            <w:tcW w:w="78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37</w:t>
            </w:r>
          </w:p>
        </w:tc>
        <w:tc>
          <w:tcPr>
            <w:tcW w:w="68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91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七、附属单位上缴收入</w:t>
            </w:r>
          </w:p>
        </w:tc>
        <w:tc>
          <w:tcPr>
            <w:tcW w:w="85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7</w:t>
            </w:r>
          </w:p>
        </w:tc>
        <w:tc>
          <w:tcPr>
            <w:tcW w:w="8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95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七、文化旅游体育与传媒支出</w:t>
            </w:r>
          </w:p>
        </w:tc>
        <w:tc>
          <w:tcPr>
            <w:tcW w:w="78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38</w:t>
            </w:r>
          </w:p>
        </w:tc>
        <w:tc>
          <w:tcPr>
            <w:tcW w:w="68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91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八、其他收入</w:t>
            </w:r>
          </w:p>
        </w:tc>
        <w:tc>
          <w:tcPr>
            <w:tcW w:w="85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8</w:t>
            </w:r>
          </w:p>
        </w:tc>
        <w:tc>
          <w:tcPr>
            <w:tcW w:w="8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95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八、社会保障和就业支出</w:t>
            </w:r>
          </w:p>
        </w:tc>
        <w:tc>
          <w:tcPr>
            <w:tcW w:w="78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39</w:t>
            </w:r>
          </w:p>
        </w:tc>
        <w:tc>
          <w:tcPr>
            <w:tcW w:w="68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241.55</w:t>
            </w:r>
          </w:p>
        </w:tc>
      </w:tr>
      <w:tr>
        <w:tblPrEx>
          <w:tblCellMar>
            <w:top w:w="0" w:type="dxa"/>
            <w:left w:w="108" w:type="dxa"/>
            <w:bottom w:w="0" w:type="dxa"/>
            <w:right w:w="108" w:type="dxa"/>
          </w:tblCellMar>
        </w:tblPrEx>
        <w:trPr>
          <w:trHeight w:val="334" w:hRule="atLeast"/>
        </w:trPr>
        <w:tc>
          <w:tcPr>
            <w:tcW w:w="91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85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9</w:t>
            </w:r>
          </w:p>
        </w:tc>
        <w:tc>
          <w:tcPr>
            <w:tcW w:w="8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95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九、卫生健康支出</w:t>
            </w:r>
          </w:p>
        </w:tc>
        <w:tc>
          <w:tcPr>
            <w:tcW w:w="78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40</w:t>
            </w:r>
          </w:p>
        </w:tc>
        <w:tc>
          <w:tcPr>
            <w:tcW w:w="68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91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85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10</w:t>
            </w:r>
          </w:p>
        </w:tc>
        <w:tc>
          <w:tcPr>
            <w:tcW w:w="8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95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十、节能环保支出</w:t>
            </w:r>
          </w:p>
        </w:tc>
        <w:tc>
          <w:tcPr>
            <w:tcW w:w="78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41</w:t>
            </w:r>
          </w:p>
        </w:tc>
        <w:tc>
          <w:tcPr>
            <w:tcW w:w="68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91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85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11</w:t>
            </w:r>
          </w:p>
        </w:tc>
        <w:tc>
          <w:tcPr>
            <w:tcW w:w="8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95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十一、城乡社区支出</w:t>
            </w:r>
          </w:p>
        </w:tc>
        <w:tc>
          <w:tcPr>
            <w:tcW w:w="78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42</w:t>
            </w:r>
          </w:p>
        </w:tc>
        <w:tc>
          <w:tcPr>
            <w:tcW w:w="68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91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85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12</w:t>
            </w:r>
          </w:p>
        </w:tc>
        <w:tc>
          <w:tcPr>
            <w:tcW w:w="8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95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十二、农林水支出</w:t>
            </w:r>
          </w:p>
        </w:tc>
        <w:tc>
          <w:tcPr>
            <w:tcW w:w="78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43</w:t>
            </w:r>
          </w:p>
        </w:tc>
        <w:tc>
          <w:tcPr>
            <w:tcW w:w="68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91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85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13</w:t>
            </w:r>
          </w:p>
        </w:tc>
        <w:tc>
          <w:tcPr>
            <w:tcW w:w="8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95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十三、交通运输支出</w:t>
            </w:r>
          </w:p>
        </w:tc>
        <w:tc>
          <w:tcPr>
            <w:tcW w:w="78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44</w:t>
            </w:r>
          </w:p>
        </w:tc>
        <w:tc>
          <w:tcPr>
            <w:tcW w:w="68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91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85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14</w:t>
            </w:r>
          </w:p>
        </w:tc>
        <w:tc>
          <w:tcPr>
            <w:tcW w:w="8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95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十四、资源勘探工业信息等支出</w:t>
            </w:r>
          </w:p>
        </w:tc>
        <w:tc>
          <w:tcPr>
            <w:tcW w:w="78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45</w:t>
            </w:r>
          </w:p>
        </w:tc>
        <w:tc>
          <w:tcPr>
            <w:tcW w:w="68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91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85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15</w:t>
            </w:r>
          </w:p>
        </w:tc>
        <w:tc>
          <w:tcPr>
            <w:tcW w:w="8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95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十五、商业服务业等支出</w:t>
            </w:r>
          </w:p>
        </w:tc>
        <w:tc>
          <w:tcPr>
            <w:tcW w:w="78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46</w:t>
            </w:r>
          </w:p>
        </w:tc>
        <w:tc>
          <w:tcPr>
            <w:tcW w:w="68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91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85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16</w:t>
            </w:r>
          </w:p>
        </w:tc>
        <w:tc>
          <w:tcPr>
            <w:tcW w:w="8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95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十六、金融支出</w:t>
            </w:r>
          </w:p>
        </w:tc>
        <w:tc>
          <w:tcPr>
            <w:tcW w:w="78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47</w:t>
            </w:r>
          </w:p>
        </w:tc>
        <w:tc>
          <w:tcPr>
            <w:tcW w:w="68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91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85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17</w:t>
            </w:r>
          </w:p>
        </w:tc>
        <w:tc>
          <w:tcPr>
            <w:tcW w:w="8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95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十七、援助其他地区支出</w:t>
            </w:r>
          </w:p>
        </w:tc>
        <w:tc>
          <w:tcPr>
            <w:tcW w:w="78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48</w:t>
            </w:r>
          </w:p>
        </w:tc>
        <w:tc>
          <w:tcPr>
            <w:tcW w:w="68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91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85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18</w:t>
            </w:r>
          </w:p>
        </w:tc>
        <w:tc>
          <w:tcPr>
            <w:tcW w:w="8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95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十八、自然资源海洋气象等支出</w:t>
            </w:r>
          </w:p>
        </w:tc>
        <w:tc>
          <w:tcPr>
            <w:tcW w:w="78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49</w:t>
            </w:r>
          </w:p>
        </w:tc>
        <w:tc>
          <w:tcPr>
            <w:tcW w:w="68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91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85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19</w:t>
            </w:r>
          </w:p>
        </w:tc>
        <w:tc>
          <w:tcPr>
            <w:tcW w:w="8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95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十九、住房保障支出</w:t>
            </w:r>
          </w:p>
        </w:tc>
        <w:tc>
          <w:tcPr>
            <w:tcW w:w="78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50</w:t>
            </w:r>
          </w:p>
        </w:tc>
        <w:tc>
          <w:tcPr>
            <w:tcW w:w="68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179.89</w:t>
            </w:r>
          </w:p>
        </w:tc>
      </w:tr>
      <w:tr>
        <w:tblPrEx>
          <w:tblCellMar>
            <w:top w:w="0" w:type="dxa"/>
            <w:left w:w="108" w:type="dxa"/>
            <w:bottom w:w="0" w:type="dxa"/>
            <w:right w:w="108" w:type="dxa"/>
          </w:tblCellMar>
        </w:tblPrEx>
        <w:trPr>
          <w:trHeight w:val="334" w:hRule="atLeast"/>
        </w:trPr>
        <w:tc>
          <w:tcPr>
            <w:tcW w:w="91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85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20</w:t>
            </w:r>
          </w:p>
        </w:tc>
        <w:tc>
          <w:tcPr>
            <w:tcW w:w="8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95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二十、粮油物资储备支出</w:t>
            </w:r>
          </w:p>
        </w:tc>
        <w:tc>
          <w:tcPr>
            <w:tcW w:w="78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51</w:t>
            </w:r>
          </w:p>
        </w:tc>
        <w:tc>
          <w:tcPr>
            <w:tcW w:w="68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91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85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21</w:t>
            </w:r>
          </w:p>
        </w:tc>
        <w:tc>
          <w:tcPr>
            <w:tcW w:w="8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95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二十一、国有资本经营预算支出</w:t>
            </w:r>
          </w:p>
        </w:tc>
        <w:tc>
          <w:tcPr>
            <w:tcW w:w="78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52</w:t>
            </w:r>
          </w:p>
        </w:tc>
        <w:tc>
          <w:tcPr>
            <w:tcW w:w="68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91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85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22</w:t>
            </w:r>
          </w:p>
        </w:tc>
        <w:tc>
          <w:tcPr>
            <w:tcW w:w="8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95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二十二、灾害防治及应急管理支出</w:t>
            </w:r>
          </w:p>
        </w:tc>
        <w:tc>
          <w:tcPr>
            <w:tcW w:w="78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53</w:t>
            </w:r>
          </w:p>
        </w:tc>
        <w:tc>
          <w:tcPr>
            <w:tcW w:w="68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91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85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23</w:t>
            </w:r>
          </w:p>
        </w:tc>
        <w:tc>
          <w:tcPr>
            <w:tcW w:w="8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95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二十三、其他支出</w:t>
            </w:r>
          </w:p>
        </w:tc>
        <w:tc>
          <w:tcPr>
            <w:tcW w:w="78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54</w:t>
            </w:r>
          </w:p>
        </w:tc>
        <w:tc>
          <w:tcPr>
            <w:tcW w:w="68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388.21</w:t>
            </w:r>
          </w:p>
        </w:tc>
      </w:tr>
      <w:tr>
        <w:tblPrEx>
          <w:tblCellMar>
            <w:top w:w="0" w:type="dxa"/>
            <w:left w:w="108" w:type="dxa"/>
            <w:bottom w:w="0" w:type="dxa"/>
            <w:right w:w="108" w:type="dxa"/>
          </w:tblCellMar>
        </w:tblPrEx>
        <w:trPr>
          <w:trHeight w:val="334" w:hRule="atLeast"/>
        </w:trPr>
        <w:tc>
          <w:tcPr>
            <w:tcW w:w="91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85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24</w:t>
            </w:r>
          </w:p>
        </w:tc>
        <w:tc>
          <w:tcPr>
            <w:tcW w:w="8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95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二十四、债务还本支出</w:t>
            </w:r>
          </w:p>
        </w:tc>
        <w:tc>
          <w:tcPr>
            <w:tcW w:w="78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55</w:t>
            </w:r>
          </w:p>
        </w:tc>
        <w:tc>
          <w:tcPr>
            <w:tcW w:w="68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91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85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25</w:t>
            </w:r>
          </w:p>
        </w:tc>
        <w:tc>
          <w:tcPr>
            <w:tcW w:w="8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95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二十五、债务付息支出</w:t>
            </w:r>
          </w:p>
        </w:tc>
        <w:tc>
          <w:tcPr>
            <w:tcW w:w="78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56</w:t>
            </w:r>
          </w:p>
        </w:tc>
        <w:tc>
          <w:tcPr>
            <w:tcW w:w="68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91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85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26</w:t>
            </w:r>
          </w:p>
        </w:tc>
        <w:tc>
          <w:tcPr>
            <w:tcW w:w="8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95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二十六、抗疫特别国债安排的支出</w:t>
            </w:r>
          </w:p>
        </w:tc>
        <w:tc>
          <w:tcPr>
            <w:tcW w:w="78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57</w:t>
            </w:r>
          </w:p>
        </w:tc>
        <w:tc>
          <w:tcPr>
            <w:tcW w:w="68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91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本年收入合计</w:t>
            </w:r>
          </w:p>
        </w:tc>
        <w:tc>
          <w:tcPr>
            <w:tcW w:w="85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27</w:t>
            </w:r>
          </w:p>
        </w:tc>
        <w:tc>
          <w:tcPr>
            <w:tcW w:w="8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3582.72</w:t>
            </w:r>
          </w:p>
        </w:tc>
        <w:tc>
          <w:tcPr>
            <w:tcW w:w="95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本年支出合计</w:t>
            </w:r>
          </w:p>
        </w:tc>
        <w:tc>
          <w:tcPr>
            <w:tcW w:w="78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58</w:t>
            </w:r>
          </w:p>
        </w:tc>
        <w:tc>
          <w:tcPr>
            <w:tcW w:w="68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3582.72</w:t>
            </w:r>
          </w:p>
        </w:tc>
      </w:tr>
      <w:tr>
        <w:tblPrEx>
          <w:tblCellMar>
            <w:top w:w="0" w:type="dxa"/>
            <w:left w:w="108" w:type="dxa"/>
            <w:bottom w:w="0" w:type="dxa"/>
            <w:right w:w="108" w:type="dxa"/>
          </w:tblCellMar>
        </w:tblPrEx>
        <w:trPr>
          <w:trHeight w:val="334" w:hRule="atLeast"/>
        </w:trPr>
        <w:tc>
          <w:tcPr>
            <w:tcW w:w="91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使用非财政拨款结余</w:t>
            </w:r>
          </w:p>
        </w:tc>
        <w:tc>
          <w:tcPr>
            <w:tcW w:w="85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28</w:t>
            </w:r>
          </w:p>
        </w:tc>
        <w:tc>
          <w:tcPr>
            <w:tcW w:w="8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95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结余分配</w:t>
            </w:r>
          </w:p>
        </w:tc>
        <w:tc>
          <w:tcPr>
            <w:tcW w:w="78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59</w:t>
            </w:r>
          </w:p>
        </w:tc>
        <w:tc>
          <w:tcPr>
            <w:tcW w:w="68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91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年初结转和结余</w:t>
            </w:r>
          </w:p>
        </w:tc>
        <w:tc>
          <w:tcPr>
            <w:tcW w:w="85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29</w:t>
            </w:r>
          </w:p>
        </w:tc>
        <w:tc>
          <w:tcPr>
            <w:tcW w:w="8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95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年末结转和结余</w:t>
            </w:r>
          </w:p>
        </w:tc>
        <w:tc>
          <w:tcPr>
            <w:tcW w:w="78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60</w:t>
            </w:r>
          </w:p>
        </w:tc>
        <w:tc>
          <w:tcPr>
            <w:tcW w:w="68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91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85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30</w:t>
            </w:r>
          </w:p>
        </w:tc>
        <w:tc>
          <w:tcPr>
            <w:tcW w:w="8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95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78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61</w:t>
            </w:r>
          </w:p>
        </w:tc>
        <w:tc>
          <w:tcPr>
            <w:tcW w:w="68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91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总计</w:t>
            </w:r>
          </w:p>
        </w:tc>
        <w:tc>
          <w:tcPr>
            <w:tcW w:w="85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31</w:t>
            </w:r>
          </w:p>
        </w:tc>
        <w:tc>
          <w:tcPr>
            <w:tcW w:w="8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3582.72</w:t>
            </w:r>
          </w:p>
        </w:tc>
        <w:tc>
          <w:tcPr>
            <w:tcW w:w="95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总计</w:t>
            </w:r>
          </w:p>
        </w:tc>
        <w:tc>
          <w:tcPr>
            <w:tcW w:w="78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62</w:t>
            </w:r>
          </w:p>
        </w:tc>
        <w:tc>
          <w:tcPr>
            <w:tcW w:w="68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3582.72</w:t>
            </w:r>
          </w:p>
        </w:tc>
      </w:tr>
    </w:tbl>
    <w:p>
      <w:pPr>
        <w:rPr>
          <w:rFonts w:hint="eastAsia" w:ascii="宋体" w:hAnsi="宋体" w:eastAsia="宋体" w:cs="宋体"/>
          <w:color w:val="000000"/>
          <w:kern w:val="0"/>
          <w:sz w:val="30"/>
          <w:szCs w:val="30"/>
          <w:highlight w:val="none"/>
          <w:lang w:bidi="ar"/>
        </w:rPr>
      </w:pPr>
    </w:p>
    <w:p>
      <w:pPr>
        <w:keepNext w:val="0"/>
        <w:keepLines w:val="0"/>
        <w:pageBreakBefore w:val="0"/>
        <w:kinsoku/>
        <w:wordWrap/>
        <w:overflowPunct/>
        <w:topLinePunct w:val="0"/>
        <w:bidi w:val="0"/>
        <w:snapToGrid/>
        <w:spacing w:line="560" w:lineRule="exact"/>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bidi w:val="0"/>
        <w:snapToGrid/>
        <w:spacing w:line="560" w:lineRule="exact"/>
        <w:textAlignment w:val="auto"/>
        <w:rPr>
          <w:rFonts w:ascii="宋体" w:hAnsi="宋体" w:eastAsia="宋体" w:cs="宋体"/>
          <w:color w:val="000000"/>
          <w:kern w:val="0"/>
          <w:sz w:val="30"/>
          <w:szCs w:val="30"/>
          <w:highlight w:val="none"/>
          <w:lang w:bidi="ar"/>
        </w:rPr>
      </w:pPr>
      <w:r>
        <w:rPr>
          <w:rFonts w:hint="eastAsia" w:ascii="宋体" w:hAnsi="宋体" w:eastAsia="宋体" w:cs="宋体"/>
          <w:color w:val="000000"/>
          <w:kern w:val="0"/>
          <w:sz w:val="30"/>
          <w:szCs w:val="30"/>
          <w:highlight w:val="none"/>
          <w:lang w:bidi="ar"/>
        </w:rPr>
        <w:br w:type="page"/>
      </w:r>
    </w:p>
    <w:tbl>
      <w:tblPr>
        <w:tblStyle w:val="6"/>
        <w:tblW w:w="5000" w:type="pct"/>
        <w:tblInd w:w="0" w:type="dxa"/>
        <w:tblLayout w:type="autofit"/>
        <w:tblCellMar>
          <w:top w:w="0" w:type="dxa"/>
          <w:left w:w="108" w:type="dxa"/>
          <w:bottom w:w="0" w:type="dxa"/>
          <w:right w:w="108" w:type="dxa"/>
        </w:tblCellMar>
      </w:tblPr>
      <w:tblGrid>
        <w:gridCol w:w="1413"/>
        <w:gridCol w:w="2294"/>
        <w:gridCol w:w="391"/>
        <w:gridCol w:w="391"/>
        <w:gridCol w:w="880"/>
        <w:gridCol w:w="1348"/>
        <w:gridCol w:w="1281"/>
        <w:gridCol w:w="1199"/>
        <w:gridCol w:w="1295"/>
        <w:gridCol w:w="1307"/>
        <w:gridCol w:w="1267"/>
        <w:gridCol w:w="1108"/>
      </w:tblGrid>
      <w:tr>
        <w:tblPrEx>
          <w:tblCellMar>
            <w:top w:w="0" w:type="dxa"/>
            <w:left w:w="108" w:type="dxa"/>
            <w:bottom w:w="0" w:type="dxa"/>
            <w:right w:w="108" w:type="dxa"/>
          </w:tblCellMar>
        </w:tblPrEx>
        <w:trPr>
          <w:trHeight w:val="90" w:hRule="atLeast"/>
        </w:trPr>
        <w:tc>
          <w:tcPr>
            <w:tcW w:w="5000" w:type="pct"/>
            <w:gridSpan w:val="12"/>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both"/>
              <w:textAlignment w:val="bottom"/>
              <w:rPr>
                <w:rFonts w:hint="eastAsia" w:ascii="宋体" w:hAnsi="宋体" w:eastAsia="宋体" w:cs="宋体"/>
                <w:color w:val="000000"/>
                <w:kern w:val="0"/>
                <w:sz w:val="32"/>
                <w:szCs w:val="32"/>
                <w:highlight w:val="none"/>
                <w:lang w:bidi="ar"/>
              </w:rPr>
            </w:pPr>
            <w:r>
              <w:rPr>
                <w:rFonts w:hint="default" w:ascii="Times New Roman" w:hAnsi="Times New Roman" w:eastAsia="仿宋_GB2312" w:cs="Times New Roman"/>
                <w:sz w:val="32"/>
                <w:szCs w:val="32"/>
              </w:rPr>
              <w:t>表二：</w:t>
            </w:r>
            <w:r>
              <w:rPr>
                <w:rFonts w:hint="eastAsia" w:ascii="Times New Roman" w:hAnsi="Times New Roman" w:eastAsia="仿宋_GB2312" w:cs="Times New Roman"/>
                <w:sz w:val="32"/>
                <w:szCs w:val="32"/>
                <w:lang w:val="en-US" w:eastAsia="zh-CN"/>
              </w:rPr>
              <w:t>Z03 收入决算表(公开02表）</w:t>
            </w:r>
          </w:p>
        </w:tc>
      </w:tr>
      <w:tr>
        <w:tblPrEx>
          <w:tblCellMar>
            <w:top w:w="0" w:type="dxa"/>
            <w:left w:w="108" w:type="dxa"/>
            <w:bottom w:w="0" w:type="dxa"/>
            <w:right w:w="108" w:type="dxa"/>
          </w:tblCellMar>
        </w:tblPrEx>
        <w:trPr>
          <w:trHeight w:val="90" w:hRule="atLeast"/>
        </w:trPr>
        <w:tc>
          <w:tcPr>
            <w:tcW w:w="5000" w:type="pct"/>
            <w:gridSpan w:val="12"/>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both"/>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收入决算表</w:t>
            </w:r>
          </w:p>
        </w:tc>
      </w:tr>
      <w:tr>
        <w:tblPrEx>
          <w:tblCellMar>
            <w:top w:w="0" w:type="dxa"/>
            <w:left w:w="108" w:type="dxa"/>
            <w:bottom w:w="0" w:type="dxa"/>
            <w:right w:w="108" w:type="dxa"/>
          </w:tblCellMar>
        </w:tblPrEx>
        <w:trPr>
          <w:trHeight w:val="317" w:hRule="atLeast"/>
        </w:trPr>
        <w:tc>
          <w:tcPr>
            <w:tcW w:w="1060" w:type="pct"/>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84"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84"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87"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544"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520"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491"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525"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529"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971" w:type="pct"/>
            <w:gridSpan w:val="2"/>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公开02表</w:t>
            </w:r>
          </w:p>
        </w:tc>
      </w:tr>
      <w:tr>
        <w:tblPrEx>
          <w:tblCellMar>
            <w:top w:w="0" w:type="dxa"/>
            <w:left w:w="108" w:type="dxa"/>
            <w:bottom w:w="0" w:type="dxa"/>
            <w:right w:w="108" w:type="dxa"/>
          </w:tblCellMar>
        </w:tblPrEx>
        <w:trPr>
          <w:trHeight w:val="317" w:hRule="atLeast"/>
        </w:trPr>
        <w:tc>
          <w:tcPr>
            <w:tcW w:w="2481" w:type="pct"/>
            <w:gridSpan w:val="7"/>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环江毛南族自治县职业技术学校</w:t>
            </w:r>
          </w:p>
        </w:tc>
        <w:tc>
          <w:tcPr>
            <w:tcW w:w="491" w:type="pct"/>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525" w:type="pct"/>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529" w:type="pct"/>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971" w:type="pct"/>
            <w:gridSpan w:val="2"/>
            <w:tcBorders>
              <w:top w:val="nil"/>
              <w:left w:val="nil"/>
              <w:bottom w:val="single" w:color="auto" w:sz="4" w:space="0"/>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27" w:hRule="atLeast"/>
        </w:trPr>
        <w:tc>
          <w:tcPr>
            <w:tcW w:w="1417" w:type="pct"/>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54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本年收入合计</w:t>
            </w:r>
          </w:p>
        </w:tc>
        <w:tc>
          <w:tcPr>
            <w:tcW w:w="52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财政拨款收入</w:t>
            </w:r>
          </w:p>
        </w:tc>
        <w:tc>
          <w:tcPr>
            <w:tcW w:w="49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上级补助收入</w:t>
            </w:r>
          </w:p>
        </w:tc>
        <w:tc>
          <w:tcPr>
            <w:tcW w:w="52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事业收入</w:t>
            </w:r>
          </w:p>
        </w:tc>
        <w:tc>
          <w:tcPr>
            <w:tcW w:w="52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经营收入</w:t>
            </w:r>
          </w:p>
        </w:tc>
        <w:tc>
          <w:tcPr>
            <w:tcW w:w="51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附属单位上缴收入</w:t>
            </w:r>
          </w:p>
        </w:tc>
        <w:tc>
          <w:tcPr>
            <w:tcW w:w="45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其他收入</w:t>
            </w:r>
          </w:p>
        </w:tc>
      </w:tr>
      <w:tr>
        <w:tblPrEx>
          <w:tblCellMar>
            <w:top w:w="0" w:type="dxa"/>
            <w:left w:w="108" w:type="dxa"/>
            <w:bottom w:w="0" w:type="dxa"/>
            <w:right w:w="108" w:type="dxa"/>
          </w:tblCellMar>
        </w:tblPrEx>
        <w:trPr>
          <w:trHeight w:val="327" w:hRule="atLeast"/>
        </w:trPr>
        <w:tc>
          <w:tcPr>
            <w:tcW w:w="56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849" w:type="pct"/>
            <w:gridSpan w:val="4"/>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54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52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49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52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52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51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45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27" w:hRule="atLeast"/>
        </w:trPr>
        <w:tc>
          <w:tcPr>
            <w:tcW w:w="56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849" w:type="pct"/>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54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52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49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52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52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51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45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27" w:hRule="atLeast"/>
        </w:trPr>
        <w:tc>
          <w:tcPr>
            <w:tcW w:w="56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849" w:type="pct"/>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54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52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49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52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52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51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45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27" w:hRule="atLeast"/>
        </w:trPr>
        <w:tc>
          <w:tcPr>
            <w:tcW w:w="1417" w:type="pct"/>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54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52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49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52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52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c>
          <w:tcPr>
            <w:tcW w:w="51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6</w:t>
            </w:r>
          </w:p>
        </w:tc>
        <w:tc>
          <w:tcPr>
            <w:tcW w:w="45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7</w:t>
            </w:r>
          </w:p>
        </w:tc>
      </w:tr>
      <w:tr>
        <w:tblPrEx>
          <w:tblCellMar>
            <w:top w:w="0" w:type="dxa"/>
            <w:left w:w="108" w:type="dxa"/>
            <w:bottom w:w="0" w:type="dxa"/>
            <w:right w:w="108" w:type="dxa"/>
          </w:tblCellMar>
        </w:tblPrEx>
        <w:trPr>
          <w:trHeight w:val="961" w:hRule="atLeast"/>
        </w:trPr>
        <w:tc>
          <w:tcPr>
            <w:tcW w:w="1417" w:type="pct"/>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54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3582.72</w:t>
            </w:r>
          </w:p>
        </w:tc>
        <w:tc>
          <w:tcPr>
            <w:tcW w:w="52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3511.22</w:t>
            </w:r>
          </w:p>
        </w:tc>
        <w:tc>
          <w:tcPr>
            <w:tcW w:w="49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52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71.50</w:t>
            </w:r>
          </w:p>
        </w:tc>
        <w:tc>
          <w:tcPr>
            <w:tcW w:w="5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51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45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r>
      <w:tr>
        <w:tblPrEx>
          <w:tblCellMar>
            <w:top w:w="0" w:type="dxa"/>
            <w:left w:w="108" w:type="dxa"/>
            <w:bottom w:w="0" w:type="dxa"/>
            <w:right w:w="108" w:type="dxa"/>
          </w:tblCellMar>
        </w:tblPrEx>
        <w:trPr>
          <w:trHeight w:val="327" w:hRule="atLeast"/>
        </w:trPr>
        <w:tc>
          <w:tcPr>
            <w:tcW w:w="56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201</w:t>
            </w:r>
          </w:p>
        </w:tc>
        <w:tc>
          <w:tcPr>
            <w:tcW w:w="849"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一般公共服务支出</w:t>
            </w:r>
          </w:p>
        </w:tc>
        <w:tc>
          <w:tcPr>
            <w:tcW w:w="54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32.81</w:t>
            </w:r>
          </w:p>
        </w:tc>
        <w:tc>
          <w:tcPr>
            <w:tcW w:w="52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32.81</w:t>
            </w:r>
          </w:p>
        </w:tc>
        <w:tc>
          <w:tcPr>
            <w:tcW w:w="49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52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5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51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45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56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20129</w:t>
            </w:r>
          </w:p>
        </w:tc>
        <w:tc>
          <w:tcPr>
            <w:tcW w:w="849"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群众团体事务</w:t>
            </w:r>
          </w:p>
        </w:tc>
        <w:tc>
          <w:tcPr>
            <w:tcW w:w="54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32.81</w:t>
            </w:r>
          </w:p>
        </w:tc>
        <w:tc>
          <w:tcPr>
            <w:tcW w:w="52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32.81</w:t>
            </w:r>
          </w:p>
        </w:tc>
        <w:tc>
          <w:tcPr>
            <w:tcW w:w="49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52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5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51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45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56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2012999</w:t>
            </w:r>
          </w:p>
        </w:tc>
        <w:tc>
          <w:tcPr>
            <w:tcW w:w="849"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其他群众团体事务支出</w:t>
            </w:r>
          </w:p>
        </w:tc>
        <w:tc>
          <w:tcPr>
            <w:tcW w:w="54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32.81</w:t>
            </w:r>
          </w:p>
        </w:tc>
        <w:tc>
          <w:tcPr>
            <w:tcW w:w="52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32.81</w:t>
            </w:r>
          </w:p>
        </w:tc>
        <w:tc>
          <w:tcPr>
            <w:tcW w:w="49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52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5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51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45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56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205</w:t>
            </w:r>
          </w:p>
        </w:tc>
        <w:tc>
          <w:tcPr>
            <w:tcW w:w="849"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教育支出</w:t>
            </w:r>
          </w:p>
        </w:tc>
        <w:tc>
          <w:tcPr>
            <w:tcW w:w="54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2740.26</w:t>
            </w:r>
          </w:p>
        </w:tc>
        <w:tc>
          <w:tcPr>
            <w:tcW w:w="52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2668.76</w:t>
            </w:r>
          </w:p>
        </w:tc>
        <w:tc>
          <w:tcPr>
            <w:tcW w:w="49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52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71.50</w:t>
            </w:r>
          </w:p>
        </w:tc>
        <w:tc>
          <w:tcPr>
            <w:tcW w:w="5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51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45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56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20502</w:t>
            </w:r>
          </w:p>
        </w:tc>
        <w:tc>
          <w:tcPr>
            <w:tcW w:w="849"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普通教育</w:t>
            </w:r>
          </w:p>
        </w:tc>
        <w:tc>
          <w:tcPr>
            <w:tcW w:w="54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1972.66</w:t>
            </w:r>
          </w:p>
        </w:tc>
        <w:tc>
          <w:tcPr>
            <w:tcW w:w="52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1964.98</w:t>
            </w:r>
          </w:p>
        </w:tc>
        <w:tc>
          <w:tcPr>
            <w:tcW w:w="49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52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7.68</w:t>
            </w:r>
          </w:p>
        </w:tc>
        <w:tc>
          <w:tcPr>
            <w:tcW w:w="5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51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45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56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2050204</w:t>
            </w:r>
          </w:p>
        </w:tc>
        <w:tc>
          <w:tcPr>
            <w:tcW w:w="849"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高中教育</w:t>
            </w:r>
          </w:p>
        </w:tc>
        <w:tc>
          <w:tcPr>
            <w:tcW w:w="54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1696.29</w:t>
            </w:r>
          </w:p>
        </w:tc>
        <w:tc>
          <w:tcPr>
            <w:tcW w:w="52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1688.61</w:t>
            </w:r>
          </w:p>
        </w:tc>
        <w:tc>
          <w:tcPr>
            <w:tcW w:w="49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52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7.68</w:t>
            </w:r>
          </w:p>
        </w:tc>
        <w:tc>
          <w:tcPr>
            <w:tcW w:w="5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51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45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56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2050299</w:t>
            </w:r>
          </w:p>
        </w:tc>
        <w:tc>
          <w:tcPr>
            <w:tcW w:w="849"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其他普通教育支出</w:t>
            </w:r>
          </w:p>
        </w:tc>
        <w:tc>
          <w:tcPr>
            <w:tcW w:w="54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276.38</w:t>
            </w:r>
          </w:p>
        </w:tc>
        <w:tc>
          <w:tcPr>
            <w:tcW w:w="52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276.38</w:t>
            </w:r>
          </w:p>
        </w:tc>
        <w:tc>
          <w:tcPr>
            <w:tcW w:w="49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52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5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51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45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56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20503</w:t>
            </w:r>
          </w:p>
        </w:tc>
        <w:tc>
          <w:tcPr>
            <w:tcW w:w="849"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职业教育</w:t>
            </w:r>
          </w:p>
        </w:tc>
        <w:tc>
          <w:tcPr>
            <w:tcW w:w="54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761.42</w:t>
            </w:r>
          </w:p>
        </w:tc>
        <w:tc>
          <w:tcPr>
            <w:tcW w:w="52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697.61</w:t>
            </w:r>
          </w:p>
        </w:tc>
        <w:tc>
          <w:tcPr>
            <w:tcW w:w="49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52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63.82</w:t>
            </w:r>
          </w:p>
        </w:tc>
        <w:tc>
          <w:tcPr>
            <w:tcW w:w="5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51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45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56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2050302</w:t>
            </w:r>
          </w:p>
        </w:tc>
        <w:tc>
          <w:tcPr>
            <w:tcW w:w="849"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中等职业教育</w:t>
            </w:r>
          </w:p>
        </w:tc>
        <w:tc>
          <w:tcPr>
            <w:tcW w:w="54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761.42</w:t>
            </w:r>
          </w:p>
        </w:tc>
        <w:tc>
          <w:tcPr>
            <w:tcW w:w="52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697.61</w:t>
            </w:r>
          </w:p>
        </w:tc>
        <w:tc>
          <w:tcPr>
            <w:tcW w:w="49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52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63.82</w:t>
            </w:r>
          </w:p>
        </w:tc>
        <w:tc>
          <w:tcPr>
            <w:tcW w:w="5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51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45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56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20509</w:t>
            </w:r>
          </w:p>
        </w:tc>
        <w:tc>
          <w:tcPr>
            <w:tcW w:w="849"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教育费附加安排的支出</w:t>
            </w:r>
          </w:p>
        </w:tc>
        <w:tc>
          <w:tcPr>
            <w:tcW w:w="54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6.17</w:t>
            </w:r>
          </w:p>
        </w:tc>
        <w:tc>
          <w:tcPr>
            <w:tcW w:w="52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6.17</w:t>
            </w:r>
          </w:p>
        </w:tc>
        <w:tc>
          <w:tcPr>
            <w:tcW w:w="49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52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5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51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45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56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2050999</w:t>
            </w:r>
          </w:p>
        </w:tc>
        <w:tc>
          <w:tcPr>
            <w:tcW w:w="849"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其他教育费附加安排的支出</w:t>
            </w:r>
          </w:p>
        </w:tc>
        <w:tc>
          <w:tcPr>
            <w:tcW w:w="54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6.17</w:t>
            </w:r>
          </w:p>
        </w:tc>
        <w:tc>
          <w:tcPr>
            <w:tcW w:w="52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6.17</w:t>
            </w:r>
          </w:p>
        </w:tc>
        <w:tc>
          <w:tcPr>
            <w:tcW w:w="49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52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5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51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45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56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208</w:t>
            </w:r>
          </w:p>
        </w:tc>
        <w:tc>
          <w:tcPr>
            <w:tcW w:w="849"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社会保障和就业支出</w:t>
            </w:r>
          </w:p>
        </w:tc>
        <w:tc>
          <w:tcPr>
            <w:tcW w:w="54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241.55</w:t>
            </w:r>
          </w:p>
        </w:tc>
        <w:tc>
          <w:tcPr>
            <w:tcW w:w="52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241.55</w:t>
            </w:r>
          </w:p>
        </w:tc>
        <w:tc>
          <w:tcPr>
            <w:tcW w:w="49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52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5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51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45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56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20805</w:t>
            </w:r>
          </w:p>
        </w:tc>
        <w:tc>
          <w:tcPr>
            <w:tcW w:w="849"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行政事业单位养老支出</w:t>
            </w:r>
          </w:p>
        </w:tc>
        <w:tc>
          <w:tcPr>
            <w:tcW w:w="54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241.55</w:t>
            </w:r>
          </w:p>
        </w:tc>
        <w:tc>
          <w:tcPr>
            <w:tcW w:w="52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241.55</w:t>
            </w:r>
          </w:p>
        </w:tc>
        <w:tc>
          <w:tcPr>
            <w:tcW w:w="49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52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5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51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45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56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2080505</w:t>
            </w:r>
          </w:p>
        </w:tc>
        <w:tc>
          <w:tcPr>
            <w:tcW w:w="849"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机关事业单位基本养老保险缴费支出</w:t>
            </w:r>
          </w:p>
        </w:tc>
        <w:tc>
          <w:tcPr>
            <w:tcW w:w="54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241.55</w:t>
            </w:r>
          </w:p>
        </w:tc>
        <w:tc>
          <w:tcPr>
            <w:tcW w:w="52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241.55</w:t>
            </w:r>
          </w:p>
        </w:tc>
        <w:tc>
          <w:tcPr>
            <w:tcW w:w="49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52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5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51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45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56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221</w:t>
            </w:r>
          </w:p>
        </w:tc>
        <w:tc>
          <w:tcPr>
            <w:tcW w:w="849"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住房保障支出</w:t>
            </w:r>
          </w:p>
        </w:tc>
        <w:tc>
          <w:tcPr>
            <w:tcW w:w="54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179.89</w:t>
            </w:r>
          </w:p>
        </w:tc>
        <w:tc>
          <w:tcPr>
            <w:tcW w:w="52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179.89</w:t>
            </w:r>
          </w:p>
        </w:tc>
        <w:tc>
          <w:tcPr>
            <w:tcW w:w="49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52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5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51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45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56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22102</w:t>
            </w:r>
          </w:p>
        </w:tc>
        <w:tc>
          <w:tcPr>
            <w:tcW w:w="849"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住房改革支出</w:t>
            </w:r>
          </w:p>
        </w:tc>
        <w:tc>
          <w:tcPr>
            <w:tcW w:w="54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179.89</w:t>
            </w:r>
          </w:p>
        </w:tc>
        <w:tc>
          <w:tcPr>
            <w:tcW w:w="52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179.89</w:t>
            </w:r>
          </w:p>
        </w:tc>
        <w:tc>
          <w:tcPr>
            <w:tcW w:w="49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52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5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51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45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56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2210201</w:t>
            </w:r>
          </w:p>
        </w:tc>
        <w:tc>
          <w:tcPr>
            <w:tcW w:w="849"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住房公积金</w:t>
            </w:r>
          </w:p>
        </w:tc>
        <w:tc>
          <w:tcPr>
            <w:tcW w:w="54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179.89</w:t>
            </w:r>
          </w:p>
        </w:tc>
        <w:tc>
          <w:tcPr>
            <w:tcW w:w="52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179.89</w:t>
            </w:r>
          </w:p>
        </w:tc>
        <w:tc>
          <w:tcPr>
            <w:tcW w:w="49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52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5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51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45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56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229</w:t>
            </w:r>
          </w:p>
        </w:tc>
        <w:tc>
          <w:tcPr>
            <w:tcW w:w="849"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其他支出</w:t>
            </w:r>
          </w:p>
        </w:tc>
        <w:tc>
          <w:tcPr>
            <w:tcW w:w="54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388.21</w:t>
            </w:r>
          </w:p>
        </w:tc>
        <w:tc>
          <w:tcPr>
            <w:tcW w:w="52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388.21</w:t>
            </w:r>
          </w:p>
        </w:tc>
        <w:tc>
          <w:tcPr>
            <w:tcW w:w="49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52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5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51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45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56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22999</w:t>
            </w:r>
          </w:p>
        </w:tc>
        <w:tc>
          <w:tcPr>
            <w:tcW w:w="849"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其他支出</w:t>
            </w:r>
          </w:p>
        </w:tc>
        <w:tc>
          <w:tcPr>
            <w:tcW w:w="54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388.21</w:t>
            </w:r>
          </w:p>
        </w:tc>
        <w:tc>
          <w:tcPr>
            <w:tcW w:w="52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388.21</w:t>
            </w:r>
          </w:p>
        </w:tc>
        <w:tc>
          <w:tcPr>
            <w:tcW w:w="49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52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5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51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45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56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2299999</w:t>
            </w:r>
          </w:p>
        </w:tc>
        <w:tc>
          <w:tcPr>
            <w:tcW w:w="849"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其他支出</w:t>
            </w:r>
          </w:p>
        </w:tc>
        <w:tc>
          <w:tcPr>
            <w:tcW w:w="54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388.21</w:t>
            </w:r>
          </w:p>
        </w:tc>
        <w:tc>
          <w:tcPr>
            <w:tcW w:w="52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388.21</w:t>
            </w:r>
          </w:p>
        </w:tc>
        <w:tc>
          <w:tcPr>
            <w:tcW w:w="49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52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5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51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45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5000" w:type="pct"/>
            <w:gridSpan w:val="12"/>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注：本表反映部门本年度取得的各项收入情况。</w:t>
            </w:r>
          </w:p>
        </w:tc>
      </w:tr>
    </w:tbl>
    <w:p>
      <w:pPr>
        <w:jc w:val="center"/>
        <w:rPr>
          <w:rFonts w:ascii="仿宋" w:hAnsi="仿宋" w:eastAsia="仿宋" w:cs="仿宋"/>
          <w:sz w:val="24"/>
          <w:highlight w:val="none"/>
        </w:rPr>
      </w:pPr>
    </w:p>
    <w:p>
      <w:pPr>
        <w:rPr>
          <w:rFonts w:ascii="仿宋" w:hAnsi="仿宋" w:eastAsia="仿宋" w:cs="仿宋"/>
          <w:sz w:val="24"/>
          <w:highlight w:val="none"/>
        </w:rPr>
      </w:pPr>
    </w:p>
    <w:p>
      <w:pPr>
        <w:rPr>
          <w:rFonts w:ascii="仿宋" w:hAnsi="仿宋" w:eastAsia="仿宋" w:cs="仿宋"/>
          <w:sz w:val="24"/>
          <w:highlight w:val="none"/>
        </w:rPr>
      </w:pPr>
    </w:p>
    <w:p>
      <w:pPr>
        <w:rPr>
          <w:rFonts w:ascii="仿宋" w:hAnsi="仿宋" w:eastAsia="仿宋" w:cs="仿宋"/>
          <w:sz w:val="24"/>
          <w:highlight w:val="none"/>
        </w:rPr>
      </w:pPr>
    </w:p>
    <w:p>
      <w:pPr>
        <w:rPr>
          <w:rFonts w:ascii="仿宋" w:hAnsi="仿宋" w:eastAsia="仿宋" w:cs="仿宋"/>
          <w:sz w:val="24"/>
          <w:highlight w:val="none"/>
        </w:rPr>
      </w:pPr>
    </w:p>
    <w:p>
      <w:pPr>
        <w:rPr>
          <w:rFonts w:ascii="仿宋" w:hAnsi="仿宋" w:eastAsia="仿宋" w:cs="仿宋"/>
          <w:sz w:val="24"/>
          <w:highlight w:val="none"/>
        </w:rPr>
      </w:pPr>
    </w:p>
    <w:p>
      <w:pPr>
        <w:rPr>
          <w:rFonts w:ascii="仿宋" w:hAnsi="仿宋" w:eastAsia="仿宋" w:cs="仿宋"/>
          <w:sz w:val="24"/>
          <w:highlight w:val="none"/>
        </w:rPr>
      </w:pPr>
    </w:p>
    <w:p>
      <w:pPr>
        <w:rPr>
          <w:rFonts w:ascii="仿宋" w:hAnsi="仿宋" w:eastAsia="仿宋" w:cs="仿宋"/>
          <w:sz w:val="24"/>
          <w:highlight w:val="none"/>
        </w:rPr>
      </w:pPr>
    </w:p>
    <w:p>
      <w:pPr>
        <w:rPr>
          <w:rFonts w:ascii="仿宋" w:hAnsi="仿宋" w:eastAsia="仿宋" w:cs="仿宋"/>
          <w:sz w:val="24"/>
          <w:highlight w:val="none"/>
        </w:rPr>
      </w:pPr>
    </w:p>
    <w:p>
      <w:pPr>
        <w:rPr>
          <w:rFonts w:ascii="仿宋" w:hAnsi="仿宋" w:eastAsia="仿宋" w:cs="仿宋"/>
          <w:sz w:val="24"/>
          <w:highlight w:val="none"/>
        </w:rPr>
      </w:pPr>
      <w:r>
        <w:rPr>
          <w:rFonts w:ascii="仿宋" w:hAnsi="仿宋" w:eastAsia="仿宋" w:cs="仿宋"/>
          <w:sz w:val="24"/>
          <w:highlight w:val="none"/>
        </w:rPr>
        <w:br w:type="page"/>
      </w:r>
    </w:p>
    <w:tbl>
      <w:tblPr>
        <w:tblStyle w:val="6"/>
        <w:tblW w:w="5000" w:type="pct"/>
        <w:tblInd w:w="0" w:type="dxa"/>
        <w:tblLayout w:type="autofit"/>
        <w:tblCellMar>
          <w:top w:w="0" w:type="dxa"/>
          <w:left w:w="108" w:type="dxa"/>
          <w:bottom w:w="0" w:type="dxa"/>
          <w:right w:w="108" w:type="dxa"/>
        </w:tblCellMar>
      </w:tblPr>
      <w:tblGrid>
        <w:gridCol w:w="964"/>
        <w:gridCol w:w="222"/>
        <w:gridCol w:w="177"/>
        <w:gridCol w:w="107"/>
        <w:gridCol w:w="3849"/>
        <w:gridCol w:w="1173"/>
        <w:gridCol w:w="1508"/>
        <w:gridCol w:w="1596"/>
        <w:gridCol w:w="1480"/>
        <w:gridCol w:w="1482"/>
        <w:gridCol w:w="1616"/>
      </w:tblGrid>
      <w:tr>
        <w:tblPrEx>
          <w:tblCellMar>
            <w:top w:w="0" w:type="dxa"/>
            <w:left w:w="108" w:type="dxa"/>
            <w:bottom w:w="0" w:type="dxa"/>
            <w:right w:w="108" w:type="dxa"/>
          </w:tblCellMar>
        </w:tblPrEx>
        <w:trPr>
          <w:trHeight w:val="677" w:hRule="atLeast"/>
        </w:trPr>
        <w:tc>
          <w:tcPr>
            <w:tcW w:w="5000" w:type="pct"/>
            <w:gridSpan w:val="11"/>
            <w:tcBorders>
              <w:top w:val="nil"/>
              <w:left w:val="nil"/>
              <w:bottom w:val="nil"/>
              <w:right w:val="nil"/>
            </w:tcBorders>
            <w:shd w:val="clear" w:color="auto" w:fill="auto"/>
            <w:noWrap/>
            <w:vAlign w:val="center"/>
          </w:tcPr>
          <w:p>
            <w:pPr>
              <w:keepNext w:val="0"/>
              <w:keepLines w:val="0"/>
              <w:pageBreakBefore w:val="0"/>
              <w:suppressLineNumbers w:val="0"/>
              <w:kinsoku/>
              <w:wordWrap/>
              <w:overflowPunct/>
              <w:topLinePunct w:val="0"/>
              <w:bidi w:val="0"/>
              <w:snapToGrid/>
              <w:spacing w:before="0" w:beforeAutospacing="0" w:after="0" w:afterAutospacing="0" w:line="560" w:lineRule="exact"/>
              <w:ind w:left="0" w:right="0"/>
              <w:textAlignment w:val="auto"/>
              <w:rPr>
                <w:rFonts w:hint="eastAsia" w:ascii="宋体" w:hAnsi="宋体" w:eastAsia="宋体" w:cs="宋体"/>
                <w:color w:val="000000"/>
                <w:kern w:val="0"/>
                <w:sz w:val="32"/>
                <w:szCs w:val="32"/>
                <w:highlight w:val="none"/>
                <w:lang w:bidi="ar"/>
              </w:rPr>
            </w:pPr>
            <w:r>
              <w:rPr>
                <w:rFonts w:hint="default" w:ascii="Times New Roman" w:hAnsi="Times New Roman" w:eastAsia="仿宋_GB2312" w:cs="Times New Roman"/>
                <w:sz w:val="32"/>
                <w:szCs w:val="32"/>
              </w:rPr>
              <w:t>表三：</w:t>
            </w:r>
            <w:r>
              <w:rPr>
                <w:rFonts w:hint="eastAsia" w:ascii="Times New Roman" w:hAnsi="Times New Roman" w:eastAsia="仿宋_GB2312" w:cs="Times New Roman"/>
                <w:sz w:val="32"/>
                <w:szCs w:val="32"/>
                <w:lang w:val="en-US" w:eastAsia="zh-CN"/>
              </w:rPr>
              <w:t>Z04 支出决算表(公开03表)</w:t>
            </w:r>
          </w:p>
        </w:tc>
      </w:tr>
      <w:tr>
        <w:tblPrEx>
          <w:tblCellMar>
            <w:top w:w="0" w:type="dxa"/>
            <w:left w:w="108" w:type="dxa"/>
            <w:bottom w:w="0" w:type="dxa"/>
            <w:right w:w="108" w:type="dxa"/>
          </w:tblCellMar>
        </w:tblPrEx>
        <w:trPr>
          <w:trHeight w:val="623" w:hRule="atLeast"/>
        </w:trPr>
        <w:tc>
          <w:tcPr>
            <w:tcW w:w="5000" w:type="pct"/>
            <w:gridSpan w:val="11"/>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支出决算表</w:t>
            </w:r>
          </w:p>
        </w:tc>
      </w:tr>
      <w:tr>
        <w:tblPrEx>
          <w:tblCellMar>
            <w:top w:w="0" w:type="dxa"/>
            <w:left w:w="108" w:type="dxa"/>
            <w:bottom w:w="0" w:type="dxa"/>
            <w:right w:w="108" w:type="dxa"/>
          </w:tblCellMar>
        </w:tblPrEx>
        <w:trPr>
          <w:trHeight w:val="312" w:hRule="atLeast"/>
        </w:trPr>
        <w:tc>
          <w:tcPr>
            <w:tcW w:w="408"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84"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8" w:type="pct"/>
            <w:gridSpan w:val="2"/>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794"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581"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600"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629"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590"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591"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610" w:type="pct"/>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公开03表</w:t>
            </w:r>
          </w:p>
        </w:tc>
      </w:tr>
      <w:tr>
        <w:tblPrEx>
          <w:tblCellMar>
            <w:top w:w="0" w:type="dxa"/>
            <w:left w:w="108" w:type="dxa"/>
            <w:bottom w:w="0" w:type="dxa"/>
            <w:right w:w="108" w:type="dxa"/>
          </w:tblCellMar>
        </w:tblPrEx>
        <w:trPr>
          <w:trHeight w:val="312" w:hRule="atLeast"/>
        </w:trPr>
        <w:tc>
          <w:tcPr>
            <w:tcW w:w="3207" w:type="pct"/>
            <w:gridSpan w:val="8"/>
            <w:tcBorders>
              <w:top w:val="nil"/>
              <w:left w:val="nil"/>
              <w:bottom w:val="single" w:color="auto" w:sz="4" w:space="0"/>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环江毛南族自治县职业技术学校</w:t>
            </w:r>
          </w:p>
        </w:tc>
        <w:tc>
          <w:tcPr>
            <w:tcW w:w="590" w:type="pct"/>
            <w:tcBorders>
              <w:top w:val="nil"/>
              <w:left w:val="nil"/>
              <w:bottom w:val="single" w:color="auto" w:sz="4" w:space="0"/>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591" w:type="pct"/>
            <w:tcBorders>
              <w:top w:val="nil"/>
              <w:left w:val="nil"/>
              <w:bottom w:val="single" w:color="auto" w:sz="4" w:space="0"/>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610" w:type="pct"/>
            <w:tcBorders>
              <w:top w:val="nil"/>
              <w:left w:val="nil"/>
              <w:bottom w:val="single" w:color="auto"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22" w:hRule="atLeast"/>
        </w:trPr>
        <w:tc>
          <w:tcPr>
            <w:tcW w:w="1395" w:type="pct"/>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58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本年支出合计</w:t>
            </w:r>
          </w:p>
        </w:tc>
        <w:tc>
          <w:tcPr>
            <w:tcW w:w="60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基本支出</w:t>
            </w:r>
          </w:p>
        </w:tc>
        <w:tc>
          <w:tcPr>
            <w:tcW w:w="62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项目支出</w:t>
            </w:r>
          </w:p>
        </w:tc>
        <w:tc>
          <w:tcPr>
            <w:tcW w:w="59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上缴上级支出</w:t>
            </w:r>
          </w:p>
        </w:tc>
        <w:tc>
          <w:tcPr>
            <w:tcW w:w="59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经营支出</w:t>
            </w:r>
          </w:p>
        </w:tc>
        <w:tc>
          <w:tcPr>
            <w:tcW w:w="61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对附属单位补助支出</w:t>
            </w:r>
          </w:p>
        </w:tc>
      </w:tr>
      <w:tr>
        <w:tblPrEx>
          <w:tblCellMar>
            <w:top w:w="0" w:type="dxa"/>
            <w:left w:w="108" w:type="dxa"/>
            <w:bottom w:w="0" w:type="dxa"/>
            <w:right w:w="108" w:type="dxa"/>
          </w:tblCellMar>
        </w:tblPrEx>
        <w:trPr>
          <w:trHeight w:val="322" w:hRule="atLeast"/>
        </w:trPr>
        <w:tc>
          <w:tcPr>
            <w:tcW w:w="578" w:type="pct"/>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816" w:type="pct"/>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58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60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62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59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59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61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465" w:hRule="atLeast"/>
        </w:trPr>
        <w:tc>
          <w:tcPr>
            <w:tcW w:w="578" w:type="pct"/>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816" w:type="pct"/>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58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60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62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59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59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61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837" w:hRule="atLeast"/>
        </w:trPr>
        <w:tc>
          <w:tcPr>
            <w:tcW w:w="578" w:type="pct"/>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816" w:type="pct"/>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58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60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62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59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59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61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22" w:hRule="atLeast"/>
        </w:trPr>
        <w:tc>
          <w:tcPr>
            <w:tcW w:w="1395" w:type="pct"/>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58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60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62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5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59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c>
          <w:tcPr>
            <w:tcW w:w="61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6</w:t>
            </w:r>
          </w:p>
        </w:tc>
      </w:tr>
      <w:tr>
        <w:tblPrEx>
          <w:tblCellMar>
            <w:top w:w="0" w:type="dxa"/>
            <w:left w:w="108" w:type="dxa"/>
            <w:bottom w:w="0" w:type="dxa"/>
            <w:right w:w="108" w:type="dxa"/>
          </w:tblCellMar>
        </w:tblPrEx>
        <w:trPr>
          <w:trHeight w:val="633" w:hRule="atLeast"/>
        </w:trPr>
        <w:tc>
          <w:tcPr>
            <w:tcW w:w="1395" w:type="pct"/>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58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default" w:ascii="宋体" w:hAnsi="宋体" w:eastAsia="宋体" w:cs="宋体"/>
                <w:b/>
                <w:bCs/>
                <w:color w:val="000000"/>
                <w:sz w:val="22"/>
                <w:szCs w:val="22"/>
                <w:highlight w:val="none"/>
              </w:rPr>
              <w:t>3582.72</w:t>
            </w:r>
          </w:p>
        </w:tc>
        <w:tc>
          <w:tcPr>
            <w:tcW w:w="6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default" w:ascii="宋体" w:hAnsi="宋体" w:eastAsia="宋体" w:cs="宋体"/>
                <w:b/>
                <w:bCs/>
                <w:color w:val="000000"/>
                <w:sz w:val="22"/>
                <w:szCs w:val="22"/>
                <w:highlight w:val="none"/>
              </w:rPr>
              <w:t>2421.50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1161.22</w:t>
            </w:r>
          </w:p>
        </w:tc>
        <w:tc>
          <w:tcPr>
            <w:tcW w:w="5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59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61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default" w:ascii="宋体" w:hAnsi="宋体" w:eastAsia="宋体" w:cs="宋体"/>
                <w:b/>
                <w:bCs/>
                <w:color w:val="000000"/>
                <w:sz w:val="22"/>
                <w:szCs w:val="22"/>
                <w:highlight w:val="none"/>
              </w:rPr>
              <w:t>0.00</w:t>
            </w:r>
          </w:p>
        </w:tc>
      </w:tr>
      <w:tr>
        <w:tblPrEx>
          <w:tblCellMar>
            <w:top w:w="0" w:type="dxa"/>
            <w:left w:w="108" w:type="dxa"/>
            <w:bottom w:w="0" w:type="dxa"/>
            <w:right w:w="108" w:type="dxa"/>
          </w:tblCellMar>
        </w:tblPrEx>
        <w:trPr>
          <w:trHeight w:val="322" w:hRule="atLeast"/>
        </w:trPr>
        <w:tc>
          <w:tcPr>
            <w:tcW w:w="578"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201</w:t>
            </w:r>
          </w:p>
        </w:tc>
        <w:tc>
          <w:tcPr>
            <w:tcW w:w="81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一般公共服务支出</w:t>
            </w:r>
          </w:p>
        </w:tc>
        <w:tc>
          <w:tcPr>
            <w:tcW w:w="58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32.81</w:t>
            </w:r>
          </w:p>
        </w:tc>
        <w:tc>
          <w:tcPr>
            <w:tcW w:w="6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32.81</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5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59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1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578"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20129</w:t>
            </w:r>
          </w:p>
        </w:tc>
        <w:tc>
          <w:tcPr>
            <w:tcW w:w="81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群众团体事务</w:t>
            </w:r>
          </w:p>
        </w:tc>
        <w:tc>
          <w:tcPr>
            <w:tcW w:w="58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32.81</w:t>
            </w:r>
          </w:p>
        </w:tc>
        <w:tc>
          <w:tcPr>
            <w:tcW w:w="6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32.81</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5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59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1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578"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2012999</w:t>
            </w:r>
          </w:p>
        </w:tc>
        <w:tc>
          <w:tcPr>
            <w:tcW w:w="81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其他群众团体事务支出</w:t>
            </w:r>
          </w:p>
        </w:tc>
        <w:tc>
          <w:tcPr>
            <w:tcW w:w="58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32.81</w:t>
            </w:r>
          </w:p>
        </w:tc>
        <w:tc>
          <w:tcPr>
            <w:tcW w:w="6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32.81</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5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59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1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578"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205</w:t>
            </w:r>
          </w:p>
        </w:tc>
        <w:tc>
          <w:tcPr>
            <w:tcW w:w="81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教育支出</w:t>
            </w:r>
          </w:p>
        </w:tc>
        <w:tc>
          <w:tcPr>
            <w:tcW w:w="58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2740.26</w:t>
            </w:r>
          </w:p>
        </w:tc>
        <w:tc>
          <w:tcPr>
            <w:tcW w:w="6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1735.24</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1005.02</w:t>
            </w:r>
          </w:p>
        </w:tc>
        <w:tc>
          <w:tcPr>
            <w:tcW w:w="5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59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1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578"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20502</w:t>
            </w:r>
          </w:p>
        </w:tc>
        <w:tc>
          <w:tcPr>
            <w:tcW w:w="81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普通教育</w:t>
            </w:r>
          </w:p>
        </w:tc>
        <w:tc>
          <w:tcPr>
            <w:tcW w:w="58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1972.66</w:t>
            </w:r>
          </w:p>
        </w:tc>
        <w:tc>
          <w:tcPr>
            <w:tcW w:w="6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1309.51</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663.15</w:t>
            </w:r>
          </w:p>
        </w:tc>
        <w:tc>
          <w:tcPr>
            <w:tcW w:w="5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59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1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578"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2050204</w:t>
            </w:r>
          </w:p>
        </w:tc>
        <w:tc>
          <w:tcPr>
            <w:tcW w:w="81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高中教育</w:t>
            </w:r>
          </w:p>
        </w:tc>
        <w:tc>
          <w:tcPr>
            <w:tcW w:w="58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1696.29</w:t>
            </w:r>
          </w:p>
        </w:tc>
        <w:tc>
          <w:tcPr>
            <w:tcW w:w="6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1308.61</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387.68</w:t>
            </w:r>
          </w:p>
        </w:tc>
        <w:tc>
          <w:tcPr>
            <w:tcW w:w="5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59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1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578"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2050299</w:t>
            </w:r>
          </w:p>
        </w:tc>
        <w:tc>
          <w:tcPr>
            <w:tcW w:w="81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其他普通教育支出</w:t>
            </w:r>
          </w:p>
        </w:tc>
        <w:tc>
          <w:tcPr>
            <w:tcW w:w="58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276.38</w:t>
            </w:r>
          </w:p>
        </w:tc>
        <w:tc>
          <w:tcPr>
            <w:tcW w:w="6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0.90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275.48</w:t>
            </w:r>
          </w:p>
        </w:tc>
        <w:tc>
          <w:tcPr>
            <w:tcW w:w="5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59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1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578"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20503</w:t>
            </w:r>
          </w:p>
        </w:tc>
        <w:tc>
          <w:tcPr>
            <w:tcW w:w="81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职业教育</w:t>
            </w:r>
          </w:p>
        </w:tc>
        <w:tc>
          <w:tcPr>
            <w:tcW w:w="58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761.42</w:t>
            </w:r>
          </w:p>
        </w:tc>
        <w:tc>
          <w:tcPr>
            <w:tcW w:w="6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425.73</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335.69</w:t>
            </w:r>
          </w:p>
        </w:tc>
        <w:tc>
          <w:tcPr>
            <w:tcW w:w="5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59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1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578"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2050302</w:t>
            </w:r>
          </w:p>
        </w:tc>
        <w:tc>
          <w:tcPr>
            <w:tcW w:w="81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中等职业教育</w:t>
            </w:r>
          </w:p>
        </w:tc>
        <w:tc>
          <w:tcPr>
            <w:tcW w:w="58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761.42</w:t>
            </w:r>
          </w:p>
        </w:tc>
        <w:tc>
          <w:tcPr>
            <w:tcW w:w="6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425.73</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335.69</w:t>
            </w:r>
          </w:p>
        </w:tc>
        <w:tc>
          <w:tcPr>
            <w:tcW w:w="5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59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1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578"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20509</w:t>
            </w:r>
          </w:p>
        </w:tc>
        <w:tc>
          <w:tcPr>
            <w:tcW w:w="81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教育费附加安排的支出</w:t>
            </w:r>
          </w:p>
        </w:tc>
        <w:tc>
          <w:tcPr>
            <w:tcW w:w="58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6.17</w:t>
            </w:r>
          </w:p>
        </w:tc>
        <w:tc>
          <w:tcPr>
            <w:tcW w:w="6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6.17</w:t>
            </w:r>
          </w:p>
        </w:tc>
        <w:tc>
          <w:tcPr>
            <w:tcW w:w="5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59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1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578"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2050999</w:t>
            </w:r>
          </w:p>
        </w:tc>
        <w:tc>
          <w:tcPr>
            <w:tcW w:w="81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其他教育费附加安排的支出</w:t>
            </w:r>
          </w:p>
        </w:tc>
        <w:tc>
          <w:tcPr>
            <w:tcW w:w="58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6.17</w:t>
            </w:r>
          </w:p>
        </w:tc>
        <w:tc>
          <w:tcPr>
            <w:tcW w:w="6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6.17</w:t>
            </w:r>
          </w:p>
        </w:tc>
        <w:tc>
          <w:tcPr>
            <w:tcW w:w="5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59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1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578"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208</w:t>
            </w:r>
          </w:p>
        </w:tc>
        <w:tc>
          <w:tcPr>
            <w:tcW w:w="81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社会保障和就业支出</w:t>
            </w:r>
          </w:p>
        </w:tc>
        <w:tc>
          <w:tcPr>
            <w:tcW w:w="58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241.55</w:t>
            </w:r>
          </w:p>
        </w:tc>
        <w:tc>
          <w:tcPr>
            <w:tcW w:w="6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241.55</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5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59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1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578"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20805</w:t>
            </w:r>
          </w:p>
        </w:tc>
        <w:tc>
          <w:tcPr>
            <w:tcW w:w="81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行政事业单位养老支出</w:t>
            </w:r>
          </w:p>
        </w:tc>
        <w:tc>
          <w:tcPr>
            <w:tcW w:w="58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241.55</w:t>
            </w:r>
          </w:p>
        </w:tc>
        <w:tc>
          <w:tcPr>
            <w:tcW w:w="6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241.55</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5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59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1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578"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2080505</w:t>
            </w:r>
          </w:p>
        </w:tc>
        <w:tc>
          <w:tcPr>
            <w:tcW w:w="81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机关事业单位基本养老保险缴费支出</w:t>
            </w:r>
          </w:p>
        </w:tc>
        <w:tc>
          <w:tcPr>
            <w:tcW w:w="58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241.55</w:t>
            </w:r>
          </w:p>
        </w:tc>
        <w:tc>
          <w:tcPr>
            <w:tcW w:w="6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241.55</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5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59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1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578"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221</w:t>
            </w:r>
          </w:p>
        </w:tc>
        <w:tc>
          <w:tcPr>
            <w:tcW w:w="81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住房保障支出</w:t>
            </w:r>
          </w:p>
        </w:tc>
        <w:tc>
          <w:tcPr>
            <w:tcW w:w="58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179.89</w:t>
            </w:r>
          </w:p>
        </w:tc>
        <w:tc>
          <w:tcPr>
            <w:tcW w:w="6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179.89</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5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59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1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578"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22102</w:t>
            </w:r>
          </w:p>
        </w:tc>
        <w:tc>
          <w:tcPr>
            <w:tcW w:w="81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住房改革支出</w:t>
            </w:r>
          </w:p>
        </w:tc>
        <w:tc>
          <w:tcPr>
            <w:tcW w:w="58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179.89</w:t>
            </w:r>
          </w:p>
        </w:tc>
        <w:tc>
          <w:tcPr>
            <w:tcW w:w="6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179.89</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5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59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1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578"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2210201</w:t>
            </w:r>
          </w:p>
        </w:tc>
        <w:tc>
          <w:tcPr>
            <w:tcW w:w="81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住房公积金</w:t>
            </w:r>
          </w:p>
        </w:tc>
        <w:tc>
          <w:tcPr>
            <w:tcW w:w="58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179.89</w:t>
            </w:r>
          </w:p>
        </w:tc>
        <w:tc>
          <w:tcPr>
            <w:tcW w:w="6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179.89</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5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59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1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578"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229</w:t>
            </w:r>
          </w:p>
        </w:tc>
        <w:tc>
          <w:tcPr>
            <w:tcW w:w="81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其他支出</w:t>
            </w:r>
          </w:p>
        </w:tc>
        <w:tc>
          <w:tcPr>
            <w:tcW w:w="58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388.21</w:t>
            </w:r>
          </w:p>
        </w:tc>
        <w:tc>
          <w:tcPr>
            <w:tcW w:w="6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232.00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156.20</w:t>
            </w:r>
          </w:p>
        </w:tc>
        <w:tc>
          <w:tcPr>
            <w:tcW w:w="5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59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1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578"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22999</w:t>
            </w:r>
          </w:p>
        </w:tc>
        <w:tc>
          <w:tcPr>
            <w:tcW w:w="81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其他支出</w:t>
            </w:r>
          </w:p>
        </w:tc>
        <w:tc>
          <w:tcPr>
            <w:tcW w:w="58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388.21</w:t>
            </w:r>
          </w:p>
        </w:tc>
        <w:tc>
          <w:tcPr>
            <w:tcW w:w="6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232.00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156.20</w:t>
            </w:r>
          </w:p>
        </w:tc>
        <w:tc>
          <w:tcPr>
            <w:tcW w:w="5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59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1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578"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2299999</w:t>
            </w:r>
          </w:p>
        </w:tc>
        <w:tc>
          <w:tcPr>
            <w:tcW w:w="81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其他支出</w:t>
            </w:r>
          </w:p>
        </w:tc>
        <w:tc>
          <w:tcPr>
            <w:tcW w:w="58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388.21</w:t>
            </w:r>
          </w:p>
        </w:tc>
        <w:tc>
          <w:tcPr>
            <w:tcW w:w="6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232.00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156.20</w:t>
            </w:r>
          </w:p>
        </w:tc>
        <w:tc>
          <w:tcPr>
            <w:tcW w:w="5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59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1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5000" w:type="pct"/>
            <w:gridSpan w:val="11"/>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注：本表反映部门本年度各项支出情况。</w:t>
            </w:r>
          </w:p>
        </w:tc>
      </w:tr>
    </w:tbl>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eastAsia" w:ascii="仿宋" w:hAnsi="仿宋" w:eastAsia="仿宋" w:cs="仿宋"/>
          <w:sz w:val="24"/>
          <w:highlight w:val="none"/>
        </w:rPr>
      </w:pPr>
      <w:r>
        <w:rPr>
          <w:rFonts w:hint="default" w:ascii="Times New Roman" w:hAnsi="Times New Roman" w:eastAsia="仿宋_GB2312" w:cs="Times New Roman"/>
          <w:sz w:val="32"/>
          <w:szCs w:val="32"/>
        </w:rPr>
        <w:t>表四：</w:t>
      </w:r>
      <w:r>
        <w:rPr>
          <w:rFonts w:hint="eastAsia" w:ascii="Times New Roman" w:hAnsi="Times New Roman" w:eastAsia="仿宋_GB2312" w:cs="Times New Roman"/>
          <w:sz w:val="32"/>
          <w:szCs w:val="32"/>
          <w:lang w:val="en-US" w:eastAsia="zh-CN"/>
        </w:rPr>
        <w:t>Z01_1 财政拨款收入支出决算总表(公开04表)</w:t>
      </w:r>
    </w:p>
    <w:tbl>
      <w:tblPr>
        <w:tblStyle w:val="6"/>
        <w:tblW w:w="5000" w:type="pct"/>
        <w:tblInd w:w="0" w:type="dxa"/>
        <w:tblLayout w:type="autofit"/>
        <w:tblCellMar>
          <w:top w:w="0" w:type="dxa"/>
          <w:left w:w="108" w:type="dxa"/>
          <w:bottom w:w="0" w:type="dxa"/>
          <w:right w:w="108" w:type="dxa"/>
        </w:tblCellMar>
      </w:tblPr>
      <w:tblGrid>
        <w:gridCol w:w="3016"/>
        <w:gridCol w:w="730"/>
        <w:gridCol w:w="1189"/>
        <w:gridCol w:w="3216"/>
        <w:gridCol w:w="789"/>
        <w:gridCol w:w="1000"/>
        <w:gridCol w:w="1583"/>
        <w:gridCol w:w="1616"/>
        <w:gridCol w:w="1035"/>
      </w:tblGrid>
      <w:tr>
        <w:trPr>
          <w:trHeight w:val="520" w:hRule="atLeast"/>
        </w:trPr>
        <w:tc>
          <w:tcPr>
            <w:tcW w:w="5000" w:type="pct"/>
            <w:gridSpan w:val="9"/>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财政拨款收入支出决算总表</w:t>
            </w:r>
          </w:p>
        </w:tc>
      </w:tr>
      <w:tr>
        <w:tblPrEx>
          <w:tblCellMar>
            <w:top w:w="0" w:type="dxa"/>
            <w:left w:w="108" w:type="dxa"/>
            <w:bottom w:w="0" w:type="dxa"/>
            <w:right w:w="108" w:type="dxa"/>
          </w:tblCellMar>
        </w:tblPrEx>
        <w:trPr>
          <w:trHeight w:val="260" w:hRule="atLeast"/>
        </w:trPr>
        <w:tc>
          <w:tcPr>
            <w:tcW w:w="970"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63"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432"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33"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85"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61"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579"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590"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482" w:type="pct"/>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公开04表</w:t>
            </w:r>
          </w:p>
        </w:tc>
      </w:tr>
      <w:tr>
        <w:tblPrEx>
          <w:tblCellMar>
            <w:top w:w="0" w:type="dxa"/>
            <w:left w:w="108" w:type="dxa"/>
            <w:bottom w:w="0" w:type="dxa"/>
            <w:right w:w="108" w:type="dxa"/>
          </w:tblCellMar>
        </w:tblPrEx>
        <w:trPr>
          <w:trHeight w:val="260" w:hRule="atLeast"/>
        </w:trPr>
        <w:tc>
          <w:tcPr>
            <w:tcW w:w="3347" w:type="pct"/>
            <w:gridSpan w:val="6"/>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环江毛南族自治县职业技术学校</w:t>
            </w:r>
          </w:p>
        </w:tc>
        <w:tc>
          <w:tcPr>
            <w:tcW w:w="579" w:type="pct"/>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72" w:type="pct"/>
            <w:gridSpan w:val="2"/>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268" w:hRule="atLeast"/>
        </w:trPr>
        <w:tc>
          <w:tcPr>
            <w:tcW w:w="1666"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收     入</w:t>
            </w:r>
          </w:p>
        </w:tc>
        <w:tc>
          <w:tcPr>
            <w:tcW w:w="3333" w:type="pct"/>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支     出</w:t>
            </w:r>
          </w:p>
        </w:tc>
      </w:tr>
      <w:tr>
        <w:tblPrEx>
          <w:tblCellMar>
            <w:top w:w="0" w:type="dxa"/>
            <w:left w:w="108" w:type="dxa"/>
            <w:bottom w:w="0" w:type="dxa"/>
            <w:right w:w="108" w:type="dxa"/>
          </w:tblCellMar>
        </w:tblPrEx>
        <w:trPr>
          <w:trHeight w:val="312" w:hRule="atLeast"/>
        </w:trPr>
        <w:tc>
          <w:tcPr>
            <w:tcW w:w="97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26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行次</w:t>
            </w:r>
          </w:p>
        </w:tc>
        <w:tc>
          <w:tcPr>
            <w:tcW w:w="43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金额</w:t>
            </w:r>
          </w:p>
        </w:tc>
        <w:tc>
          <w:tcPr>
            <w:tcW w:w="103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28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行次</w:t>
            </w:r>
          </w:p>
        </w:tc>
        <w:tc>
          <w:tcPr>
            <w:tcW w:w="361"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57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一般公共预算财政拨款</w:t>
            </w:r>
          </w:p>
        </w:tc>
        <w:tc>
          <w:tcPr>
            <w:tcW w:w="59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政府性基金预算财政拨款</w:t>
            </w:r>
          </w:p>
        </w:tc>
        <w:tc>
          <w:tcPr>
            <w:tcW w:w="48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国有资本经营预算财政拨款</w:t>
            </w:r>
          </w:p>
        </w:tc>
      </w:tr>
      <w:tr>
        <w:tblPrEx>
          <w:tblCellMar>
            <w:top w:w="0" w:type="dxa"/>
            <w:left w:w="108" w:type="dxa"/>
            <w:bottom w:w="0" w:type="dxa"/>
            <w:right w:w="108" w:type="dxa"/>
          </w:tblCellMar>
        </w:tblPrEx>
        <w:trPr>
          <w:trHeight w:val="536" w:hRule="atLeast"/>
        </w:trPr>
        <w:tc>
          <w:tcPr>
            <w:tcW w:w="97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6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43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03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8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61"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57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59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48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268" w:hRule="atLeast"/>
        </w:trPr>
        <w:tc>
          <w:tcPr>
            <w:tcW w:w="97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43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103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28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6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5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5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48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r>
      <w:tr>
        <w:tblPrEx>
          <w:tblCellMar>
            <w:top w:w="0" w:type="dxa"/>
            <w:left w:w="108" w:type="dxa"/>
            <w:bottom w:w="0" w:type="dxa"/>
            <w:right w:w="108" w:type="dxa"/>
          </w:tblCellMar>
        </w:tblPrEx>
        <w:trPr>
          <w:trHeight w:val="268" w:hRule="atLeast"/>
        </w:trPr>
        <w:tc>
          <w:tcPr>
            <w:tcW w:w="97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一、一般公共预算财政拨款</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w:t>
            </w:r>
          </w:p>
        </w:tc>
        <w:tc>
          <w:tcPr>
            <w:tcW w:w="43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3511.22</w:t>
            </w:r>
          </w:p>
        </w:tc>
        <w:tc>
          <w:tcPr>
            <w:tcW w:w="103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一、一般公共服务支出</w:t>
            </w:r>
          </w:p>
        </w:tc>
        <w:tc>
          <w:tcPr>
            <w:tcW w:w="28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33</w:t>
            </w:r>
          </w:p>
        </w:tc>
        <w:tc>
          <w:tcPr>
            <w:tcW w:w="36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32.81</w:t>
            </w:r>
          </w:p>
        </w:tc>
        <w:tc>
          <w:tcPr>
            <w:tcW w:w="5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32.81</w:t>
            </w:r>
          </w:p>
        </w:tc>
        <w:tc>
          <w:tcPr>
            <w:tcW w:w="5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48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97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二、政府性基金预算财政拨款</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w:t>
            </w:r>
          </w:p>
        </w:tc>
        <w:tc>
          <w:tcPr>
            <w:tcW w:w="43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03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二、外交支出</w:t>
            </w:r>
          </w:p>
        </w:tc>
        <w:tc>
          <w:tcPr>
            <w:tcW w:w="28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34</w:t>
            </w:r>
          </w:p>
        </w:tc>
        <w:tc>
          <w:tcPr>
            <w:tcW w:w="36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5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5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48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97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三、国有资本经营预算财政拨款</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3</w:t>
            </w:r>
          </w:p>
        </w:tc>
        <w:tc>
          <w:tcPr>
            <w:tcW w:w="43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03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三、国防支出</w:t>
            </w:r>
          </w:p>
        </w:tc>
        <w:tc>
          <w:tcPr>
            <w:tcW w:w="28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35</w:t>
            </w:r>
          </w:p>
        </w:tc>
        <w:tc>
          <w:tcPr>
            <w:tcW w:w="36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5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5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48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97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4</w:t>
            </w:r>
          </w:p>
        </w:tc>
        <w:tc>
          <w:tcPr>
            <w:tcW w:w="43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03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四、公共安全支出</w:t>
            </w:r>
          </w:p>
        </w:tc>
        <w:tc>
          <w:tcPr>
            <w:tcW w:w="28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36</w:t>
            </w:r>
          </w:p>
        </w:tc>
        <w:tc>
          <w:tcPr>
            <w:tcW w:w="36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5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5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48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97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5</w:t>
            </w:r>
          </w:p>
        </w:tc>
        <w:tc>
          <w:tcPr>
            <w:tcW w:w="43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03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五、教育支出</w:t>
            </w:r>
          </w:p>
        </w:tc>
        <w:tc>
          <w:tcPr>
            <w:tcW w:w="28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37</w:t>
            </w:r>
          </w:p>
        </w:tc>
        <w:tc>
          <w:tcPr>
            <w:tcW w:w="36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2668.76</w:t>
            </w:r>
          </w:p>
        </w:tc>
        <w:tc>
          <w:tcPr>
            <w:tcW w:w="5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2668.76</w:t>
            </w:r>
          </w:p>
        </w:tc>
        <w:tc>
          <w:tcPr>
            <w:tcW w:w="5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48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97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6</w:t>
            </w:r>
          </w:p>
        </w:tc>
        <w:tc>
          <w:tcPr>
            <w:tcW w:w="43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03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六、科学技术支出</w:t>
            </w:r>
          </w:p>
        </w:tc>
        <w:tc>
          <w:tcPr>
            <w:tcW w:w="28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38</w:t>
            </w:r>
          </w:p>
        </w:tc>
        <w:tc>
          <w:tcPr>
            <w:tcW w:w="36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5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5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48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97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7</w:t>
            </w:r>
          </w:p>
        </w:tc>
        <w:tc>
          <w:tcPr>
            <w:tcW w:w="43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03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七、文化旅游体育与传媒支出</w:t>
            </w:r>
          </w:p>
        </w:tc>
        <w:tc>
          <w:tcPr>
            <w:tcW w:w="28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39</w:t>
            </w:r>
          </w:p>
        </w:tc>
        <w:tc>
          <w:tcPr>
            <w:tcW w:w="36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5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5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48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97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8</w:t>
            </w:r>
          </w:p>
        </w:tc>
        <w:tc>
          <w:tcPr>
            <w:tcW w:w="43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03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八、社会保障和就业支出</w:t>
            </w:r>
          </w:p>
        </w:tc>
        <w:tc>
          <w:tcPr>
            <w:tcW w:w="28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40</w:t>
            </w:r>
          </w:p>
        </w:tc>
        <w:tc>
          <w:tcPr>
            <w:tcW w:w="36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241.55</w:t>
            </w:r>
          </w:p>
        </w:tc>
        <w:tc>
          <w:tcPr>
            <w:tcW w:w="5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241.55</w:t>
            </w:r>
          </w:p>
        </w:tc>
        <w:tc>
          <w:tcPr>
            <w:tcW w:w="5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48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97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9</w:t>
            </w:r>
          </w:p>
        </w:tc>
        <w:tc>
          <w:tcPr>
            <w:tcW w:w="43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03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九、卫生健康支出</w:t>
            </w:r>
          </w:p>
        </w:tc>
        <w:tc>
          <w:tcPr>
            <w:tcW w:w="28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41</w:t>
            </w:r>
          </w:p>
        </w:tc>
        <w:tc>
          <w:tcPr>
            <w:tcW w:w="36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5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5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48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97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10</w:t>
            </w:r>
          </w:p>
        </w:tc>
        <w:tc>
          <w:tcPr>
            <w:tcW w:w="43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03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十、节能环保支出</w:t>
            </w:r>
          </w:p>
        </w:tc>
        <w:tc>
          <w:tcPr>
            <w:tcW w:w="28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42</w:t>
            </w:r>
          </w:p>
        </w:tc>
        <w:tc>
          <w:tcPr>
            <w:tcW w:w="36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5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5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48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97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11</w:t>
            </w:r>
          </w:p>
        </w:tc>
        <w:tc>
          <w:tcPr>
            <w:tcW w:w="43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03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十一、城乡社区支出</w:t>
            </w:r>
          </w:p>
        </w:tc>
        <w:tc>
          <w:tcPr>
            <w:tcW w:w="28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43</w:t>
            </w:r>
          </w:p>
        </w:tc>
        <w:tc>
          <w:tcPr>
            <w:tcW w:w="36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5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5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48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97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12</w:t>
            </w:r>
          </w:p>
        </w:tc>
        <w:tc>
          <w:tcPr>
            <w:tcW w:w="43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03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十二、农林水支出</w:t>
            </w:r>
          </w:p>
        </w:tc>
        <w:tc>
          <w:tcPr>
            <w:tcW w:w="28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44</w:t>
            </w:r>
          </w:p>
        </w:tc>
        <w:tc>
          <w:tcPr>
            <w:tcW w:w="36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5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5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48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97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13</w:t>
            </w:r>
          </w:p>
        </w:tc>
        <w:tc>
          <w:tcPr>
            <w:tcW w:w="43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03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十三、交通运输支出</w:t>
            </w:r>
          </w:p>
        </w:tc>
        <w:tc>
          <w:tcPr>
            <w:tcW w:w="28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45</w:t>
            </w:r>
          </w:p>
        </w:tc>
        <w:tc>
          <w:tcPr>
            <w:tcW w:w="36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5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5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48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97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14</w:t>
            </w:r>
          </w:p>
        </w:tc>
        <w:tc>
          <w:tcPr>
            <w:tcW w:w="43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03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十四、资源勘探工业信息等支出</w:t>
            </w:r>
          </w:p>
        </w:tc>
        <w:tc>
          <w:tcPr>
            <w:tcW w:w="28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46</w:t>
            </w:r>
          </w:p>
        </w:tc>
        <w:tc>
          <w:tcPr>
            <w:tcW w:w="36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5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5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48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97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15</w:t>
            </w:r>
          </w:p>
        </w:tc>
        <w:tc>
          <w:tcPr>
            <w:tcW w:w="43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03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十五、商业服务业等支出</w:t>
            </w:r>
          </w:p>
        </w:tc>
        <w:tc>
          <w:tcPr>
            <w:tcW w:w="28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47</w:t>
            </w:r>
          </w:p>
        </w:tc>
        <w:tc>
          <w:tcPr>
            <w:tcW w:w="36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5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5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48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97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16</w:t>
            </w:r>
          </w:p>
        </w:tc>
        <w:tc>
          <w:tcPr>
            <w:tcW w:w="43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03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十六、金融支出</w:t>
            </w:r>
          </w:p>
        </w:tc>
        <w:tc>
          <w:tcPr>
            <w:tcW w:w="28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48</w:t>
            </w:r>
          </w:p>
        </w:tc>
        <w:tc>
          <w:tcPr>
            <w:tcW w:w="36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5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5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48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97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17</w:t>
            </w:r>
          </w:p>
        </w:tc>
        <w:tc>
          <w:tcPr>
            <w:tcW w:w="43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03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十七、援助其他地区支出</w:t>
            </w:r>
          </w:p>
        </w:tc>
        <w:tc>
          <w:tcPr>
            <w:tcW w:w="28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49</w:t>
            </w:r>
          </w:p>
        </w:tc>
        <w:tc>
          <w:tcPr>
            <w:tcW w:w="36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5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5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48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97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18</w:t>
            </w:r>
          </w:p>
        </w:tc>
        <w:tc>
          <w:tcPr>
            <w:tcW w:w="43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03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十八、自然资源海洋气象等支出</w:t>
            </w:r>
          </w:p>
        </w:tc>
        <w:tc>
          <w:tcPr>
            <w:tcW w:w="28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50</w:t>
            </w:r>
          </w:p>
        </w:tc>
        <w:tc>
          <w:tcPr>
            <w:tcW w:w="36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5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5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48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97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19</w:t>
            </w:r>
          </w:p>
        </w:tc>
        <w:tc>
          <w:tcPr>
            <w:tcW w:w="43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03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十九、住房保障支出</w:t>
            </w:r>
          </w:p>
        </w:tc>
        <w:tc>
          <w:tcPr>
            <w:tcW w:w="28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51</w:t>
            </w:r>
          </w:p>
        </w:tc>
        <w:tc>
          <w:tcPr>
            <w:tcW w:w="36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179.89</w:t>
            </w:r>
          </w:p>
        </w:tc>
        <w:tc>
          <w:tcPr>
            <w:tcW w:w="5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179.89</w:t>
            </w:r>
          </w:p>
        </w:tc>
        <w:tc>
          <w:tcPr>
            <w:tcW w:w="5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48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97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20</w:t>
            </w:r>
          </w:p>
        </w:tc>
        <w:tc>
          <w:tcPr>
            <w:tcW w:w="43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03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二十、粮油物资储备支出</w:t>
            </w:r>
          </w:p>
        </w:tc>
        <w:tc>
          <w:tcPr>
            <w:tcW w:w="28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52</w:t>
            </w:r>
          </w:p>
        </w:tc>
        <w:tc>
          <w:tcPr>
            <w:tcW w:w="36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5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5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48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97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21</w:t>
            </w:r>
          </w:p>
        </w:tc>
        <w:tc>
          <w:tcPr>
            <w:tcW w:w="43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03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二十一、国有资本经营预算支出</w:t>
            </w:r>
          </w:p>
        </w:tc>
        <w:tc>
          <w:tcPr>
            <w:tcW w:w="28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53</w:t>
            </w:r>
          </w:p>
        </w:tc>
        <w:tc>
          <w:tcPr>
            <w:tcW w:w="36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5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5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48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97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22</w:t>
            </w:r>
          </w:p>
        </w:tc>
        <w:tc>
          <w:tcPr>
            <w:tcW w:w="43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03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二十二、灾害防治及应急管理支出</w:t>
            </w:r>
          </w:p>
        </w:tc>
        <w:tc>
          <w:tcPr>
            <w:tcW w:w="28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54</w:t>
            </w:r>
          </w:p>
        </w:tc>
        <w:tc>
          <w:tcPr>
            <w:tcW w:w="36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5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5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48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97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23</w:t>
            </w:r>
          </w:p>
        </w:tc>
        <w:tc>
          <w:tcPr>
            <w:tcW w:w="43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03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二十三、其他支出</w:t>
            </w:r>
          </w:p>
        </w:tc>
        <w:tc>
          <w:tcPr>
            <w:tcW w:w="28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55</w:t>
            </w:r>
          </w:p>
        </w:tc>
        <w:tc>
          <w:tcPr>
            <w:tcW w:w="36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388.21</w:t>
            </w:r>
          </w:p>
        </w:tc>
        <w:tc>
          <w:tcPr>
            <w:tcW w:w="5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388.21</w:t>
            </w:r>
          </w:p>
        </w:tc>
        <w:tc>
          <w:tcPr>
            <w:tcW w:w="5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48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97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24</w:t>
            </w:r>
          </w:p>
        </w:tc>
        <w:tc>
          <w:tcPr>
            <w:tcW w:w="43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03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二十四、债务还本支出</w:t>
            </w:r>
          </w:p>
        </w:tc>
        <w:tc>
          <w:tcPr>
            <w:tcW w:w="28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56</w:t>
            </w:r>
          </w:p>
        </w:tc>
        <w:tc>
          <w:tcPr>
            <w:tcW w:w="36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5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5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48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97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25</w:t>
            </w:r>
          </w:p>
        </w:tc>
        <w:tc>
          <w:tcPr>
            <w:tcW w:w="43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03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二十五、债务付息支出</w:t>
            </w:r>
          </w:p>
        </w:tc>
        <w:tc>
          <w:tcPr>
            <w:tcW w:w="28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57</w:t>
            </w:r>
          </w:p>
        </w:tc>
        <w:tc>
          <w:tcPr>
            <w:tcW w:w="36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5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5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48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97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26</w:t>
            </w:r>
          </w:p>
        </w:tc>
        <w:tc>
          <w:tcPr>
            <w:tcW w:w="43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03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二十六、抗疫特别国债安排的支出</w:t>
            </w:r>
          </w:p>
        </w:tc>
        <w:tc>
          <w:tcPr>
            <w:tcW w:w="28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58</w:t>
            </w:r>
          </w:p>
        </w:tc>
        <w:tc>
          <w:tcPr>
            <w:tcW w:w="36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5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5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48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97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本年收入合计</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27</w:t>
            </w:r>
          </w:p>
        </w:tc>
        <w:tc>
          <w:tcPr>
            <w:tcW w:w="43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3511.22</w:t>
            </w:r>
          </w:p>
        </w:tc>
        <w:tc>
          <w:tcPr>
            <w:tcW w:w="103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本年支出合计</w:t>
            </w:r>
          </w:p>
        </w:tc>
        <w:tc>
          <w:tcPr>
            <w:tcW w:w="28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59</w:t>
            </w:r>
          </w:p>
        </w:tc>
        <w:tc>
          <w:tcPr>
            <w:tcW w:w="36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3511.22</w:t>
            </w:r>
          </w:p>
        </w:tc>
        <w:tc>
          <w:tcPr>
            <w:tcW w:w="5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3511.22</w:t>
            </w:r>
          </w:p>
        </w:tc>
        <w:tc>
          <w:tcPr>
            <w:tcW w:w="5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48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97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年初财政拨款结转和结余</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28</w:t>
            </w:r>
          </w:p>
        </w:tc>
        <w:tc>
          <w:tcPr>
            <w:tcW w:w="43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03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年末财政拨款结转和结余</w:t>
            </w:r>
          </w:p>
        </w:tc>
        <w:tc>
          <w:tcPr>
            <w:tcW w:w="28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60</w:t>
            </w:r>
          </w:p>
        </w:tc>
        <w:tc>
          <w:tcPr>
            <w:tcW w:w="36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5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5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48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97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 xml:space="preserve">  一般公共预算财政拨款</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29</w:t>
            </w:r>
          </w:p>
        </w:tc>
        <w:tc>
          <w:tcPr>
            <w:tcW w:w="43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03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p>
        </w:tc>
        <w:tc>
          <w:tcPr>
            <w:tcW w:w="28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61</w:t>
            </w:r>
          </w:p>
        </w:tc>
        <w:tc>
          <w:tcPr>
            <w:tcW w:w="36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5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5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48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97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 xml:space="preserve">  政府性基金预算财政拨款</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30</w:t>
            </w:r>
          </w:p>
        </w:tc>
        <w:tc>
          <w:tcPr>
            <w:tcW w:w="43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03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p>
        </w:tc>
        <w:tc>
          <w:tcPr>
            <w:tcW w:w="28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62</w:t>
            </w:r>
          </w:p>
        </w:tc>
        <w:tc>
          <w:tcPr>
            <w:tcW w:w="36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5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5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48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97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 xml:space="preserve">  国有资本经营预算财政拨款</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31</w:t>
            </w:r>
          </w:p>
        </w:tc>
        <w:tc>
          <w:tcPr>
            <w:tcW w:w="43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03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p>
        </w:tc>
        <w:tc>
          <w:tcPr>
            <w:tcW w:w="28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63</w:t>
            </w:r>
          </w:p>
        </w:tc>
        <w:tc>
          <w:tcPr>
            <w:tcW w:w="36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5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5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48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97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总计</w:t>
            </w:r>
          </w:p>
        </w:tc>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32</w:t>
            </w:r>
          </w:p>
        </w:tc>
        <w:tc>
          <w:tcPr>
            <w:tcW w:w="43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3511.22</w:t>
            </w:r>
          </w:p>
        </w:tc>
        <w:tc>
          <w:tcPr>
            <w:tcW w:w="103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总计</w:t>
            </w:r>
          </w:p>
        </w:tc>
        <w:tc>
          <w:tcPr>
            <w:tcW w:w="28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64</w:t>
            </w:r>
          </w:p>
        </w:tc>
        <w:tc>
          <w:tcPr>
            <w:tcW w:w="36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3511.22</w:t>
            </w:r>
          </w:p>
        </w:tc>
        <w:tc>
          <w:tcPr>
            <w:tcW w:w="5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3511.22</w:t>
            </w:r>
          </w:p>
        </w:tc>
        <w:tc>
          <w:tcPr>
            <w:tcW w:w="5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48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4517" w:type="pct"/>
            <w:gridSpan w:val="8"/>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注：本表反映部门本年度一般公共预算财政拨款、政府性基金预算财政拨款和国有资本经营预算财政拨款的总收支和年末结转结余情况。</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p>
        </w:tc>
        <w:tc>
          <w:tcPr>
            <w:tcW w:w="482" w:type="pct"/>
            <w:tcBorders>
              <w:top w:val="single" w:color="auto" w:sz="4" w:space="0"/>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0"/>
                <w:szCs w:val="20"/>
                <w:highlight w:val="none"/>
              </w:rPr>
            </w:pPr>
          </w:p>
        </w:tc>
      </w:tr>
    </w:tbl>
    <w:p>
      <w:pPr>
        <w:rPr>
          <w:rFonts w:hint="eastAsia" w:ascii="仿宋" w:hAnsi="仿宋" w:eastAsia="仿宋" w:cs="仿宋"/>
          <w:sz w:val="24"/>
          <w:highlight w:val="none"/>
        </w:rPr>
      </w:pPr>
      <w:r>
        <w:rPr>
          <w:rFonts w:hint="default" w:ascii="Times New Roman" w:hAnsi="Times New Roman" w:eastAsia="仿宋_GB2312" w:cs="Times New Roman"/>
          <w:sz w:val="32"/>
          <w:szCs w:val="32"/>
        </w:rPr>
        <w:t>表五：</w:t>
      </w:r>
      <w:r>
        <w:rPr>
          <w:rFonts w:hint="eastAsia" w:ascii="Times New Roman" w:hAnsi="Times New Roman" w:eastAsia="仿宋_GB2312" w:cs="Times New Roman"/>
          <w:sz w:val="32"/>
          <w:szCs w:val="32"/>
          <w:lang w:val="en-US" w:eastAsia="zh-CN"/>
        </w:rPr>
        <w:t>Z07 一般公共预算财政拨款支出决算表(公开05表)</w:t>
      </w:r>
    </w:p>
    <w:tbl>
      <w:tblPr>
        <w:tblStyle w:val="6"/>
        <w:tblW w:w="5000" w:type="pct"/>
        <w:tblInd w:w="0" w:type="dxa"/>
        <w:tblLayout w:type="autofit"/>
        <w:tblCellMar>
          <w:top w:w="0" w:type="dxa"/>
          <w:left w:w="108" w:type="dxa"/>
          <w:bottom w:w="0" w:type="dxa"/>
          <w:right w:w="108" w:type="dxa"/>
        </w:tblCellMar>
      </w:tblPr>
      <w:tblGrid>
        <w:gridCol w:w="1756"/>
        <w:gridCol w:w="387"/>
        <w:gridCol w:w="336"/>
        <w:gridCol w:w="336"/>
        <w:gridCol w:w="2897"/>
        <w:gridCol w:w="2936"/>
        <w:gridCol w:w="2870"/>
        <w:gridCol w:w="2656"/>
      </w:tblGrid>
      <w:tr>
        <w:tblPrEx>
          <w:tblCellMar>
            <w:top w:w="0" w:type="dxa"/>
            <w:left w:w="108" w:type="dxa"/>
            <w:bottom w:w="0" w:type="dxa"/>
            <w:right w:w="108" w:type="dxa"/>
          </w:tblCellMar>
        </w:tblPrEx>
        <w:trPr>
          <w:trHeight w:val="693" w:hRule="atLeast"/>
        </w:trPr>
        <w:tc>
          <w:tcPr>
            <w:tcW w:w="5000" w:type="pct"/>
            <w:gridSpan w:val="8"/>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一般公共预算财政拨款支出决算表</w:t>
            </w:r>
          </w:p>
        </w:tc>
      </w:tr>
      <w:tr>
        <w:tblPrEx>
          <w:tblCellMar>
            <w:top w:w="0" w:type="dxa"/>
            <w:left w:w="108" w:type="dxa"/>
            <w:bottom w:w="0" w:type="dxa"/>
            <w:right w:w="108" w:type="dxa"/>
          </w:tblCellMar>
        </w:tblPrEx>
        <w:trPr>
          <w:trHeight w:val="346" w:hRule="atLeast"/>
        </w:trPr>
        <w:tc>
          <w:tcPr>
            <w:tcW w:w="816" w:type="pct"/>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85"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85"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733"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34"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11"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33" w:type="pct"/>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公开05表</w:t>
            </w:r>
          </w:p>
        </w:tc>
      </w:tr>
      <w:tr>
        <w:tblPrEx>
          <w:tblCellMar>
            <w:top w:w="0" w:type="dxa"/>
            <w:left w:w="108" w:type="dxa"/>
            <w:bottom w:w="0" w:type="dxa"/>
            <w:right w:w="108" w:type="dxa"/>
          </w:tblCellMar>
        </w:tblPrEx>
        <w:trPr>
          <w:trHeight w:val="346" w:hRule="atLeast"/>
        </w:trPr>
        <w:tc>
          <w:tcPr>
            <w:tcW w:w="2854" w:type="pct"/>
            <w:gridSpan w:val="6"/>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环江毛南族自治县职业技术学校</w:t>
            </w:r>
          </w:p>
        </w:tc>
        <w:tc>
          <w:tcPr>
            <w:tcW w:w="1111" w:type="pct"/>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33" w:type="pct"/>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58" w:hRule="atLeast"/>
        </w:trPr>
        <w:tc>
          <w:tcPr>
            <w:tcW w:w="1720" w:type="pct"/>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3279"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本年支出</w:t>
            </w:r>
          </w:p>
        </w:tc>
      </w:tr>
      <w:tr>
        <w:tblPrEx>
          <w:tblCellMar>
            <w:top w:w="0" w:type="dxa"/>
            <w:left w:w="108" w:type="dxa"/>
            <w:bottom w:w="0" w:type="dxa"/>
            <w:right w:w="108" w:type="dxa"/>
          </w:tblCellMar>
        </w:tblPrEx>
        <w:trPr>
          <w:trHeight w:val="353" w:hRule="atLeast"/>
        </w:trPr>
        <w:tc>
          <w:tcPr>
            <w:tcW w:w="71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1001" w:type="pct"/>
            <w:gridSpan w:val="4"/>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13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小计</w:t>
            </w:r>
          </w:p>
        </w:tc>
        <w:tc>
          <w:tcPr>
            <w:tcW w:w="111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基本支出</w:t>
            </w:r>
          </w:p>
        </w:tc>
        <w:tc>
          <w:tcPr>
            <w:tcW w:w="103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项目支出</w:t>
            </w:r>
          </w:p>
        </w:tc>
      </w:tr>
      <w:tr>
        <w:tblPrEx>
          <w:tblCellMar>
            <w:top w:w="0" w:type="dxa"/>
            <w:left w:w="108" w:type="dxa"/>
            <w:bottom w:w="0" w:type="dxa"/>
            <w:right w:w="108" w:type="dxa"/>
          </w:tblCellMar>
        </w:tblPrEx>
        <w:trPr>
          <w:trHeight w:val="319" w:hRule="atLeast"/>
        </w:trPr>
        <w:tc>
          <w:tcPr>
            <w:tcW w:w="71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001" w:type="pct"/>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3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1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03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53" w:hRule="atLeast"/>
        </w:trPr>
        <w:tc>
          <w:tcPr>
            <w:tcW w:w="71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001" w:type="pct"/>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3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1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03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58" w:hRule="atLeast"/>
        </w:trPr>
        <w:tc>
          <w:tcPr>
            <w:tcW w:w="1720" w:type="pct"/>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113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111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103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r>
      <w:tr>
        <w:tblPrEx>
          <w:tblCellMar>
            <w:top w:w="0" w:type="dxa"/>
            <w:left w:w="108" w:type="dxa"/>
            <w:bottom w:w="0" w:type="dxa"/>
            <w:right w:w="108" w:type="dxa"/>
          </w:tblCellMar>
        </w:tblPrEx>
        <w:trPr>
          <w:trHeight w:val="358" w:hRule="atLeast"/>
        </w:trPr>
        <w:tc>
          <w:tcPr>
            <w:tcW w:w="1720" w:type="pct"/>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13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default" w:ascii="宋体" w:hAnsi="宋体" w:eastAsia="宋体" w:cs="宋体"/>
                <w:b/>
                <w:bCs/>
                <w:color w:val="000000"/>
                <w:sz w:val="22"/>
                <w:szCs w:val="22"/>
                <w:highlight w:val="none"/>
              </w:rPr>
              <w:t>3511.22</w:t>
            </w:r>
          </w:p>
        </w:tc>
        <w:tc>
          <w:tcPr>
            <w:tcW w:w="111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2421.50</w:t>
            </w:r>
          </w:p>
        </w:tc>
        <w:tc>
          <w:tcPr>
            <w:tcW w:w="103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1089.72</w:t>
            </w:r>
          </w:p>
        </w:tc>
      </w:tr>
      <w:tr>
        <w:tblPrEx>
          <w:tblCellMar>
            <w:top w:w="0" w:type="dxa"/>
            <w:left w:w="108" w:type="dxa"/>
            <w:bottom w:w="0" w:type="dxa"/>
            <w:right w:w="108" w:type="dxa"/>
          </w:tblCellMar>
        </w:tblPrEx>
        <w:trPr>
          <w:trHeight w:val="358" w:hRule="atLeast"/>
        </w:trPr>
        <w:tc>
          <w:tcPr>
            <w:tcW w:w="71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201</w:t>
            </w:r>
          </w:p>
        </w:tc>
        <w:tc>
          <w:tcPr>
            <w:tcW w:w="1001"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一般公共服务支出</w:t>
            </w:r>
          </w:p>
        </w:tc>
        <w:tc>
          <w:tcPr>
            <w:tcW w:w="113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32.81</w:t>
            </w:r>
          </w:p>
        </w:tc>
        <w:tc>
          <w:tcPr>
            <w:tcW w:w="111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32.81</w:t>
            </w:r>
          </w:p>
        </w:tc>
        <w:tc>
          <w:tcPr>
            <w:tcW w:w="103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58" w:hRule="atLeast"/>
        </w:trPr>
        <w:tc>
          <w:tcPr>
            <w:tcW w:w="71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20129</w:t>
            </w:r>
          </w:p>
        </w:tc>
        <w:tc>
          <w:tcPr>
            <w:tcW w:w="1001"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群众团体事务</w:t>
            </w:r>
          </w:p>
        </w:tc>
        <w:tc>
          <w:tcPr>
            <w:tcW w:w="113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32.81</w:t>
            </w:r>
          </w:p>
        </w:tc>
        <w:tc>
          <w:tcPr>
            <w:tcW w:w="111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32.81</w:t>
            </w:r>
          </w:p>
        </w:tc>
        <w:tc>
          <w:tcPr>
            <w:tcW w:w="103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58" w:hRule="atLeast"/>
        </w:trPr>
        <w:tc>
          <w:tcPr>
            <w:tcW w:w="71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2012999</w:t>
            </w:r>
          </w:p>
        </w:tc>
        <w:tc>
          <w:tcPr>
            <w:tcW w:w="1001"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 xml:space="preserve">  其他群众团体事务支出</w:t>
            </w:r>
          </w:p>
        </w:tc>
        <w:tc>
          <w:tcPr>
            <w:tcW w:w="113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32.81</w:t>
            </w:r>
          </w:p>
        </w:tc>
        <w:tc>
          <w:tcPr>
            <w:tcW w:w="111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32.81</w:t>
            </w:r>
          </w:p>
        </w:tc>
        <w:tc>
          <w:tcPr>
            <w:tcW w:w="103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58" w:hRule="atLeast"/>
        </w:trPr>
        <w:tc>
          <w:tcPr>
            <w:tcW w:w="71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205</w:t>
            </w:r>
          </w:p>
        </w:tc>
        <w:tc>
          <w:tcPr>
            <w:tcW w:w="1001"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教育支出</w:t>
            </w:r>
          </w:p>
        </w:tc>
        <w:tc>
          <w:tcPr>
            <w:tcW w:w="113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2668.76</w:t>
            </w:r>
          </w:p>
        </w:tc>
        <w:tc>
          <w:tcPr>
            <w:tcW w:w="111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1735.24</w:t>
            </w:r>
          </w:p>
        </w:tc>
        <w:tc>
          <w:tcPr>
            <w:tcW w:w="103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933.52</w:t>
            </w:r>
          </w:p>
        </w:tc>
      </w:tr>
      <w:tr>
        <w:tblPrEx>
          <w:tblCellMar>
            <w:top w:w="0" w:type="dxa"/>
            <w:left w:w="108" w:type="dxa"/>
            <w:bottom w:w="0" w:type="dxa"/>
            <w:right w:w="108" w:type="dxa"/>
          </w:tblCellMar>
        </w:tblPrEx>
        <w:trPr>
          <w:trHeight w:val="358" w:hRule="atLeast"/>
        </w:trPr>
        <w:tc>
          <w:tcPr>
            <w:tcW w:w="71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20502</w:t>
            </w:r>
          </w:p>
        </w:tc>
        <w:tc>
          <w:tcPr>
            <w:tcW w:w="1001"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普通教育</w:t>
            </w:r>
          </w:p>
        </w:tc>
        <w:tc>
          <w:tcPr>
            <w:tcW w:w="113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1964.98</w:t>
            </w:r>
          </w:p>
        </w:tc>
        <w:tc>
          <w:tcPr>
            <w:tcW w:w="111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1309.51</w:t>
            </w:r>
          </w:p>
        </w:tc>
        <w:tc>
          <w:tcPr>
            <w:tcW w:w="103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655.47</w:t>
            </w:r>
          </w:p>
        </w:tc>
      </w:tr>
      <w:tr>
        <w:tblPrEx>
          <w:tblCellMar>
            <w:top w:w="0" w:type="dxa"/>
            <w:left w:w="108" w:type="dxa"/>
            <w:bottom w:w="0" w:type="dxa"/>
            <w:right w:w="108" w:type="dxa"/>
          </w:tblCellMar>
        </w:tblPrEx>
        <w:trPr>
          <w:trHeight w:val="358" w:hRule="atLeast"/>
        </w:trPr>
        <w:tc>
          <w:tcPr>
            <w:tcW w:w="71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2050204</w:t>
            </w:r>
          </w:p>
        </w:tc>
        <w:tc>
          <w:tcPr>
            <w:tcW w:w="1001"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 xml:space="preserve">  高中教育</w:t>
            </w:r>
          </w:p>
        </w:tc>
        <w:tc>
          <w:tcPr>
            <w:tcW w:w="113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1688.61</w:t>
            </w:r>
          </w:p>
        </w:tc>
        <w:tc>
          <w:tcPr>
            <w:tcW w:w="111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1308.61</w:t>
            </w:r>
          </w:p>
        </w:tc>
        <w:tc>
          <w:tcPr>
            <w:tcW w:w="103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380.00</w:t>
            </w:r>
          </w:p>
        </w:tc>
      </w:tr>
      <w:tr>
        <w:tblPrEx>
          <w:tblCellMar>
            <w:top w:w="0" w:type="dxa"/>
            <w:left w:w="108" w:type="dxa"/>
            <w:bottom w:w="0" w:type="dxa"/>
            <w:right w:w="108" w:type="dxa"/>
          </w:tblCellMar>
        </w:tblPrEx>
        <w:trPr>
          <w:trHeight w:val="358" w:hRule="atLeast"/>
        </w:trPr>
        <w:tc>
          <w:tcPr>
            <w:tcW w:w="71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2050299</w:t>
            </w:r>
          </w:p>
        </w:tc>
        <w:tc>
          <w:tcPr>
            <w:tcW w:w="1001"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 xml:space="preserve">  其他普通教育支出</w:t>
            </w:r>
          </w:p>
        </w:tc>
        <w:tc>
          <w:tcPr>
            <w:tcW w:w="113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276.38</w:t>
            </w:r>
          </w:p>
        </w:tc>
        <w:tc>
          <w:tcPr>
            <w:tcW w:w="111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0.90</w:t>
            </w:r>
          </w:p>
        </w:tc>
        <w:tc>
          <w:tcPr>
            <w:tcW w:w="103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275.48</w:t>
            </w:r>
          </w:p>
        </w:tc>
      </w:tr>
      <w:tr>
        <w:tblPrEx>
          <w:tblCellMar>
            <w:top w:w="0" w:type="dxa"/>
            <w:left w:w="108" w:type="dxa"/>
            <w:bottom w:w="0" w:type="dxa"/>
            <w:right w:w="108" w:type="dxa"/>
          </w:tblCellMar>
        </w:tblPrEx>
        <w:trPr>
          <w:trHeight w:val="358" w:hRule="atLeast"/>
        </w:trPr>
        <w:tc>
          <w:tcPr>
            <w:tcW w:w="71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20503</w:t>
            </w:r>
          </w:p>
        </w:tc>
        <w:tc>
          <w:tcPr>
            <w:tcW w:w="1001"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职业教育</w:t>
            </w:r>
          </w:p>
        </w:tc>
        <w:tc>
          <w:tcPr>
            <w:tcW w:w="113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697.61</w:t>
            </w:r>
          </w:p>
        </w:tc>
        <w:tc>
          <w:tcPr>
            <w:tcW w:w="111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425.73</w:t>
            </w:r>
          </w:p>
        </w:tc>
        <w:tc>
          <w:tcPr>
            <w:tcW w:w="103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271.88</w:t>
            </w:r>
          </w:p>
        </w:tc>
      </w:tr>
      <w:tr>
        <w:tblPrEx>
          <w:tblCellMar>
            <w:top w:w="0" w:type="dxa"/>
            <w:left w:w="108" w:type="dxa"/>
            <w:bottom w:w="0" w:type="dxa"/>
            <w:right w:w="108" w:type="dxa"/>
          </w:tblCellMar>
        </w:tblPrEx>
        <w:trPr>
          <w:trHeight w:val="358" w:hRule="atLeast"/>
        </w:trPr>
        <w:tc>
          <w:tcPr>
            <w:tcW w:w="71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2050302</w:t>
            </w:r>
          </w:p>
        </w:tc>
        <w:tc>
          <w:tcPr>
            <w:tcW w:w="1001"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 xml:space="preserve">  中等职业教育</w:t>
            </w:r>
          </w:p>
        </w:tc>
        <w:tc>
          <w:tcPr>
            <w:tcW w:w="113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697.61</w:t>
            </w:r>
          </w:p>
        </w:tc>
        <w:tc>
          <w:tcPr>
            <w:tcW w:w="111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425.73</w:t>
            </w:r>
          </w:p>
        </w:tc>
        <w:tc>
          <w:tcPr>
            <w:tcW w:w="103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271.88</w:t>
            </w:r>
          </w:p>
        </w:tc>
      </w:tr>
      <w:tr>
        <w:tblPrEx>
          <w:tblCellMar>
            <w:top w:w="0" w:type="dxa"/>
            <w:left w:w="108" w:type="dxa"/>
            <w:bottom w:w="0" w:type="dxa"/>
            <w:right w:w="108" w:type="dxa"/>
          </w:tblCellMar>
        </w:tblPrEx>
        <w:trPr>
          <w:trHeight w:val="358" w:hRule="atLeast"/>
        </w:trPr>
        <w:tc>
          <w:tcPr>
            <w:tcW w:w="71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20509</w:t>
            </w:r>
          </w:p>
        </w:tc>
        <w:tc>
          <w:tcPr>
            <w:tcW w:w="1001"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教育费附加安排的支出</w:t>
            </w:r>
          </w:p>
        </w:tc>
        <w:tc>
          <w:tcPr>
            <w:tcW w:w="113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6.17</w:t>
            </w:r>
          </w:p>
        </w:tc>
        <w:tc>
          <w:tcPr>
            <w:tcW w:w="111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03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6.17</w:t>
            </w:r>
          </w:p>
        </w:tc>
      </w:tr>
      <w:tr>
        <w:tblPrEx>
          <w:tblCellMar>
            <w:top w:w="0" w:type="dxa"/>
            <w:left w:w="108" w:type="dxa"/>
            <w:bottom w:w="0" w:type="dxa"/>
            <w:right w:w="108" w:type="dxa"/>
          </w:tblCellMar>
        </w:tblPrEx>
        <w:trPr>
          <w:trHeight w:val="358" w:hRule="atLeast"/>
        </w:trPr>
        <w:tc>
          <w:tcPr>
            <w:tcW w:w="71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2050999</w:t>
            </w:r>
          </w:p>
        </w:tc>
        <w:tc>
          <w:tcPr>
            <w:tcW w:w="1001"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 xml:space="preserve">  其他教育费附加安排的支出</w:t>
            </w:r>
          </w:p>
        </w:tc>
        <w:tc>
          <w:tcPr>
            <w:tcW w:w="113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6.17</w:t>
            </w:r>
          </w:p>
        </w:tc>
        <w:tc>
          <w:tcPr>
            <w:tcW w:w="111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03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6.17</w:t>
            </w:r>
          </w:p>
        </w:tc>
      </w:tr>
      <w:tr>
        <w:tblPrEx>
          <w:tblCellMar>
            <w:top w:w="0" w:type="dxa"/>
            <w:left w:w="108" w:type="dxa"/>
            <w:bottom w:w="0" w:type="dxa"/>
            <w:right w:w="108" w:type="dxa"/>
          </w:tblCellMar>
        </w:tblPrEx>
        <w:trPr>
          <w:trHeight w:val="358" w:hRule="atLeast"/>
        </w:trPr>
        <w:tc>
          <w:tcPr>
            <w:tcW w:w="71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208</w:t>
            </w:r>
          </w:p>
        </w:tc>
        <w:tc>
          <w:tcPr>
            <w:tcW w:w="1001"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社会保障和就业支出</w:t>
            </w:r>
          </w:p>
        </w:tc>
        <w:tc>
          <w:tcPr>
            <w:tcW w:w="113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241.55</w:t>
            </w:r>
          </w:p>
        </w:tc>
        <w:tc>
          <w:tcPr>
            <w:tcW w:w="111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241.55</w:t>
            </w:r>
          </w:p>
        </w:tc>
        <w:tc>
          <w:tcPr>
            <w:tcW w:w="103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58" w:hRule="atLeast"/>
        </w:trPr>
        <w:tc>
          <w:tcPr>
            <w:tcW w:w="71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20805</w:t>
            </w:r>
          </w:p>
        </w:tc>
        <w:tc>
          <w:tcPr>
            <w:tcW w:w="1001"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行政事业单位养老支出</w:t>
            </w:r>
          </w:p>
        </w:tc>
        <w:tc>
          <w:tcPr>
            <w:tcW w:w="113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241.55</w:t>
            </w:r>
          </w:p>
        </w:tc>
        <w:tc>
          <w:tcPr>
            <w:tcW w:w="111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241.55</w:t>
            </w:r>
          </w:p>
        </w:tc>
        <w:tc>
          <w:tcPr>
            <w:tcW w:w="103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58" w:hRule="atLeast"/>
        </w:trPr>
        <w:tc>
          <w:tcPr>
            <w:tcW w:w="71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2080505</w:t>
            </w:r>
          </w:p>
        </w:tc>
        <w:tc>
          <w:tcPr>
            <w:tcW w:w="1001"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 xml:space="preserve">  机关事业单位基本养老保险缴费支出</w:t>
            </w:r>
          </w:p>
        </w:tc>
        <w:tc>
          <w:tcPr>
            <w:tcW w:w="113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241.55</w:t>
            </w:r>
          </w:p>
        </w:tc>
        <w:tc>
          <w:tcPr>
            <w:tcW w:w="111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241.55</w:t>
            </w:r>
          </w:p>
        </w:tc>
        <w:tc>
          <w:tcPr>
            <w:tcW w:w="103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58" w:hRule="atLeast"/>
        </w:trPr>
        <w:tc>
          <w:tcPr>
            <w:tcW w:w="71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221</w:t>
            </w:r>
          </w:p>
        </w:tc>
        <w:tc>
          <w:tcPr>
            <w:tcW w:w="1001"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住房保障支出</w:t>
            </w:r>
          </w:p>
        </w:tc>
        <w:tc>
          <w:tcPr>
            <w:tcW w:w="113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179.89</w:t>
            </w:r>
          </w:p>
        </w:tc>
        <w:tc>
          <w:tcPr>
            <w:tcW w:w="111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179.89</w:t>
            </w:r>
          </w:p>
        </w:tc>
        <w:tc>
          <w:tcPr>
            <w:tcW w:w="103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58" w:hRule="atLeast"/>
        </w:trPr>
        <w:tc>
          <w:tcPr>
            <w:tcW w:w="71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22102</w:t>
            </w:r>
          </w:p>
        </w:tc>
        <w:tc>
          <w:tcPr>
            <w:tcW w:w="1001"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住房改革支出</w:t>
            </w:r>
          </w:p>
        </w:tc>
        <w:tc>
          <w:tcPr>
            <w:tcW w:w="113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179.89</w:t>
            </w:r>
          </w:p>
        </w:tc>
        <w:tc>
          <w:tcPr>
            <w:tcW w:w="111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179.89</w:t>
            </w:r>
          </w:p>
        </w:tc>
        <w:tc>
          <w:tcPr>
            <w:tcW w:w="103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58" w:hRule="atLeast"/>
        </w:trPr>
        <w:tc>
          <w:tcPr>
            <w:tcW w:w="71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2210201</w:t>
            </w:r>
          </w:p>
        </w:tc>
        <w:tc>
          <w:tcPr>
            <w:tcW w:w="1001"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 xml:space="preserve">  住房公积金</w:t>
            </w:r>
          </w:p>
        </w:tc>
        <w:tc>
          <w:tcPr>
            <w:tcW w:w="113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179.89</w:t>
            </w:r>
          </w:p>
        </w:tc>
        <w:tc>
          <w:tcPr>
            <w:tcW w:w="111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179.89</w:t>
            </w:r>
          </w:p>
        </w:tc>
        <w:tc>
          <w:tcPr>
            <w:tcW w:w="103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58" w:hRule="atLeast"/>
        </w:trPr>
        <w:tc>
          <w:tcPr>
            <w:tcW w:w="71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229</w:t>
            </w:r>
          </w:p>
        </w:tc>
        <w:tc>
          <w:tcPr>
            <w:tcW w:w="1001"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其他支出</w:t>
            </w:r>
          </w:p>
        </w:tc>
        <w:tc>
          <w:tcPr>
            <w:tcW w:w="113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388.21</w:t>
            </w:r>
          </w:p>
        </w:tc>
        <w:tc>
          <w:tcPr>
            <w:tcW w:w="111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232.00</w:t>
            </w:r>
          </w:p>
        </w:tc>
        <w:tc>
          <w:tcPr>
            <w:tcW w:w="103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156.20</w:t>
            </w:r>
          </w:p>
        </w:tc>
      </w:tr>
      <w:tr>
        <w:tblPrEx>
          <w:tblCellMar>
            <w:top w:w="0" w:type="dxa"/>
            <w:left w:w="108" w:type="dxa"/>
            <w:bottom w:w="0" w:type="dxa"/>
            <w:right w:w="108" w:type="dxa"/>
          </w:tblCellMar>
        </w:tblPrEx>
        <w:trPr>
          <w:trHeight w:val="358" w:hRule="atLeast"/>
        </w:trPr>
        <w:tc>
          <w:tcPr>
            <w:tcW w:w="71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22999</w:t>
            </w:r>
          </w:p>
        </w:tc>
        <w:tc>
          <w:tcPr>
            <w:tcW w:w="1001"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其他支出</w:t>
            </w:r>
          </w:p>
        </w:tc>
        <w:tc>
          <w:tcPr>
            <w:tcW w:w="113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388.21</w:t>
            </w:r>
          </w:p>
        </w:tc>
        <w:tc>
          <w:tcPr>
            <w:tcW w:w="111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232.00</w:t>
            </w:r>
          </w:p>
        </w:tc>
        <w:tc>
          <w:tcPr>
            <w:tcW w:w="103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156.20</w:t>
            </w:r>
          </w:p>
        </w:tc>
      </w:tr>
      <w:tr>
        <w:tblPrEx>
          <w:tblCellMar>
            <w:top w:w="0" w:type="dxa"/>
            <w:left w:w="108" w:type="dxa"/>
            <w:bottom w:w="0" w:type="dxa"/>
            <w:right w:w="108" w:type="dxa"/>
          </w:tblCellMar>
        </w:tblPrEx>
        <w:trPr>
          <w:trHeight w:val="358" w:hRule="atLeast"/>
        </w:trPr>
        <w:tc>
          <w:tcPr>
            <w:tcW w:w="71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2299999</w:t>
            </w:r>
          </w:p>
        </w:tc>
        <w:tc>
          <w:tcPr>
            <w:tcW w:w="1001"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 xml:space="preserve">  其他支出</w:t>
            </w:r>
          </w:p>
        </w:tc>
        <w:tc>
          <w:tcPr>
            <w:tcW w:w="113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388.21</w:t>
            </w:r>
          </w:p>
        </w:tc>
        <w:tc>
          <w:tcPr>
            <w:tcW w:w="111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232.00</w:t>
            </w:r>
          </w:p>
        </w:tc>
        <w:tc>
          <w:tcPr>
            <w:tcW w:w="103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156.20</w:t>
            </w:r>
          </w:p>
        </w:tc>
      </w:tr>
      <w:tr>
        <w:tblPrEx>
          <w:tblCellMar>
            <w:top w:w="0" w:type="dxa"/>
            <w:left w:w="108" w:type="dxa"/>
            <w:bottom w:w="0" w:type="dxa"/>
            <w:right w:w="108" w:type="dxa"/>
          </w:tblCellMar>
        </w:tblPrEx>
        <w:trPr>
          <w:trHeight w:val="358" w:hRule="atLeast"/>
        </w:trPr>
        <w:tc>
          <w:tcPr>
            <w:tcW w:w="5000" w:type="pct"/>
            <w:gridSpan w:val="8"/>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注：本表反映部门本年度一般公共预算财政拨款支出情况。</w:t>
            </w:r>
          </w:p>
        </w:tc>
      </w:tr>
    </w:tbl>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eastAsia" w:ascii="仿宋" w:hAnsi="仿宋" w:eastAsia="仿宋" w:cs="仿宋"/>
          <w:sz w:val="24"/>
          <w:highlight w:val="none"/>
        </w:rPr>
      </w:pPr>
      <w:r>
        <w:rPr>
          <w:rFonts w:hint="default" w:ascii="Times New Roman" w:hAnsi="Times New Roman" w:eastAsia="仿宋_GB2312" w:cs="Times New Roman"/>
          <w:sz w:val="32"/>
          <w:szCs w:val="32"/>
        </w:rPr>
        <w:t>表六：</w:t>
      </w:r>
      <w:r>
        <w:rPr>
          <w:rFonts w:hint="eastAsia" w:ascii="Times New Roman" w:hAnsi="Times New Roman" w:eastAsia="仿宋_GB2312" w:cs="Times New Roman"/>
          <w:sz w:val="32"/>
          <w:szCs w:val="32"/>
          <w:lang w:val="en-US" w:eastAsia="zh-CN"/>
        </w:rPr>
        <w:t>Z08_1 一般公共预算财政拨款基本支出决算明细表(公开06表）</w:t>
      </w:r>
    </w:p>
    <w:tbl>
      <w:tblPr>
        <w:tblStyle w:val="6"/>
        <w:tblW w:w="5000" w:type="pct"/>
        <w:tblInd w:w="0" w:type="dxa"/>
        <w:tblLayout w:type="autofit"/>
        <w:tblCellMar>
          <w:top w:w="0" w:type="dxa"/>
          <w:left w:w="108" w:type="dxa"/>
          <w:bottom w:w="0" w:type="dxa"/>
          <w:right w:w="108" w:type="dxa"/>
        </w:tblCellMar>
      </w:tblPr>
      <w:tblGrid>
        <w:gridCol w:w="1311"/>
        <w:gridCol w:w="2954"/>
        <w:gridCol w:w="855"/>
        <w:gridCol w:w="1311"/>
        <w:gridCol w:w="2041"/>
        <w:gridCol w:w="672"/>
        <w:gridCol w:w="672"/>
        <w:gridCol w:w="3685"/>
        <w:gridCol w:w="673"/>
      </w:tblGrid>
      <w:tr>
        <w:tblPrEx>
          <w:tblCellMar>
            <w:top w:w="0" w:type="dxa"/>
            <w:left w:w="108" w:type="dxa"/>
            <w:bottom w:w="0" w:type="dxa"/>
            <w:right w:w="108" w:type="dxa"/>
          </w:tblCellMar>
        </w:tblPrEx>
        <w:trPr>
          <w:trHeight w:val="614" w:hRule="atLeast"/>
        </w:trPr>
        <w:tc>
          <w:tcPr>
            <w:tcW w:w="5000" w:type="pct"/>
            <w:gridSpan w:val="9"/>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一般公共预算财政拨款基本支出决算明细表</w:t>
            </w:r>
          </w:p>
        </w:tc>
      </w:tr>
      <w:tr>
        <w:tblPrEx>
          <w:tblCellMar>
            <w:top w:w="0" w:type="dxa"/>
            <w:left w:w="108" w:type="dxa"/>
            <w:bottom w:w="0" w:type="dxa"/>
            <w:right w:w="108" w:type="dxa"/>
          </w:tblCellMar>
        </w:tblPrEx>
        <w:trPr>
          <w:trHeight w:val="307" w:hRule="atLeast"/>
        </w:trPr>
        <w:tc>
          <w:tcPr>
            <w:tcW w:w="467"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52"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87"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467"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727"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22"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9"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535" w:type="pct"/>
            <w:gridSpan w:val="2"/>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公开06表</w:t>
            </w:r>
          </w:p>
        </w:tc>
      </w:tr>
      <w:tr>
        <w:tblPrEx>
          <w:tblCellMar>
            <w:top w:w="0" w:type="dxa"/>
            <w:left w:w="108" w:type="dxa"/>
            <w:bottom w:w="0" w:type="dxa"/>
            <w:right w:w="108" w:type="dxa"/>
          </w:tblCellMar>
        </w:tblPrEx>
        <w:trPr>
          <w:trHeight w:val="569" w:hRule="atLeast"/>
        </w:trPr>
        <w:tc>
          <w:tcPr>
            <w:tcW w:w="3002" w:type="pct"/>
            <w:gridSpan w:val="5"/>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环江毛南族自治县职业技术学校</w:t>
            </w:r>
          </w:p>
        </w:tc>
        <w:tc>
          <w:tcPr>
            <w:tcW w:w="222" w:type="pct"/>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9" w:type="pct"/>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535" w:type="pct"/>
            <w:gridSpan w:val="2"/>
            <w:tcBorders>
              <w:top w:val="nil"/>
              <w:left w:val="nil"/>
              <w:bottom w:val="single" w:color="auto" w:sz="4" w:space="0"/>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19" w:hRule="atLeast"/>
        </w:trPr>
        <w:tc>
          <w:tcPr>
            <w:tcW w:w="1807"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人员经费</w:t>
            </w:r>
          </w:p>
        </w:tc>
        <w:tc>
          <w:tcPr>
            <w:tcW w:w="3192" w:type="pct"/>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公用经费</w:t>
            </w:r>
          </w:p>
        </w:tc>
      </w:tr>
      <w:tr>
        <w:tblPrEx>
          <w:tblCellMar>
            <w:top w:w="0" w:type="dxa"/>
            <w:left w:w="108" w:type="dxa"/>
            <w:bottom w:w="0" w:type="dxa"/>
            <w:right w:w="108" w:type="dxa"/>
          </w:tblCellMar>
        </w:tblPrEx>
        <w:trPr>
          <w:trHeight w:val="624" w:hRule="atLeast"/>
        </w:trPr>
        <w:tc>
          <w:tcPr>
            <w:tcW w:w="46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科目编码</w:t>
            </w:r>
          </w:p>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p>
        </w:tc>
        <w:tc>
          <w:tcPr>
            <w:tcW w:w="105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28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决算数</w:t>
            </w:r>
          </w:p>
        </w:tc>
        <w:tc>
          <w:tcPr>
            <w:tcW w:w="46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科目编码</w:t>
            </w:r>
          </w:p>
        </w:tc>
        <w:tc>
          <w:tcPr>
            <w:tcW w:w="72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22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决算数</w:t>
            </w:r>
          </w:p>
        </w:tc>
        <w:tc>
          <w:tcPr>
            <w:tcW w:w="23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科目编码</w:t>
            </w:r>
          </w:p>
        </w:tc>
        <w:tc>
          <w:tcPr>
            <w:tcW w:w="131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22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决算数</w:t>
            </w:r>
          </w:p>
        </w:tc>
      </w:tr>
      <w:tr>
        <w:tblPrEx>
          <w:tblCellMar>
            <w:top w:w="0" w:type="dxa"/>
            <w:left w:w="108" w:type="dxa"/>
            <w:bottom w:w="0" w:type="dxa"/>
            <w:right w:w="108" w:type="dxa"/>
          </w:tblCellMar>
        </w:tblPrEx>
        <w:trPr>
          <w:trHeight w:val="1237" w:hRule="atLeast"/>
        </w:trPr>
        <w:tc>
          <w:tcPr>
            <w:tcW w:w="46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05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8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46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72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2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3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31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2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624" w:hRule="atLeast"/>
        </w:trPr>
        <w:tc>
          <w:tcPr>
            <w:tcW w:w="46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w:t>
            </w:r>
          </w:p>
        </w:tc>
        <w:tc>
          <w:tcPr>
            <w:tcW w:w="105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工资福利支出</w:t>
            </w:r>
            <w:bookmarkStart w:id="0" w:name="OLE_LINK3"/>
            <w:bookmarkStart w:id="1" w:name="OLE_LINK4"/>
          </w:p>
        </w:tc>
        <w:tc>
          <w:tcPr>
            <w:tcW w:w="28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2286.86</w:t>
            </w:r>
          </w:p>
        </w:tc>
        <w:tc>
          <w:tcPr>
            <w:tcW w:w="46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w:t>
            </w:r>
          </w:p>
        </w:tc>
        <w:tc>
          <w:tcPr>
            <w:tcW w:w="72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商品和服务支出</w:t>
            </w:r>
          </w:p>
        </w:tc>
        <w:tc>
          <w:tcPr>
            <w:tcW w:w="22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39.80</w:t>
            </w:r>
          </w:p>
        </w:tc>
        <w:tc>
          <w:tcPr>
            <w:tcW w:w="23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307</w:t>
            </w:r>
          </w:p>
        </w:tc>
        <w:tc>
          <w:tcPr>
            <w:tcW w:w="131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债务利息及费用支出</w:t>
            </w:r>
          </w:p>
        </w:tc>
        <w:tc>
          <w:tcPr>
            <w:tcW w:w="22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46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30101</w:t>
            </w:r>
          </w:p>
        </w:tc>
        <w:tc>
          <w:tcPr>
            <w:tcW w:w="105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基本工资</w:t>
            </w:r>
          </w:p>
        </w:tc>
        <w:tc>
          <w:tcPr>
            <w:tcW w:w="28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886.53</w:t>
            </w:r>
          </w:p>
        </w:tc>
        <w:tc>
          <w:tcPr>
            <w:tcW w:w="46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30201</w:t>
            </w:r>
          </w:p>
        </w:tc>
        <w:tc>
          <w:tcPr>
            <w:tcW w:w="72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办公费</w:t>
            </w:r>
          </w:p>
        </w:tc>
        <w:tc>
          <w:tcPr>
            <w:tcW w:w="22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1.49</w:t>
            </w:r>
          </w:p>
        </w:tc>
        <w:tc>
          <w:tcPr>
            <w:tcW w:w="23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30701</w:t>
            </w:r>
          </w:p>
        </w:tc>
        <w:tc>
          <w:tcPr>
            <w:tcW w:w="131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国内债务付息</w:t>
            </w:r>
          </w:p>
        </w:tc>
        <w:tc>
          <w:tcPr>
            <w:tcW w:w="22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46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30102</w:t>
            </w:r>
          </w:p>
        </w:tc>
        <w:tc>
          <w:tcPr>
            <w:tcW w:w="105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津贴补贴</w:t>
            </w:r>
          </w:p>
        </w:tc>
        <w:tc>
          <w:tcPr>
            <w:tcW w:w="28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69.28</w:t>
            </w:r>
          </w:p>
        </w:tc>
        <w:tc>
          <w:tcPr>
            <w:tcW w:w="46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30202</w:t>
            </w:r>
          </w:p>
        </w:tc>
        <w:tc>
          <w:tcPr>
            <w:tcW w:w="72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印刷费</w:t>
            </w:r>
          </w:p>
        </w:tc>
        <w:tc>
          <w:tcPr>
            <w:tcW w:w="22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23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30702</w:t>
            </w:r>
          </w:p>
        </w:tc>
        <w:tc>
          <w:tcPr>
            <w:tcW w:w="131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国外债务付息</w:t>
            </w:r>
          </w:p>
        </w:tc>
        <w:tc>
          <w:tcPr>
            <w:tcW w:w="22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46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30103</w:t>
            </w:r>
          </w:p>
        </w:tc>
        <w:tc>
          <w:tcPr>
            <w:tcW w:w="105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奖金</w:t>
            </w:r>
          </w:p>
        </w:tc>
        <w:tc>
          <w:tcPr>
            <w:tcW w:w="28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405.52</w:t>
            </w:r>
          </w:p>
        </w:tc>
        <w:tc>
          <w:tcPr>
            <w:tcW w:w="46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30203</w:t>
            </w:r>
          </w:p>
        </w:tc>
        <w:tc>
          <w:tcPr>
            <w:tcW w:w="72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咨询费</w:t>
            </w:r>
          </w:p>
        </w:tc>
        <w:tc>
          <w:tcPr>
            <w:tcW w:w="22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23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w:t>
            </w:r>
          </w:p>
        </w:tc>
        <w:tc>
          <w:tcPr>
            <w:tcW w:w="131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资本性支出</w:t>
            </w:r>
          </w:p>
        </w:tc>
        <w:tc>
          <w:tcPr>
            <w:tcW w:w="22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46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30106</w:t>
            </w:r>
          </w:p>
        </w:tc>
        <w:tc>
          <w:tcPr>
            <w:tcW w:w="105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伙食补助费</w:t>
            </w:r>
          </w:p>
        </w:tc>
        <w:tc>
          <w:tcPr>
            <w:tcW w:w="28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46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30204</w:t>
            </w:r>
          </w:p>
        </w:tc>
        <w:tc>
          <w:tcPr>
            <w:tcW w:w="72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手续费</w:t>
            </w:r>
          </w:p>
        </w:tc>
        <w:tc>
          <w:tcPr>
            <w:tcW w:w="22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23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31001</w:t>
            </w:r>
          </w:p>
        </w:tc>
        <w:tc>
          <w:tcPr>
            <w:tcW w:w="131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房屋建筑物购建</w:t>
            </w:r>
          </w:p>
        </w:tc>
        <w:tc>
          <w:tcPr>
            <w:tcW w:w="22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46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30107</w:t>
            </w:r>
          </w:p>
        </w:tc>
        <w:tc>
          <w:tcPr>
            <w:tcW w:w="105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绩效工资</w:t>
            </w:r>
          </w:p>
        </w:tc>
        <w:tc>
          <w:tcPr>
            <w:tcW w:w="28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375.54</w:t>
            </w:r>
          </w:p>
        </w:tc>
        <w:tc>
          <w:tcPr>
            <w:tcW w:w="46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30205</w:t>
            </w:r>
          </w:p>
        </w:tc>
        <w:tc>
          <w:tcPr>
            <w:tcW w:w="72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水费</w:t>
            </w:r>
          </w:p>
        </w:tc>
        <w:tc>
          <w:tcPr>
            <w:tcW w:w="22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4.22</w:t>
            </w:r>
          </w:p>
        </w:tc>
        <w:tc>
          <w:tcPr>
            <w:tcW w:w="23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31002</w:t>
            </w:r>
          </w:p>
        </w:tc>
        <w:tc>
          <w:tcPr>
            <w:tcW w:w="131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办公设备购置</w:t>
            </w:r>
          </w:p>
        </w:tc>
        <w:tc>
          <w:tcPr>
            <w:tcW w:w="22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46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30108</w:t>
            </w:r>
          </w:p>
        </w:tc>
        <w:tc>
          <w:tcPr>
            <w:tcW w:w="105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机关事业单位基本养老保险缴费</w:t>
            </w:r>
          </w:p>
        </w:tc>
        <w:tc>
          <w:tcPr>
            <w:tcW w:w="28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241.55</w:t>
            </w:r>
          </w:p>
        </w:tc>
        <w:tc>
          <w:tcPr>
            <w:tcW w:w="46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30206</w:t>
            </w:r>
          </w:p>
        </w:tc>
        <w:tc>
          <w:tcPr>
            <w:tcW w:w="72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电费</w:t>
            </w:r>
          </w:p>
        </w:tc>
        <w:tc>
          <w:tcPr>
            <w:tcW w:w="22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23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31003</w:t>
            </w:r>
          </w:p>
        </w:tc>
        <w:tc>
          <w:tcPr>
            <w:tcW w:w="131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专用设备购置</w:t>
            </w:r>
          </w:p>
        </w:tc>
        <w:tc>
          <w:tcPr>
            <w:tcW w:w="22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46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30109</w:t>
            </w:r>
          </w:p>
        </w:tc>
        <w:tc>
          <w:tcPr>
            <w:tcW w:w="105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职业年金缴费</w:t>
            </w:r>
          </w:p>
        </w:tc>
        <w:tc>
          <w:tcPr>
            <w:tcW w:w="28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46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30207</w:t>
            </w:r>
          </w:p>
        </w:tc>
        <w:tc>
          <w:tcPr>
            <w:tcW w:w="72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邮电费</w:t>
            </w:r>
          </w:p>
        </w:tc>
        <w:tc>
          <w:tcPr>
            <w:tcW w:w="22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23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31005</w:t>
            </w:r>
          </w:p>
        </w:tc>
        <w:tc>
          <w:tcPr>
            <w:tcW w:w="131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基础设施建设</w:t>
            </w:r>
          </w:p>
        </w:tc>
        <w:tc>
          <w:tcPr>
            <w:tcW w:w="22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46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30110</w:t>
            </w:r>
          </w:p>
        </w:tc>
        <w:tc>
          <w:tcPr>
            <w:tcW w:w="105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职工基本医疗保险缴费</w:t>
            </w:r>
          </w:p>
        </w:tc>
        <w:tc>
          <w:tcPr>
            <w:tcW w:w="28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114.98</w:t>
            </w:r>
          </w:p>
        </w:tc>
        <w:tc>
          <w:tcPr>
            <w:tcW w:w="46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30208</w:t>
            </w:r>
          </w:p>
        </w:tc>
        <w:tc>
          <w:tcPr>
            <w:tcW w:w="72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取暖费</w:t>
            </w:r>
          </w:p>
        </w:tc>
        <w:tc>
          <w:tcPr>
            <w:tcW w:w="22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23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31006</w:t>
            </w:r>
          </w:p>
        </w:tc>
        <w:tc>
          <w:tcPr>
            <w:tcW w:w="131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大型修缮</w:t>
            </w:r>
          </w:p>
        </w:tc>
        <w:tc>
          <w:tcPr>
            <w:tcW w:w="22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46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30111</w:t>
            </w:r>
          </w:p>
        </w:tc>
        <w:tc>
          <w:tcPr>
            <w:tcW w:w="105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公务员医疗补助缴费</w:t>
            </w:r>
          </w:p>
        </w:tc>
        <w:tc>
          <w:tcPr>
            <w:tcW w:w="28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46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30209</w:t>
            </w:r>
          </w:p>
        </w:tc>
        <w:tc>
          <w:tcPr>
            <w:tcW w:w="72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物业管理费</w:t>
            </w:r>
          </w:p>
        </w:tc>
        <w:tc>
          <w:tcPr>
            <w:tcW w:w="22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0.30</w:t>
            </w:r>
          </w:p>
        </w:tc>
        <w:tc>
          <w:tcPr>
            <w:tcW w:w="23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31007</w:t>
            </w:r>
          </w:p>
        </w:tc>
        <w:tc>
          <w:tcPr>
            <w:tcW w:w="131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信息网络及软件购置更新</w:t>
            </w:r>
          </w:p>
        </w:tc>
        <w:tc>
          <w:tcPr>
            <w:tcW w:w="22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46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30112</w:t>
            </w:r>
          </w:p>
        </w:tc>
        <w:tc>
          <w:tcPr>
            <w:tcW w:w="105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其他社会保障缴费</w:t>
            </w:r>
          </w:p>
        </w:tc>
        <w:tc>
          <w:tcPr>
            <w:tcW w:w="28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13.58</w:t>
            </w:r>
          </w:p>
        </w:tc>
        <w:tc>
          <w:tcPr>
            <w:tcW w:w="46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30211</w:t>
            </w:r>
          </w:p>
        </w:tc>
        <w:tc>
          <w:tcPr>
            <w:tcW w:w="72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差旅费</w:t>
            </w:r>
          </w:p>
        </w:tc>
        <w:tc>
          <w:tcPr>
            <w:tcW w:w="22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23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31008</w:t>
            </w:r>
          </w:p>
        </w:tc>
        <w:tc>
          <w:tcPr>
            <w:tcW w:w="131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物资储备</w:t>
            </w:r>
          </w:p>
        </w:tc>
        <w:tc>
          <w:tcPr>
            <w:tcW w:w="22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46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30113</w:t>
            </w:r>
          </w:p>
        </w:tc>
        <w:tc>
          <w:tcPr>
            <w:tcW w:w="105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住房公积金</w:t>
            </w:r>
          </w:p>
        </w:tc>
        <w:tc>
          <w:tcPr>
            <w:tcW w:w="28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179.89</w:t>
            </w:r>
          </w:p>
        </w:tc>
        <w:tc>
          <w:tcPr>
            <w:tcW w:w="46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30212</w:t>
            </w:r>
          </w:p>
        </w:tc>
        <w:tc>
          <w:tcPr>
            <w:tcW w:w="72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因公出国（境）费用</w:t>
            </w:r>
          </w:p>
        </w:tc>
        <w:tc>
          <w:tcPr>
            <w:tcW w:w="22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23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31009</w:t>
            </w:r>
          </w:p>
        </w:tc>
        <w:tc>
          <w:tcPr>
            <w:tcW w:w="131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土地补偿</w:t>
            </w:r>
          </w:p>
        </w:tc>
        <w:tc>
          <w:tcPr>
            <w:tcW w:w="22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46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30114</w:t>
            </w:r>
          </w:p>
        </w:tc>
        <w:tc>
          <w:tcPr>
            <w:tcW w:w="105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医疗费</w:t>
            </w:r>
          </w:p>
        </w:tc>
        <w:tc>
          <w:tcPr>
            <w:tcW w:w="28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46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30213</w:t>
            </w:r>
          </w:p>
        </w:tc>
        <w:tc>
          <w:tcPr>
            <w:tcW w:w="72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维修（护）费</w:t>
            </w:r>
          </w:p>
        </w:tc>
        <w:tc>
          <w:tcPr>
            <w:tcW w:w="22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0.97</w:t>
            </w:r>
          </w:p>
        </w:tc>
        <w:tc>
          <w:tcPr>
            <w:tcW w:w="23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31010</w:t>
            </w:r>
          </w:p>
        </w:tc>
        <w:tc>
          <w:tcPr>
            <w:tcW w:w="131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安置补助</w:t>
            </w:r>
          </w:p>
        </w:tc>
        <w:tc>
          <w:tcPr>
            <w:tcW w:w="22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46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30199</w:t>
            </w:r>
          </w:p>
        </w:tc>
        <w:tc>
          <w:tcPr>
            <w:tcW w:w="105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其他工资福利支出</w:t>
            </w:r>
          </w:p>
        </w:tc>
        <w:tc>
          <w:tcPr>
            <w:tcW w:w="28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46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30214</w:t>
            </w:r>
          </w:p>
        </w:tc>
        <w:tc>
          <w:tcPr>
            <w:tcW w:w="72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租赁费</w:t>
            </w:r>
          </w:p>
        </w:tc>
        <w:tc>
          <w:tcPr>
            <w:tcW w:w="22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23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31011</w:t>
            </w:r>
          </w:p>
        </w:tc>
        <w:tc>
          <w:tcPr>
            <w:tcW w:w="131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地上附着物和青苗补偿</w:t>
            </w:r>
          </w:p>
        </w:tc>
        <w:tc>
          <w:tcPr>
            <w:tcW w:w="22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46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w:t>
            </w:r>
          </w:p>
        </w:tc>
        <w:tc>
          <w:tcPr>
            <w:tcW w:w="105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对个人和家庭的补助</w:t>
            </w:r>
          </w:p>
        </w:tc>
        <w:tc>
          <w:tcPr>
            <w:tcW w:w="28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94.84</w:t>
            </w:r>
          </w:p>
        </w:tc>
        <w:tc>
          <w:tcPr>
            <w:tcW w:w="46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30215</w:t>
            </w:r>
          </w:p>
        </w:tc>
        <w:tc>
          <w:tcPr>
            <w:tcW w:w="72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会议费</w:t>
            </w:r>
          </w:p>
        </w:tc>
        <w:tc>
          <w:tcPr>
            <w:tcW w:w="22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23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31012</w:t>
            </w:r>
          </w:p>
        </w:tc>
        <w:tc>
          <w:tcPr>
            <w:tcW w:w="131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拆迁补偿</w:t>
            </w:r>
          </w:p>
        </w:tc>
        <w:tc>
          <w:tcPr>
            <w:tcW w:w="22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46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30301</w:t>
            </w:r>
          </w:p>
        </w:tc>
        <w:tc>
          <w:tcPr>
            <w:tcW w:w="105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离休费</w:t>
            </w:r>
          </w:p>
        </w:tc>
        <w:tc>
          <w:tcPr>
            <w:tcW w:w="28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46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30216</w:t>
            </w:r>
          </w:p>
        </w:tc>
        <w:tc>
          <w:tcPr>
            <w:tcW w:w="72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培训费</w:t>
            </w:r>
          </w:p>
        </w:tc>
        <w:tc>
          <w:tcPr>
            <w:tcW w:w="22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23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31013</w:t>
            </w:r>
          </w:p>
        </w:tc>
        <w:tc>
          <w:tcPr>
            <w:tcW w:w="131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公务用车购置</w:t>
            </w:r>
          </w:p>
        </w:tc>
        <w:tc>
          <w:tcPr>
            <w:tcW w:w="22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46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30302</w:t>
            </w:r>
          </w:p>
        </w:tc>
        <w:tc>
          <w:tcPr>
            <w:tcW w:w="105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退休费</w:t>
            </w:r>
          </w:p>
        </w:tc>
        <w:tc>
          <w:tcPr>
            <w:tcW w:w="28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46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30217</w:t>
            </w:r>
          </w:p>
        </w:tc>
        <w:tc>
          <w:tcPr>
            <w:tcW w:w="72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公务接待费</w:t>
            </w:r>
          </w:p>
        </w:tc>
        <w:tc>
          <w:tcPr>
            <w:tcW w:w="22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23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31019</w:t>
            </w:r>
          </w:p>
        </w:tc>
        <w:tc>
          <w:tcPr>
            <w:tcW w:w="131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其他交通工具购置</w:t>
            </w:r>
          </w:p>
        </w:tc>
        <w:tc>
          <w:tcPr>
            <w:tcW w:w="22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46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30303</w:t>
            </w:r>
          </w:p>
        </w:tc>
        <w:tc>
          <w:tcPr>
            <w:tcW w:w="105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退职（役）费</w:t>
            </w:r>
          </w:p>
        </w:tc>
        <w:tc>
          <w:tcPr>
            <w:tcW w:w="28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46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30218</w:t>
            </w:r>
          </w:p>
        </w:tc>
        <w:tc>
          <w:tcPr>
            <w:tcW w:w="72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专用材料费</w:t>
            </w:r>
          </w:p>
        </w:tc>
        <w:tc>
          <w:tcPr>
            <w:tcW w:w="22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23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31021</w:t>
            </w:r>
          </w:p>
        </w:tc>
        <w:tc>
          <w:tcPr>
            <w:tcW w:w="131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文物和陈列品购置</w:t>
            </w:r>
          </w:p>
        </w:tc>
        <w:tc>
          <w:tcPr>
            <w:tcW w:w="22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46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30304</w:t>
            </w:r>
          </w:p>
        </w:tc>
        <w:tc>
          <w:tcPr>
            <w:tcW w:w="105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抚恤金</w:t>
            </w:r>
          </w:p>
        </w:tc>
        <w:tc>
          <w:tcPr>
            <w:tcW w:w="28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37.19</w:t>
            </w:r>
          </w:p>
        </w:tc>
        <w:tc>
          <w:tcPr>
            <w:tcW w:w="46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30224</w:t>
            </w:r>
          </w:p>
        </w:tc>
        <w:tc>
          <w:tcPr>
            <w:tcW w:w="72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被装购置费</w:t>
            </w:r>
          </w:p>
        </w:tc>
        <w:tc>
          <w:tcPr>
            <w:tcW w:w="22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23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31022</w:t>
            </w:r>
          </w:p>
        </w:tc>
        <w:tc>
          <w:tcPr>
            <w:tcW w:w="131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无形资产购置</w:t>
            </w:r>
          </w:p>
        </w:tc>
        <w:tc>
          <w:tcPr>
            <w:tcW w:w="22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46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30305</w:t>
            </w:r>
          </w:p>
        </w:tc>
        <w:tc>
          <w:tcPr>
            <w:tcW w:w="105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生活补助</w:t>
            </w:r>
          </w:p>
        </w:tc>
        <w:tc>
          <w:tcPr>
            <w:tcW w:w="28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57.35</w:t>
            </w:r>
          </w:p>
        </w:tc>
        <w:tc>
          <w:tcPr>
            <w:tcW w:w="46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30225</w:t>
            </w:r>
          </w:p>
        </w:tc>
        <w:tc>
          <w:tcPr>
            <w:tcW w:w="72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专用燃料费</w:t>
            </w:r>
          </w:p>
        </w:tc>
        <w:tc>
          <w:tcPr>
            <w:tcW w:w="22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23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31099</w:t>
            </w:r>
          </w:p>
        </w:tc>
        <w:tc>
          <w:tcPr>
            <w:tcW w:w="131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其他资本性支出</w:t>
            </w:r>
          </w:p>
        </w:tc>
        <w:tc>
          <w:tcPr>
            <w:tcW w:w="22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46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30306</w:t>
            </w:r>
          </w:p>
        </w:tc>
        <w:tc>
          <w:tcPr>
            <w:tcW w:w="105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救济费</w:t>
            </w:r>
          </w:p>
        </w:tc>
        <w:tc>
          <w:tcPr>
            <w:tcW w:w="28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46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30226</w:t>
            </w:r>
          </w:p>
        </w:tc>
        <w:tc>
          <w:tcPr>
            <w:tcW w:w="72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劳务费</w:t>
            </w:r>
          </w:p>
        </w:tc>
        <w:tc>
          <w:tcPr>
            <w:tcW w:w="22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23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w:t>
            </w:r>
          </w:p>
        </w:tc>
        <w:tc>
          <w:tcPr>
            <w:tcW w:w="131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其他支出</w:t>
            </w:r>
          </w:p>
        </w:tc>
        <w:tc>
          <w:tcPr>
            <w:tcW w:w="22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46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30307</w:t>
            </w:r>
          </w:p>
        </w:tc>
        <w:tc>
          <w:tcPr>
            <w:tcW w:w="105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医疗费补助</w:t>
            </w:r>
          </w:p>
        </w:tc>
        <w:tc>
          <w:tcPr>
            <w:tcW w:w="28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46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30227</w:t>
            </w:r>
          </w:p>
        </w:tc>
        <w:tc>
          <w:tcPr>
            <w:tcW w:w="72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委托业务费</w:t>
            </w:r>
          </w:p>
        </w:tc>
        <w:tc>
          <w:tcPr>
            <w:tcW w:w="22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23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39907</w:t>
            </w:r>
          </w:p>
        </w:tc>
        <w:tc>
          <w:tcPr>
            <w:tcW w:w="131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国家赔偿费用支出</w:t>
            </w:r>
          </w:p>
        </w:tc>
        <w:tc>
          <w:tcPr>
            <w:tcW w:w="22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46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30308</w:t>
            </w:r>
          </w:p>
        </w:tc>
        <w:tc>
          <w:tcPr>
            <w:tcW w:w="105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助学金</w:t>
            </w:r>
          </w:p>
        </w:tc>
        <w:tc>
          <w:tcPr>
            <w:tcW w:w="28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0.20</w:t>
            </w:r>
          </w:p>
        </w:tc>
        <w:tc>
          <w:tcPr>
            <w:tcW w:w="46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30228</w:t>
            </w:r>
          </w:p>
        </w:tc>
        <w:tc>
          <w:tcPr>
            <w:tcW w:w="72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工会经费</w:t>
            </w:r>
          </w:p>
        </w:tc>
        <w:tc>
          <w:tcPr>
            <w:tcW w:w="22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32.81</w:t>
            </w:r>
          </w:p>
        </w:tc>
        <w:tc>
          <w:tcPr>
            <w:tcW w:w="23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39908</w:t>
            </w:r>
          </w:p>
        </w:tc>
        <w:tc>
          <w:tcPr>
            <w:tcW w:w="131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对民间非营利组织和群众性自治组织补贴</w:t>
            </w:r>
          </w:p>
        </w:tc>
        <w:tc>
          <w:tcPr>
            <w:tcW w:w="22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46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30309</w:t>
            </w:r>
          </w:p>
        </w:tc>
        <w:tc>
          <w:tcPr>
            <w:tcW w:w="105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奖励金</w:t>
            </w:r>
          </w:p>
        </w:tc>
        <w:tc>
          <w:tcPr>
            <w:tcW w:w="28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46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30229</w:t>
            </w:r>
          </w:p>
        </w:tc>
        <w:tc>
          <w:tcPr>
            <w:tcW w:w="72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福利费</w:t>
            </w:r>
          </w:p>
        </w:tc>
        <w:tc>
          <w:tcPr>
            <w:tcW w:w="22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23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39909</w:t>
            </w:r>
          </w:p>
        </w:tc>
        <w:tc>
          <w:tcPr>
            <w:tcW w:w="131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经常性赠与</w:t>
            </w:r>
          </w:p>
        </w:tc>
        <w:tc>
          <w:tcPr>
            <w:tcW w:w="22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46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30310</w:t>
            </w:r>
          </w:p>
        </w:tc>
        <w:tc>
          <w:tcPr>
            <w:tcW w:w="105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个人农业生产补贴</w:t>
            </w:r>
          </w:p>
        </w:tc>
        <w:tc>
          <w:tcPr>
            <w:tcW w:w="28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46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30231</w:t>
            </w:r>
          </w:p>
        </w:tc>
        <w:tc>
          <w:tcPr>
            <w:tcW w:w="72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公务用车运行维护费</w:t>
            </w:r>
          </w:p>
        </w:tc>
        <w:tc>
          <w:tcPr>
            <w:tcW w:w="22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23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39910</w:t>
            </w:r>
          </w:p>
        </w:tc>
        <w:tc>
          <w:tcPr>
            <w:tcW w:w="131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资本性赠与</w:t>
            </w:r>
          </w:p>
        </w:tc>
        <w:tc>
          <w:tcPr>
            <w:tcW w:w="22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46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30311</w:t>
            </w:r>
          </w:p>
        </w:tc>
        <w:tc>
          <w:tcPr>
            <w:tcW w:w="105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代缴社会保险费</w:t>
            </w:r>
          </w:p>
        </w:tc>
        <w:tc>
          <w:tcPr>
            <w:tcW w:w="28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46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30239</w:t>
            </w:r>
          </w:p>
        </w:tc>
        <w:tc>
          <w:tcPr>
            <w:tcW w:w="72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其他交通费用</w:t>
            </w:r>
          </w:p>
        </w:tc>
        <w:tc>
          <w:tcPr>
            <w:tcW w:w="22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23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39999</w:t>
            </w:r>
          </w:p>
        </w:tc>
        <w:tc>
          <w:tcPr>
            <w:tcW w:w="131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其他支出</w:t>
            </w:r>
          </w:p>
        </w:tc>
        <w:tc>
          <w:tcPr>
            <w:tcW w:w="22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46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30399</w:t>
            </w:r>
          </w:p>
        </w:tc>
        <w:tc>
          <w:tcPr>
            <w:tcW w:w="105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其他对个人和家庭的补助</w:t>
            </w:r>
          </w:p>
        </w:tc>
        <w:tc>
          <w:tcPr>
            <w:tcW w:w="28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0.10</w:t>
            </w:r>
          </w:p>
        </w:tc>
        <w:tc>
          <w:tcPr>
            <w:tcW w:w="46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30240</w:t>
            </w:r>
          </w:p>
        </w:tc>
        <w:tc>
          <w:tcPr>
            <w:tcW w:w="72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税金及附加费用</w:t>
            </w:r>
          </w:p>
        </w:tc>
        <w:tc>
          <w:tcPr>
            <w:tcW w:w="22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23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131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22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46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p>
        </w:tc>
        <w:tc>
          <w:tcPr>
            <w:tcW w:w="105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p>
        </w:tc>
        <w:tc>
          <w:tcPr>
            <w:tcW w:w="28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46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30299</w:t>
            </w:r>
          </w:p>
        </w:tc>
        <w:tc>
          <w:tcPr>
            <w:tcW w:w="72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其他商品和服务支出</w:t>
            </w:r>
          </w:p>
        </w:tc>
        <w:tc>
          <w:tcPr>
            <w:tcW w:w="22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23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131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22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46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人员经费合计</w:t>
            </w:r>
          </w:p>
          <w:bookmarkEnd w:id="0"/>
          <w:bookmarkEnd w:id="1"/>
        </w:tc>
        <w:tc>
          <w:tcPr>
            <w:tcW w:w="105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p>
        </w:tc>
        <w:tc>
          <w:tcPr>
            <w:tcW w:w="28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2381.70</w:t>
            </w:r>
          </w:p>
        </w:tc>
        <w:tc>
          <w:tcPr>
            <w:tcW w:w="46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公用经费合计</w:t>
            </w:r>
          </w:p>
        </w:tc>
        <w:tc>
          <w:tcPr>
            <w:tcW w:w="72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22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23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131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22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39.80</w:t>
            </w:r>
          </w:p>
        </w:tc>
      </w:tr>
      <w:tr>
        <w:tblPrEx>
          <w:tblCellMar>
            <w:top w:w="0" w:type="dxa"/>
            <w:left w:w="108" w:type="dxa"/>
            <w:bottom w:w="0" w:type="dxa"/>
            <w:right w:w="108" w:type="dxa"/>
          </w:tblCellMar>
        </w:tblPrEx>
        <w:trPr>
          <w:trHeight w:val="319" w:hRule="atLeast"/>
        </w:trPr>
        <w:tc>
          <w:tcPr>
            <w:tcW w:w="5000" w:type="pct"/>
            <w:gridSpan w:val="9"/>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注：本表反映部门本年度一般公共预算财政拨款基本支出明细情况。</w:t>
            </w:r>
          </w:p>
        </w:tc>
      </w:tr>
    </w:tbl>
    <w:p>
      <w:pPr>
        <w:jc w:val="left"/>
        <w:rPr>
          <w:rFonts w:ascii="仿宋" w:hAnsi="仿宋" w:eastAsia="仿宋" w:cs="仿宋"/>
          <w:sz w:val="24"/>
          <w:highlight w:val="none"/>
        </w:rPr>
      </w:pPr>
    </w:p>
    <w:p>
      <w:pPr>
        <w:rPr>
          <w:rFonts w:hint="eastAsia" w:ascii="仿宋" w:hAnsi="仿宋" w:eastAsia="仿宋" w:cs="仿宋"/>
          <w:sz w:val="32"/>
          <w:szCs w:val="32"/>
          <w:highlight w:val="none"/>
          <w:lang w:eastAsia="zh-CN"/>
        </w:rPr>
      </w:pPr>
    </w:p>
    <w:p>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32"/>
          <w:szCs w:val="32"/>
          <w:highlight w:val="none"/>
          <w:lang w:eastAsia="zh-CN"/>
          <w14:textFill>
            <w14:solidFill>
              <w14:schemeClr w14:val="tx1"/>
            </w14:solidFill>
          </w14:textFill>
        </w:rPr>
        <w:t>表七：</w:t>
      </w:r>
      <w:r>
        <w:rPr>
          <w:rFonts w:hint="eastAsia" w:ascii="仿宋" w:hAnsi="仿宋" w:eastAsia="仿宋" w:cs="仿宋"/>
          <w:color w:val="000000" w:themeColor="text1"/>
          <w:sz w:val="32"/>
          <w:szCs w:val="32"/>
          <w:highlight w:val="none"/>
          <w:lang w:val="en-US" w:eastAsia="zh-CN"/>
          <w14:textFill>
            <w14:solidFill>
              <w14:schemeClr w14:val="tx1"/>
            </w14:solidFill>
          </w14:textFill>
        </w:rPr>
        <w:t>Z09</w:t>
      </w:r>
      <w:r>
        <w:rPr>
          <w:rFonts w:hint="eastAsia" w:ascii="仿宋" w:hAnsi="仿宋" w:eastAsia="仿宋" w:cs="仿宋"/>
          <w:color w:val="000000" w:themeColor="text1"/>
          <w:sz w:val="32"/>
          <w:szCs w:val="32"/>
          <w:highlight w:val="none"/>
          <w14:textFill>
            <w14:solidFill>
              <w14:schemeClr w14:val="tx1"/>
            </w14:solidFill>
          </w14:textFill>
        </w:rPr>
        <w:t>政府性基金预算财政拨款收入支出决算表</w:t>
      </w:r>
      <w:r>
        <w:rPr>
          <w:rFonts w:hint="eastAsia" w:ascii="仿宋" w:hAnsi="仿宋" w:eastAsia="仿宋" w:cs="仿宋"/>
          <w:color w:val="000000" w:themeColor="text1"/>
          <w:sz w:val="32"/>
          <w:szCs w:val="32"/>
          <w:highlight w:val="none"/>
          <w:lang w:val="en-US" w:eastAsia="zh-CN"/>
          <w14:textFill>
            <w14:solidFill>
              <w14:schemeClr w14:val="tx1"/>
            </w14:solidFill>
          </w14:textFill>
        </w:rPr>
        <w:t>(公开07表）</w:t>
      </w:r>
    </w:p>
    <w:tbl>
      <w:tblPr>
        <w:tblStyle w:val="6"/>
        <w:tblW w:w="3054" w:type="pct"/>
        <w:tblInd w:w="0" w:type="dxa"/>
        <w:tblLayout w:type="autofit"/>
        <w:tblCellMar>
          <w:top w:w="0" w:type="dxa"/>
          <w:left w:w="108" w:type="dxa"/>
          <w:bottom w:w="0" w:type="dxa"/>
          <w:right w:w="108" w:type="dxa"/>
        </w:tblCellMar>
      </w:tblPr>
      <w:tblGrid>
        <w:gridCol w:w="951"/>
        <w:gridCol w:w="347"/>
        <w:gridCol w:w="342"/>
        <w:gridCol w:w="1205"/>
        <w:gridCol w:w="1450"/>
        <w:gridCol w:w="1214"/>
        <w:gridCol w:w="1196"/>
        <w:gridCol w:w="1230"/>
        <w:gridCol w:w="1262"/>
        <w:gridCol w:w="7"/>
        <w:gridCol w:w="2122"/>
      </w:tblGrid>
      <w:tr>
        <w:trPr>
          <w:trHeight w:val="536" w:hRule="atLeast"/>
        </w:trPr>
        <w:tc>
          <w:tcPr>
            <w:tcW w:w="5000" w:type="pct"/>
            <w:gridSpan w:val="11"/>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政府性基金预算财政拨款收入支出决算表</w:t>
            </w:r>
          </w:p>
        </w:tc>
      </w:tr>
      <w:tr>
        <w:tblPrEx>
          <w:tblCellMar>
            <w:top w:w="0" w:type="dxa"/>
            <w:left w:w="108" w:type="dxa"/>
            <w:bottom w:w="0" w:type="dxa"/>
            <w:right w:w="108" w:type="dxa"/>
          </w:tblCellMar>
        </w:tblPrEx>
        <w:trPr>
          <w:trHeight w:val="268" w:hRule="atLeast"/>
        </w:trPr>
        <w:tc>
          <w:tcPr>
            <w:tcW w:w="420"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53"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51"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531"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640"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536"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525"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543"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557"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938" w:type="pct"/>
            <w:gridSpan w:val="2"/>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w:t>
            </w:r>
            <w:r>
              <w:rPr>
                <w:rFonts w:hint="eastAsia" w:ascii="宋体" w:hAnsi="宋体" w:eastAsia="宋体" w:cs="宋体"/>
                <w:color w:val="000000"/>
                <w:kern w:val="0"/>
                <w:sz w:val="20"/>
                <w:szCs w:val="20"/>
                <w:highlight w:val="none"/>
                <w:lang w:val="en-US" w:eastAsia="zh-CN" w:bidi="ar"/>
              </w:rPr>
              <w:t>7</w:t>
            </w:r>
            <w:r>
              <w:rPr>
                <w:rFonts w:hint="eastAsia" w:ascii="宋体" w:hAnsi="宋体" w:eastAsia="宋体" w:cs="宋体"/>
                <w:color w:val="000000"/>
                <w:kern w:val="0"/>
                <w:sz w:val="20"/>
                <w:szCs w:val="20"/>
                <w:highlight w:val="none"/>
                <w:lang w:bidi="ar"/>
              </w:rPr>
              <w:t>表</w:t>
            </w:r>
          </w:p>
        </w:tc>
      </w:tr>
      <w:tr>
        <w:tblPrEx>
          <w:tblCellMar>
            <w:top w:w="0" w:type="dxa"/>
            <w:left w:w="108" w:type="dxa"/>
            <w:bottom w:w="0" w:type="dxa"/>
            <w:right w:w="108" w:type="dxa"/>
          </w:tblCellMar>
        </w:tblPrEx>
        <w:trPr>
          <w:trHeight w:val="268" w:hRule="atLeast"/>
        </w:trPr>
        <w:tc>
          <w:tcPr>
            <w:tcW w:w="2960" w:type="pct"/>
            <w:gridSpan w:val="7"/>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环江毛南族自治县职业技术学校</w:t>
            </w:r>
          </w:p>
        </w:tc>
        <w:tc>
          <w:tcPr>
            <w:tcW w:w="543" w:type="pct"/>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560" w:type="pct"/>
            <w:gridSpan w:val="2"/>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935" w:type="pct"/>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277" w:hRule="atLeast"/>
        </w:trPr>
        <w:tc>
          <w:tcPr>
            <w:tcW w:w="1256"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64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年初结转和结余</w:t>
            </w:r>
          </w:p>
        </w:tc>
        <w:tc>
          <w:tcPr>
            <w:tcW w:w="53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本年收入</w:t>
            </w:r>
          </w:p>
        </w:tc>
        <w:tc>
          <w:tcPr>
            <w:tcW w:w="1630" w:type="pct"/>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本年支出</w:t>
            </w:r>
          </w:p>
        </w:tc>
        <w:tc>
          <w:tcPr>
            <w:tcW w:w="93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年末结转和结余</w:t>
            </w:r>
          </w:p>
        </w:tc>
      </w:tr>
      <w:tr>
        <w:tblPrEx>
          <w:tblCellMar>
            <w:top w:w="0" w:type="dxa"/>
            <w:left w:w="108" w:type="dxa"/>
            <w:bottom w:w="0" w:type="dxa"/>
            <w:right w:w="108" w:type="dxa"/>
          </w:tblCellMar>
        </w:tblPrEx>
        <w:trPr>
          <w:trHeight w:val="312" w:hRule="atLeast"/>
        </w:trPr>
        <w:tc>
          <w:tcPr>
            <w:tcW w:w="573" w:type="pct"/>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682" w:type="pct"/>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64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53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52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小计</w:t>
            </w:r>
          </w:p>
        </w:tc>
        <w:tc>
          <w:tcPr>
            <w:tcW w:w="54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基本支出</w:t>
            </w:r>
          </w:p>
        </w:tc>
        <w:tc>
          <w:tcPr>
            <w:tcW w:w="560" w:type="pct"/>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项目支出</w:t>
            </w:r>
          </w:p>
        </w:tc>
        <w:tc>
          <w:tcPr>
            <w:tcW w:w="93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12" w:hRule="atLeast"/>
        </w:trPr>
        <w:tc>
          <w:tcPr>
            <w:tcW w:w="573"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682" w:type="pct"/>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64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53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52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54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560"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93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12" w:hRule="atLeast"/>
        </w:trPr>
        <w:tc>
          <w:tcPr>
            <w:tcW w:w="573"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682" w:type="pct"/>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64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53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52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54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560"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93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277" w:hRule="atLeast"/>
        </w:trPr>
        <w:tc>
          <w:tcPr>
            <w:tcW w:w="1256"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53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52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54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560"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c>
          <w:tcPr>
            <w:tcW w:w="93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6</w:t>
            </w:r>
          </w:p>
        </w:tc>
      </w:tr>
      <w:tr>
        <w:tblPrEx>
          <w:tblCellMar>
            <w:top w:w="0" w:type="dxa"/>
            <w:left w:w="108" w:type="dxa"/>
            <w:bottom w:w="0" w:type="dxa"/>
            <w:right w:w="108" w:type="dxa"/>
          </w:tblCellMar>
        </w:tblPrEx>
        <w:trPr>
          <w:trHeight w:val="277" w:hRule="atLeast"/>
        </w:trPr>
        <w:tc>
          <w:tcPr>
            <w:tcW w:w="1256"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53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52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54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560"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93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r>
      <w:tr>
        <w:tblPrEx>
          <w:tblCellMar>
            <w:top w:w="0" w:type="dxa"/>
            <w:left w:w="108" w:type="dxa"/>
            <w:bottom w:w="0" w:type="dxa"/>
            <w:right w:w="108" w:type="dxa"/>
          </w:tblCellMar>
        </w:tblPrEx>
        <w:trPr>
          <w:trHeight w:val="277" w:hRule="atLeast"/>
        </w:trPr>
        <w:tc>
          <w:tcPr>
            <w:tcW w:w="57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68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53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52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54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560"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93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283" w:hRule="atLeast"/>
        </w:trPr>
        <w:tc>
          <w:tcPr>
            <w:tcW w:w="5000" w:type="pct"/>
            <w:gridSpan w:val="11"/>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注：本表反映部门本年度政府性基金预算财政拨款收入、支出及结转和结余情况。</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bidi="ar"/>
              </w:rPr>
              <w:t>本部门2022年度没有政府性基金预算财政拨款收入，也没有政府性基金预算财政拨款安排的支出，故本表无数据</w:t>
            </w:r>
            <w:r>
              <w:rPr>
                <w:rFonts w:hint="eastAsia" w:ascii="宋体" w:hAnsi="宋体" w:eastAsia="宋体" w:cs="宋体"/>
                <w:color w:val="000000"/>
                <w:kern w:val="0"/>
                <w:sz w:val="22"/>
                <w:szCs w:val="22"/>
                <w:highlight w:val="none"/>
                <w:lang w:eastAsia="zh-CN" w:bidi="ar"/>
              </w:rPr>
              <w:t>。</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277" w:hRule="atLeast"/>
        </w:trPr>
        <w:tc>
          <w:tcPr>
            <w:tcW w:w="5000" w:type="pct"/>
            <w:gridSpan w:val="11"/>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r>
    </w:tbl>
    <w:p>
      <w:pPr>
        <w:rPr>
          <w:rFonts w:hint="eastAsia" w:ascii="仿宋" w:hAnsi="仿宋" w:eastAsia="仿宋" w:cs="仿宋"/>
          <w:sz w:val="24"/>
          <w:highlight w:val="none"/>
        </w:rPr>
      </w:pPr>
    </w:p>
    <w:p>
      <w:pPr>
        <w:rPr>
          <w:rFonts w:hint="eastAsia" w:ascii="仿宋" w:hAnsi="仿宋" w:eastAsia="仿宋" w:cs="仿宋"/>
          <w:sz w:val="32"/>
          <w:szCs w:val="32"/>
          <w:highlight w:val="none"/>
        </w:rPr>
      </w:pPr>
    </w:p>
    <w:p>
      <w:pPr>
        <w:rPr>
          <w:rFonts w:hint="eastAsia" w:ascii="仿宋" w:hAnsi="仿宋" w:eastAsia="仿宋" w:cs="仿宋"/>
          <w:sz w:val="32"/>
          <w:szCs w:val="32"/>
          <w:highlight w:val="none"/>
        </w:rPr>
      </w:pPr>
    </w:p>
    <w:p>
      <w:pPr>
        <w:rPr>
          <w:rFonts w:hint="eastAsia" w:ascii="仿宋" w:hAnsi="仿宋" w:eastAsia="仿宋" w:cs="仿宋"/>
          <w:sz w:val="32"/>
          <w:szCs w:val="32"/>
          <w:highlight w:val="none"/>
        </w:rPr>
      </w:pPr>
    </w:p>
    <w:p>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表</w:t>
      </w:r>
      <w:r>
        <w:rPr>
          <w:rFonts w:hint="eastAsia" w:ascii="仿宋" w:hAnsi="仿宋" w:eastAsia="仿宋" w:cs="仿宋"/>
          <w:color w:val="000000" w:themeColor="text1"/>
          <w:sz w:val="32"/>
          <w:szCs w:val="32"/>
          <w:highlight w:val="none"/>
          <w:lang w:val="en-US" w:eastAsia="zh-CN"/>
          <w14:textFill>
            <w14:solidFill>
              <w14:schemeClr w14:val="tx1"/>
            </w14:solidFill>
          </w14:textFill>
        </w:rPr>
        <w:t>八</w:t>
      </w:r>
      <w:r>
        <w:rPr>
          <w:rFonts w:hint="eastAsia" w:ascii="仿宋" w:hAnsi="仿宋" w:eastAsia="仿宋" w:cs="仿宋"/>
          <w:color w:val="000000" w:themeColor="text1"/>
          <w:sz w:val="32"/>
          <w:szCs w:val="32"/>
          <w:highlight w:val="none"/>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Z11</w:t>
      </w:r>
      <w:r>
        <w:rPr>
          <w:rFonts w:hint="eastAsia" w:ascii="仿宋" w:hAnsi="仿宋" w:eastAsia="仿宋" w:cs="仿宋"/>
          <w:color w:val="000000" w:themeColor="text1"/>
          <w:sz w:val="32"/>
          <w:szCs w:val="32"/>
          <w:highlight w:val="none"/>
          <w14:textFill>
            <w14:solidFill>
              <w14:schemeClr w14:val="tx1"/>
            </w14:solidFill>
          </w14:textFill>
        </w:rPr>
        <w:t>国有资本经营预算财政拨款支出决算表</w:t>
      </w:r>
      <w:r>
        <w:rPr>
          <w:rFonts w:hint="eastAsia" w:ascii="仿宋" w:hAnsi="仿宋" w:eastAsia="仿宋" w:cs="仿宋"/>
          <w:color w:val="000000" w:themeColor="text1"/>
          <w:sz w:val="32"/>
          <w:szCs w:val="32"/>
          <w:highlight w:val="none"/>
          <w:lang w:val="en-US" w:eastAsia="zh-CN"/>
          <w14:textFill>
            <w14:solidFill>
              <w14:schemeClr w14:val="tx1"/>
            </w14:solidFill>
          </w14:textFill>
        </w:rPr>
        <w:t>(公开08表）</w:t>
      </w:r>
    </w:p>
    <w:tbl>
      <w:tblPr>
        <w:tblStyle w:val="6"/>
        <w:tblW w:w="5000" w:type="pct"/>
        <w:tblInd w:w="0" w:type="dxa"/>
        <w:tblLayout w:type="autofit"/>
        <w:tblCellMar>
          <w:top w:w="0" w:type="dxa"/>
          <w:left w:w="108" w:type="dxa"/>
          <w:bottom w:w="0" w:type="dxa"/>
          <w:right w:w="108" w:type="dxa"/>
        </w:tblCellMar>
      </w:tblPr>
      <w:tblGrid>
        <w:gridCol w:w="1657"/>
        <w:gridCol w:w="507"/>
        <w:gridCol w:w="281"/>
        <w:gridCol w:w="369"/>
        <w:gridCol w:w="2004"/>
        <w:gridCol w:w="3045"/>
        <w:gridCol w:w="3181"/>
        <w:gridCol w:w="3130"/>
      </w:tblGrid>
      <w:tr>
        <w:tblPrEx>
          <w:tblCellMar>
            <w:top w:w="0" w:type="dxa"/>
            <w:left w:w="108" w:type="dxa"/>
            <w:bottom w:w="0" w:type="dxa"/>
            <w:right w:w="108" w:type="dxa"/>
          </w:tblCellMar>
        </w:tblPrEx>
        <w:trPr>
          <w:trHeight w:val="384" w:hRule="atLeast"/>
        </w:trPr>
        <w:tc>
          <w:tcPr>
            <w:tcW w:w="5000" w:type="pct"/>
            <w:gridSpan w:val="8"/>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国有资本经营预算财政拨款支出决算表</w:t>
            </w:r>
          </w:p>
        </w:tc>
      </w:tr>
      <w:tr>
        <w:tblPrEx>
          <w:tblCellMar>
            <w:top w:w="0" w:type="dxa"/>
            <w:left w:w="108" w:type="dxa"/>
            <w:bottom w:w="0" w:type="dxa"/>
            <w:right w:w="108" w:type="dxa"/>
          </w:tblCellMar>
        </w:tblPrEx>
        <w:trPr>
          <w:trHeight w:val="264" w:hRule="atLeast"/>
        </w:trPr>
        <w:tc>
          <w:tcPr>
            <w:tcW w:w="764" w:type="pct"/>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99"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30"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705"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74"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22"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02" w:type="pct"/>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w:t>
            </w:r>
            <w:r>
              <w:rPr>
                <w:rFonts w:hint="eastAsia" w:ascii="宋体" w:hAnsi="宋体" w:eastAsia="宋体" w:cs="宋体"/>
                <w:color w:val="000000"/>
                <w:kern w:val="0"/>
                <w:sz w:val="20"/>
                <w:szCs w:val="20"/>
                <w:highlight w:val="none"/>
                <w:lang w:val="en-US" w:eastAsia="zh-CN" w:bidi="ar"/>
              </w:rPr>
              <w:t>8</w:t>
            </w:r>
            <w:r>
              <w:rPr>
                <w:rFonts w:hint="eastAsia" w:ascii="宋体" w:hAnsi="宋体" w:eastAsia="宋体" w:cs="宋体"/>
                <w:color w:val="000000"/>
                <w:kern w:val="0"/>
                <w:sz w:val="20"/>
                <w:szCs w:val="20"/>
                <w:highlight w:val="none"/>
                <w:lang w:bidi="ar"/>
              </w:rPr>
              <w:t>表</w:t>
            </w:r>
          </w:p>
        </w:tc>
      </w:tr>
      <w:tr>
        <w:tblPrEx>
          <w:tblCellMar>
            <w:top w:w="0" w:type="dxa"/>
            <w:left w:w="108" w:type="dxa"/>
            <w:bottom w:w="0" w:type="dxa"/>
            <w:right w:w="108" w:type="dxa"/>
          </w:tblCellMar>
        </w:tblPrEx>
        <w:trPr>
          <w:trHeight w:val="264" w:hRule="atLeast"/>
        </w:trPr>
        <w:tc>
          <w:tcPr>
            <w:tcW w:w="2774" w:type="pct"/>
            <w:gridSpan w:val="6"/>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环江毛南族自治县职业技术学校</w:t>
            </w:r>
          </w:p>
        </w:tc>
        <w:tc>
          <w:tcPr>
            <w:tcW w:w="1122"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02" w:type="pct"/>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08" w:hRule="atLeast"/>
        </w:trPr>
        <w:tc>
          <w:tcPr>
            <w:tcW w:w="170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3299" w:type="pct"/>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本年支出</w:t>
            </w:r>
          </w:p>
        </w:tc>
      </w:tr>
      <w:tr>
        <w:tblPrEx>
          <w:tblCellMar>
            <w:top w:w="0" w:type="dxa"/>
            <w:left w:w="108" w:type="dxa"/>
            <w:bottom w:w="0" w:type="dxa"/>
            <w:right w:w="108" w:type="dxa"/>
          </w:tblCellMar>
        </w:tblPrEx>
        <w:trPr>
          <w:trHeight w:val="312" w:hRule="atLeast"/>
        </w:trPr>
        <w:tc>
          <w:tcPr>
            <w:tcW w:w="585" w:type="pct"/>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1114" w:type="pct"/>
            <w:gridSpan w:val="4"/>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074"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122"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基本支出</w:t>
            </w:r>
          </w:p>
        </w:tc>
        <w:tc>
          <w:tcPr>
            <w:tcW w:w="1102"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项目支出</w:t>
            </w:r>
          </w:p>
        </w:tc>
      </w:tr>
      <w:tr>
        <w:tblPrEx>
          <w:tblCellMar>
            <w:top w:w="0" w:type="dxa"/>
            <w:left w:w="108" w:type="dxa"/>
            <w:bottom w:w="0" w:type="dxa"/>
            <w:right w:w="108" w:type="dxa"/>
          </w:tblCellMar>
        </w:tblPrEx>
        <w:trPr>
          <w:trHeight w:val="312" w:hRule="atLeast"/>
        </w:trPr>
        <w:tc>
          <w:tcPr>
            <w:tcW w:w="585" w:type="pct"/>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14" w:type="pct"/>
            <w:gridSpan w:val="4"/>
            <w:vMerge w:val="continue"/>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074" w:type="pct"/>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22" w:type="pct"/>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02" w:type="pct"/>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12" w:hRule="atLeast"/>
        </w:trPr>
        <w:tc>
          <w:tcPr>
            <w:tcW w:w="585" w:type="pct"/>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14" w:type="pct"/>
            <w:gridSpan w:val="4"/>
            <w:vMerge w:val="continue"/>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074" w:type="pct"/>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22" w:type="pct"/>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02" w:type="pct"/>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08" w:hRule="atLeast"/>
        </w:trPr>
        <w:tc>
          <w:tcPr>
            <w:tcW w:w="1700" w:type="pct"/>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107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11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110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r>
      <w:tr>
        <w:trPr>
          <w:trHeight w:val="308" w:hRule="atLeast"/>
        </w:trPr>
        <w:tc>
          <w:tcPr>
            <w:tcW w:w="1700" w:type="pct"/>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074" w:type="pct"/>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122" w:type="pct"/>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102" w:type="pct"/>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r>
      <w:tr>
        <w:tblPrEx>
          <w:tblCellMar>
            <w:top w:w="0" w:type="dxa"/>
            <w:left w:w="108" w:type="dxa"/>
            <w:bottom w:w="0" w:type="dxa"/>
            <w:right w:w="108" w:type="dxa"/>
          </w:tblCellMar>
        </w:tblPrEx>
        <w:trPr>
          <w:trHeight w:val="308" w:hRule="atLeast"/>
        </w:trPr>
        <w:tc>
          <w:tcPr>
            <w:tcW w:w="585"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114" w:type="pct"/>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074" w:type="pct"/>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122" w:type="pct"/>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102" w:type="pct"/>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bl>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注：本表反映部门本年度国有资本经营预算财政拨款支出情况。</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bidi="ar"/>
        </w:rPr>
        <w:t>本部门2022年度没有国有资本经营收入，也没有国有资本经营安排的支出，故本表无数据</w:t>
      </w:r>
      <w:r>
        <w:rPr>
          <w:rFonts w:hint="eastAsia" w:ascii="宋体" w:hAnsi="宋体" w:eastAsia="宋体" w:cs="宋体"/>
          <w:color w:val="000000"/>
          <w:kern w:val="0"/>
          <w:sz w:val="22"/>
          <w:szCs w:val="22"/>
          <w:highlight w:val="none"/>
          <w:lang w:eastAsia="zh-CN" w:bidi="ar"/>
        </w:rPr>
        <w:t>。</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br w:type="page"/>
      </w:r>
    </w:p>
    <w:tbl>
      <w:tblPr>
        <w:tblStyle w:val="6"/>
        <w:tblW w:w="4999" w:type="pct"/>
        <w:tblInd w:w="0" w:type="dxa"/>
        <w:tblLayout w:type="autofit"/>
        <w:tblCellMar>
          <w:top w:w="0" w:type="dxa"/>
          <w:left w:w="108" w:type="dxa"/>
          <w:bottom w:w="0" w:type="dxa"/>
          <w:right w:w="108" w:type="dxa"/>
        </w:tblCellMar>
      </w:tblPr>
      <w:tblGrid>
        <w:gridCol w:w="91"/>
        <w:gridCol w:w="1452"/>
        <w:gridCol w:w="1435"/>
        <w:gridCol w:w="1101"/>
        <w:gridCol w:w="1166"/>
        <w:gridCol w:w="1143"/>
        <w:gridCol w:w="1055"/>
        <w:gridCol w:w="1072"/>
        <w:gridCol w:w="1169"/>
        <w:gridCol w:w="1061"/>
        <w:gridCol w:w="1154"/>
        <w:gridCol w:w="1143"/>
        <w:gridCol w:w="1116"/>
        <w:gridCol w:w="13"/>
      </w:tblGrid>
      <w:tr>
        <w:tblPrEx>
          <w:tblCellMar>
            <w:top w:w="0" w:type="dxa"/>
            <w:left w:w="108" w:type="dxa"/>
            <w:bottom w:w="0" w:type="dxa"/>
            <w:right w:w="108" w:type="dxa"/>
          </w:tblCellMar>
        </w:tblPrEx>
        <w:trPr>
          <w:gridBefore w:val="1"/>
          <w:wBefore w:w="33" w:type="pct"/>
          <w:trHeight w:val="308" w:hRule="atLeast"/>
        </w:trPr>
        <w:tc>
          <w:tcPr>
            <w:tcW w:w="4966" w:type="pct"/>
            <w:gridSpan w:val="13"/>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themeColor="text1"/>
                <w:kern w:val="0"/>
                <w:sz w:val="32"/>
                <w:szCs w:val="32"/>
                <w:highlight w:val="none"/>
                <w:lang w:eastAsia="zh-CN" w:bidi="ar"/>
                <w14:textFill>
                  <w14:solidFill>
                    <w14:schemeClr w14:val="tx1"/>
                  </w14:solidFill>
                </w14:textFill>
              </w:rPr>
              <w:t>表九：一般公共预算财政拨款安排的“三公”经费支出决算表（公开09表）</w:t>
            </w:r>
          </w:p>
        </w:tc>
      </w:tr>
      <w:tr>
        <w:tblPrEx>
          <w:tblCellMar>
            <w:top w:w="0" w:type="dxa"/>
            <w:left w:w="108" w:type="dxa"/>
            <w:bottom w:w="0" w:type="dxa"/>
            <w:right w:w="108" w:type="dxa"/>
          </w:tblCellMar>
        </w:tblPrEx>
        <w:trPr>
          <w:gridAfter w:val="1"/>
          <w:wAfter w:w="5" w:type="pct"/>
          <w:trHeight w:val="632" w:hRule="atLeast"/>
        </w:trPr>
        <w:tc>
          <w:tcPr>
            <w:tcW w:w="4994" w:type="pct"/>
            <w:gridSpan w:val="13"/>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both"/>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财政拨款“三公”经费支出决算表</w:t>
            </w:r>
          </w:p>
        </w:tc>
      </w:tr>
      <w:tr>
        <w:tblPrEx>
          <w:tblCellMar>
            <w:top w:w="0" w:type="dxa"/>
            <w:left w:w="108" w:type="dxa"/>
            <w:bottom w:w="0" w:type="dxa"/>
            <w:right w:w="108" w:type="dxa"/>
          </w:tblCellMar>
        </w:tblPrEx>
        <w:trPr>
          <w:gridAfter w:val="1"/>
          <w:wAfter w:w="5" w:type="pct"/>
          <w:trHeight w:val="316" w:hRule="atLeast"/>
        </w:trPr>
        <w:tc>
          <w:tcPr>
            <w:tcW w:w="546" w:type="pct"/>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507"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89"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412"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403"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70"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79"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413"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75"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408"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403"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83" w:type="pct"/>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w:t>
            </w:r>
            <w:r>
              <w:rPr>
                <w:rFonts w:hint="eastAsia" w:ascii="宋体" w:hAnsi="宋体" w:eastAsia="宋体" w:cs="宋体"/>
                <w:color w:val="000000"/>
                <w:kern w:val="0"/>
                <w:sz w:val="20"/>
                <w:szCs w:val="20"/>
                <w:highlight w:val="none"/>
                <w:lang w:val="en-US" w:eastAsia="zh-CN" w:bidi="ar"/>
              </w:rPr>
              <w:t>9</w:t>
            </w:r>
            <w:r>
              <w:rPr>
                <w:rFonts w:hint="eastAsia" w:ascii="宋体" w:hAnsi="宋体" w:eastAsia="宋体" w:cs="宋体"/>
                <w:color w:val="000000"/>
                <w:kern w:val="0"/>
                <w:sz w:val="20"/>
                <w:szCs w:val="20"/>
                <w:highlight w:val="none"/>
                <w:lang w:bidi="ar"/>
              </w:rPr>
              <w:t>表</w:t>
            </w:r>
          </w:p>
        </w:tc>
      </w:tr>
      <w:tr>
        <w:tblPrEx>
          <w:tblCellMar>
            <w:top w:w="0" w:type="dxa"/>
            <w:left w:w="108" w:type="dxa"/>
            <w:bottom w:w="0" w:type="dxa"/>
            <w:right w:w="108" w:type="dxa"/>
          </w:tblCellMar>
        </w:tblPrEx>
        <w:trPr>
          <w:gridAfter w:val="1"/>
          <w:wAfter w:w="5" w:type="pct"/>
          <w:trHeight w:val="316" w:hRule="atLeast"/>
        </w:trPr>
        <w:tc>
          <w:tcPr>
            <w:tcW w:w="2630" w:type="pct"/>
            <w:gridSpan w:val="7"/>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环江毛南族自治县职业技术学校</w:t>
            </w:r>
          </w:p>
        </w:tc>
        <w:tc>
          <w:tcPr>
            <w:tcW w:w="379"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413"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75"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408"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786" w:type="pct"/>
            <w:gridSpan w:val="2"/>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gridAfter w:val="1"/>
          <w:wAfter w:w="5" w:type="pct"/>
          <w:trHeight w:val="326" w:hRule="atLeast"/>
        </w:trPr>
        <w:tc>
          <w:tcPr>
            <w:tcW w:w="263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预算数</w:t>
            </w:r>
          </w:p>
        </w:tc>
        <w:tc>
          <w:tcPr>
            <w:tcW w:w="2363" w:type="pct"/>
            <w:gridSpan w:val="6"/>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决算数</w:t>
            </w:r>
          </w:p>
        </w:tc>
      </w:tr>
      <w:tr>
        <w:tblPrEx>
          <w:tblCellMar>
            <w:top w:w="0" w:type="dxa"/>
            <w:left w:w="108" w:type="dxa"/>
            <w:bottom w:w="0" w:type="dxa"/>
            <w:right w:w="108" w:type="dxa"/>
          </w:tblCellMar>
        </w:tblPrEx>
        <w:trPr>
          <w:gridAfter w:val="1"/>
          <w:wAfter w:w="5" w:type="pct"/>
          <w:trHeight w:val="326" w:hRule="atLeast"/>
        </w:trPr>
        <w:tc>
          <w:tcPr>
            <w:tcW w:w="546" w:type="pct"/>
            <w:gridSpan w:val="2"/>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507"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因公出国（境）费</w:t>
            </w:r>
          </w:p>
        </w:tc>
        <w:tc>
          <w:tcPr>
            <w:tcW w:w="1205"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公务用车购置及运行费</w:t>
            </w:r>
          </w:p>
        </w:tc>
        <w:tc>
          <w:tcPr>
            <w:tcW w:w="370"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公务接待费</w:t>
            </w:r>
          </w:p>
        </w:tc>
        <w:tc>
          <w:tcPr>
            <w:tcW w:w="379"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413"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因公出国（境）费</w:t>
            </w:r>
          </w:p>
        </w:tc>
        <w:tc>
          <w:tcPr>
            <w:tcW w:w="1187"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公务用车购置及运行费</w:t>
            </w:r>
          </w:p>
        </w:tc>
        <w:tc>
          <w:tcPr>
            <w:tcW w:w="383"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公务接待费</w:t>
            </w:r>
          </w:p>
        </w:tc>
      </w:tr>
      <w:tr>
        <w:tblPrEx>
          <w:tblCellMar>
            <w:top w:w="0" w:type="dxa"/>
            <w:left w:w="108" w:type="dxa"/>
            <w:bottom w:w="0" w:type="dxa"/>
            <w:right w:w="108" w:type="dxa"/>
          </w:tblCellMar>
        </w:tblPrEx>
        <w:trPr>
          <w:gridAfter w:val="1"/>
          <w:wAfter w:w="5" w:type="pct"/>
          <w:trHeight w:val="642" w:hRule="atLeast"/>
        </w:trPr>
        <w:tc>
          <w:tcPr>
            <w:tcW w:w="546" w:type="pct"/>
            <w:gridSpan w:val="2"/>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507" w:type="pct"/>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小计</w:t>
            </w:r>
          </w:p>
        </w:tc>
        <w:tc>
          <w:tcPr>
            <w:tcW w:w="412"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公务用车购置费</w:t>
            </w:r>
          </w:p>
        </w:tc>
        <w:tc>
          <w:tcPr>
            <w:tcW w:w="403"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公务用车运行费</w:t>
            </w:r>
          </w:p>
        </w:tc>
        <w:tc>
          <w:tcPr>
            <w:tcW w:w="370" w:type="pct"/>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79" w:type="pct"/>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413" w:type="pct"/>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75"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小计</w:t>
            </w:r>
          </w:p>
        </w:tc>
        <w:tc>
          <w:tcPr>
            <w:tcW w:w="40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公务用车购置费</w:t>
            </w:r>
          </w:p>
        </w:tc>
        <w:tc>
          <w:tcPr>
            <w:tcW w:w="403"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公务用车运行费</w:t>
            </w:r>
          </w:p>
        </w:tc>
        <w:tc>
          <w:tcPr>
            <w:tcW w:w="383" w:type="pct"/>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5" w:type="pct"/>
          <w:trHeight w:val="959" w:hRule="atLeast"/>
        </w:trPr>
        <w:tc>
          <w:tcPr>
            <w:tcW w:w="546"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w:t>
            </w:r>
          </w:p>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p>
        </w:tc>
        <w:tc>
          <w:tcPr>
            <w:tcW w:w="507"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412"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403"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c>
          <w:tcPr>
            <w:tcW w:w="370"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6</w:t>
            </w:r>
          </w:p>
        </w:tc>
        <w:tc>
          <w:tcPr>
            <w:tcW w:w="37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7</w:t>
            </w:r>
          </w:p>
        </w:tc>
        <w:tc>
          <w:tcPr>
            <w:tcW w:w="413"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8</w:t>
            </w:r>
          </w:p>
        </w:tc>
        <w:tc>
          <w:tcPr>
            <w:tcW w:w="375"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9</w:t>
            </w:r>
          </w:p>
        </w:tc>
        <w:tc>
          <w:tcPr>
            <w:tcW w:w="40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10</w:t>
            </w:r>
          </w:p>
        </w:tc>
        <w:tc>
          <w:tcPr>
            <w:tcW w:w="403"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11</w:t>
            </w:r>
          </w:p>
        </w:tc>
        <w:tc>
          <w:tcPr>
            <w:tcW w:w="383"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12</w:t>
            </w:r>
          </w:p>
        </w:tc>
      </w:tr>
      <w:tr>
        <w:tblPrEx>
          <w:tblCellMar>
            <w:top w:w="0" w:type="dxa"/>
            <w:left w:w="108" w:type="dxa"/>
            <w:bottom w:w="0" w:type="dxa"/>
            <w:right w:w="108" w:type="dxa"/>
          </w:tblCellMar>
        </w:tblPrEx>
        <w:trPr>
          <w:gridAfter w:val="1"/>
          <w:wAfter w:w="5" w:type="pct"/>
          <w:trHeight w:val="642" w:hRule="atLeast"/>
        </w:trPr>
        <w:tc>
          <w:tcPr>
            <w:tcW w:w="546" w:type="pct"/>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507" w:type="pct"/>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389" w:type="pct"/>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412" w:type="pct"/>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403" w:type="pct"/>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37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37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413" w:type="pct"/>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375" w:type="pct"/>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408" w:type="pct"/>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403" w:type="pct"/>
            <w:tcBorders>
              <w:top w:val="nil"/>
              <w:left w:val="nil"/>
              <w:bottom w:val="single" w:color="000000" w:sz="4" w:space="0"/>
              <w:right w:val="single" w:color="000000" w:sz="4" w:space="0"/>
            </w:tcBorders>
            <w:shd w:val="clear" w:color="auto" w:fill="auto"/>
            <w:noWrap/>
          </w:tcPr>
          <w:p>
            <w:pPr>
              <w:keepNext w:val="0"/>
              <w:keepLines w:val="0"/>
              <w:suppressLineNumbers w:val="0"/>
              <w:spacing w:before="0" w:beforeAutospacing="0" w:after="0" w:afterAutospacing="0"/>
              <w:ind w:left="0" w:right="0"/>
              <w:jc w:val="right"/>
              <w:rPr>
                <w:rFonts w:hint="default"/>
                <w:highlight w:val="none"/>
              </w:rPr>
            </w:pPr>
            <w:r>
              <w:rPr>
                <w:rFonts w:hint="default"/>
                <w:highlight w:val="none"/>
              </w:rPr>
              <w:t>0.00</w:t>
            </w:r>
          </w:p>
        </w:tc>
        <w:tc>
          <w:tcPr>
            <w:tcW w:w="383" w:type="pct"/>
            <w:tcBorders>
              <w:top w:val="nil"/>
              <w:left w:val="nil"/>
              <w:bottom w:val="single" w:color="000000" w:sz="4" w:space="0"/>
              <w:right w:val="single" w:color="000000" w:sz="4" w:space="0"/>
            </w:tcBorders>
            <w:shd w:val="clear" w:color="auto" w:fill="auto"/>
            <w:noWrap/>
          </w:tcPr>
          <w:p>
            <w:pPr>
              <w:keepNext w:val="0"/>
              <w:keepLines w:val="0"/>
              <w:suppressLineNumbers w:val="0"/>
              <w:spacing w:before="0" w:beforeAutospacing="0" w:after="0" w:afterAutospacing="0"/>
              <w:ind w:left="0" w:right="0"/>
              <w:jc w:val="right"/>
              <w:rPr>
                <w:rFonts w:hint="default"/>
                <w:highlight w:val="none"/>
              </w:rPr>
            </w:pPr>
            <w:r>
              <w:rPr>
                <w:rFonts w:hint="eastAsia"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gridAfter w:val="1"/>
          <w:wAfter w:w="5" w:type="pct"/>
          <w:trHeight w:val="642" w:hRule="atLeast"/>
        </w:trPr>
        <w:tc>
          <w:tcPr>
            <w:tcW w:w="4994" w:type="pct"/>
            <w:gridSpan w:val="13"/>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注：本表反映部门本年度“三公”经费支出预决算情况。其中，预算数为“三公”经费全年预算数，反映按规定程序调整后的预算数；决算数是包括当年一般公共预算财政拨款和以前年度结转资金安排的实际支出。</w:t>
            </w:r>
          </w:p>
        </w:tc>
      </w:tr>
    </w:tbl>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eastAsia="zh-CN" w:bidi="ar"/>
        </w:rPr>
        <w:sectPr>
          <w:pgSz w:w="16838" w:h="11906" w:orient="landscape"/>
          <w:pgMar w:top="1800" w:right="1440" w:bottom="1800" w:left="1440" w:header="851" w:footer="992" w:gutter="0"/>
          <w:cols w:space="425" w:num="1"/>
          <w:docGrid w:type="lines" w:linePitch="312" w:charSpace="0"/>
        </w:sectPr>
      </w:pPr>
      <w:r>
        <w:rPr>
          <w:rFonts w:hint="eastAsia" w:ascii="宋体" w:hAnsi="宋体" w:eastAsia="宋体" w:cs="宋体"/>
          <w:color w:val="000000"/>
          <w:kern w:val="0"/>
          <w:sz w:val="22"/>
          <w:szCs w:val="22"/>
          <w:highlight w:val="none"/>
          <w:lang w:bidi="ar"/>
        </w:rPr>
        <w:t>本部门2022年度没有</w:t>
      </w:r>
      <w:r>
        <w:rPr>
          <w:rFonts w:hint="eastAsia" w:ascii="宋体" w:hAnsi="宋体" w:eastAsia="宋体" w:cs="宋体"/>
          <w:color w:val="000000"/>
          <w:kern w:val="0"/>
          <w:sz w:val="22"/>
          <w:szCs w:val="22"/>
          <w:highlight w:val="none"/>
          <w:lang w:eastAsia="zh-CN" w:bidi="ar"/>
        </w:rPr>
        <w:t>“三公”经费</w:t>
      </w:r>
      <w:r>
        <w:rPr>
          <w:rFonts w:hint="eastAsia" w:ascii="宋体" w:hAnsi="宋体" w:eastAsia="宋体" w:cs="宋体"/>
          <w:color w:val="000000"/>
          <w:kern w:val="0"/>
          <w:sz w:val="22"/>
          <w:szCs w:val="22"/>
          <w:highlight w:val="none"/>
          <w:lang w:bidi="ar"/>
        </w:rPr>
        <w:t>收入，也没有</w:t>
      </w:r>
      <w:r>
        <w:rPr>
          <w:rFonts w:hint="eastAsia" w:ascii="宋体" w:hAnsi="宋体" w:eastAsia="宋体" w:cs="宋体"/>
          <w:color w:val="000000"/>
          <w:kern w:val="0"/>
          <w:sz w:val="22"/>
          <w:szCs w:val="22"/>
          <w:highlight w:val="none"/>
          <w:lang w:eastAsia="zh-CN" w:bidi="ar"/>
        </w:rPr>
        <w:t>“三公”经费</w:t>
      </w:r>
      <w:r>
        <w:rPr>
          <w:rFonts w:hint="eastAsia" w:ascii="宋体" w:hAnsi="宋体" w:eastAsia="宋体" w:cs="宋体"/>
          <w:color w:val="000000"/>
          <w:kern w:val="0"/>
          <w:sz w:val="22"/>
          <w:szCs w:val="22"/>
          <w:highlight w:val="none"/>
          <w:lang w:bidi="ar"/>
        </w:rPr>
        <w:t>的支出，故本表无数据</w:t>
      </w:r>
      <w:r>
        <w:rPr>
          <w:rFonts w:hint="eastAsia" w:ascii="宋体" w:hAnsi="宋体" w:eastAsia="宋体" w:cs="宋体"/>
          <w:color w:val="000000"/>
          <w:kern w:val="0"/>
          <w:sz w:val="22"/>
          <w:szCs w:val="22"/>
          <w:highlight w:val="none"/>
          <w:lang w:eastAsia="zh-CN" w:bidi="ar"/>
        </w:rPr>
        <w:t>。</w:t>
      </w:r>
    </w:p>
    <w:p>
      <w:pPr>
        <w:jc w:val="left"/>
        <w:rPr>
          <w:rFonts w:ascii="仿宋" w:hAnsi="仿宋" w:eastAsia="仿宋" w:cs="仿宋"/>
          <w:sz w:val="24"/>
          <w:highlight w:val="none"/>
        </w:rPr>
      </w:pPr>
    </w:p>
    <w:p>
      <w:pPr>
        <w:jc w:val="center"/>
        <w:rPr>
          <w:rFonts w:ascii="仿宋" w:hAnsi="仿宋" w:eastAsia="仿宋" w:cs="仿宋"/>
          <w:sz w:val="32"/>
          <w:szCs w:val="32"/>
          <w:highlight w:val="none"/>
        </w:rPr>
      </w:pPr>
      <w:r>
        <w:rPr>
          <w:rFonts w:hint="eastAsia" w:ascii="黑体" w:hAnsi="黑体" w:eastAsia="黑体" w:cs="黑体"/>
          <w:sz w:val="32"/>
          <w:szCs w:val="32"/>
          <w:highlight w:val="none"/>
        </w:rPr>
        <w:t>第三部分：</w:t>
      </w:r>
      <w:r>
        <w:rPr>
          <w:rFonts w:ascii="黑体" w:hAnsi="黑体" w:eastAsia="黑体" w:cs="黑体"/>
          <w:sz w:val="32"/>
          <w:u w:color="auto"/>
        </w:rPr>
        <w:t>环江毛南族自治县职业技术学校</w:t>
      </w:r>
      <w:r>
        <w:rPr>
          <w:rFonts w:hint="eastAsia" w:ascii="黑体" w:hAnsi="黑体" w:eastAsia="黑体" w:cs="黑体"/>
          <w:sz w:val="32"/>
          <w:szCs w:val="32"/>
          <w:highlight w:val="none"/>
        </w:rPr>
        <w:t>2022年度部门决算情况说明</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一、2022年度收入支出决算总体情况</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（一）本部门2022年度总收入</w:t>
      </w:r>
      <w:r>
        <w:rPr>
          <w:rFonts w:ascii="仿宋" w:hAnsi="仿宋" w:eastAsia="仿宋" w:cs="仿宋"/>
          <w:sz w:val="32"/>
          <w:u w:color="auto"/>
        </w:rPr>
        <w:t>3582.72</w:t>
      </w:r>
      <w:r>
        <w:rPr>
          <w:rFonts w:hint="eastAsia" w:ascii="仿宋" w:hAnsi="仿宋" w:eastAsia="仿宋" w:cs="仿宋"/>
          <w:sz w:val="32"/>
          <w:szCs w:val="32"/>
          <w:highlight w:val="none"/>
        </w:rPr>
        <w:t>万元，较2021年度决算数</w:t>
      </w:r>
      <w:r>
        <w:rPr>
          <w:rFonts w:ascii="仿宋" w:hAnsi="仿宋" w:eastAsia="仿宋" w:cs="仿宋"/>
          <w:sz w:val="32"/>
          <w:u w:color="auto"/>
        </w:rPr>
        <w:t>增加31.45</w:t>
      </w:r>
      <w:r>
        <w:rPr>
          <w:rFonts w:hint="eastAsia" w:ascii="仿宋" w:hAnsi="仿宋" w:eastAsia="仿宋" w:cs="仿宋"/>
          <w:sz w:val="32"/>
          <w:szCs w:val="32"/>
          <w:highlight w:val="none"/>
        </w:rPr>
        <w:t>万元，</w:t>
      </w:r>
      <w:r>
        <w:rPr>
          <w:rFonts w:ascii="仿宋" w:hAnsi="仿宋" w:eastAsia="仿宋" w:cs="仿宋"/>
          <w:sz w:val="32"/>
          <w:u w:color="auto"/>
        </w:rPr>
        <w:t>增长0.89%</w:t>
      </w:r>
      <w:r>
        <w:rPr>
          <w:rFonts w:hint="eastAsia" w:ascii="仿宋" w:hAnsi="仿宋" w:eastAsia="仿宋" w:cs="仿宋"/>
          <w:sz w:val="32"/>
          <w:szCs w:val="32"/>
          <w:highlight w:val="none"/>
        </w:rPr>
        <w:t>，其中本年收入</w:t>
      </w:r>
      <w:r>
        <w:rPr>
          <w:rFonts w:ascii="仿宋" w:hAnsi="仿宋" w:eastAsia="仿宋" w:cs="仿宋"/>
          <w:sz w:val="32"/>
          <w:u w:color="auto"/>
        </w:rPr>
        <w:t>3582.72</w:t>
      </w:r>
      <w:r>
        <w:rPr>
          <w:rFonts w:hint="eastAsia" w:ascii="仿宋" w:hAnsi="仿宋" w:eastAsia="仿宋" w:cs="仿宋"/>
          <w:sz w:val="32"/>
          <w:szCs w:val="32"/>
          <w:highlight w:val="none"/>
        </w:rPr>
        <w:t>万元。收入具体情况如下。</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eastAsia" w:ascii="仿宋" w:hAnsi="仿宋" w:eastAsia="仿宋" w:cs="仿宋"/>
          <w:kern w:val="2"/>
          <w:sz w:val="32"/>
          <w:szCs w:val="32"/>
          <w:highlight w:val="none"/>
          <w:lang w:val="en-US" w:eastAsia="zh-CN" w:bidi="ar"/>
        </w:rPr>
        <w:t>1.一般公共预算财政拨款收入</w:t>
      </w:r>
      <w:r>
        <w:rPr>
          <w:rFonts w:ascii="仿宋" w:hAnsi="仿宋" w:eastAsia="仿宋" w:cs="仿宋"/>
          <w:sz w:val="32"/>
          <w:u w:color="auto"/>
        </w:rPr>
        <w:t>3511.22</w:t>
      </w:r>
      <w:r>
        <w:rPr>
          <w:rFonts w:hint="eastAsia" w:ascii="仿宋" w:hAnsi="仿宋" w:eastAsia="仿宋" w:cs="仿宋"/>
          <w:kern w:val="2"/>
          <w:sz w:val="32"/>
          <w:szCs w:val="32"/>
          <w:highlight w:val="none"/>
          <w:lang w:val="en-US" w:eastAsia="zh-CN" w:bidi="ar"/>
        </w:rPr>
        <w:t>万元，为</w:t>
      </w:r>
      <w:r>
        <w:rPr>
          <w:rFonts w:hint="eastAsia" w:ascii="仿宋" w:hAnsi="仿宋" w:eastAsia="仿宋" w:cs="仿宋"/>
          <w:sz w:val="32"/>
          <w:szCs w:val="32"/>
          <w:highlight w:val="none"/>
        </w:rPr>
        <w:t>环江毛南族自治县</w:t>
      </w:r>
      <w:r>
        <w:rPr>
          <w:rFonts w:hint="eastAsia" w:ascii="仿宋" w:hAnsi="仿宋" w:eastAsia="仿宋" w:cs="仿宋"/>
          <w:kern w:val="2"/>
          <w:sz w:val="32"/>
          <w:szCs w:val="32"/>
          <w:highlight w:val="none"/>
          <w:lang w:val="en-US" w:eastAsia="zh-CN" w:bidi="ar"/>
        </w:rPr>
        <w:t>本级财政当年拨付的资金。较2021年度决算数</w:t>
      </w:r>
      <w:r>
        <w:rPr>
          <w:rFonts w:ascii="仿宋" w:hAnsi="仿宋" w:eastAsia="仿宋" w:cs="仿宋"/>
          <w:sz w:val="32"/>
          <w:u w:color="auto"/>
        </w:rPr>
        <w:t>增加141.00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增长4.18%</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w:t>
      </w:r>
      <w:r>
        <w:rPr>
          <w:rFonts w:hint="default" w:ascii="Times New Roman" w:hAnsi="Times New Roman" w:eastAsia="仿宋_GB2312" w:cs="Times New Roman"/>
          <w:kern w:val="0"/>
          <w:sz w:val="32"/>
          <w:szCs w:val="32"/>
        </w:rPr>
        <w:t>主要原因是</w:t>
      </w:r>
      <w:r>
        <w:rPr>
          <w:rFonts w:hint="eastAsia" w:ascii="Times New Roman" w:hAnsi="Times New Roman" w:eastAsia="仿宋_GB2312" w:cs="Times New Roman"/>
          <w:kern w:val="0"/>
          <w:sz w:val="32"/>
          <w:szCs w:val="32"/>
          <w:lang w:eastAsia="zh-CN"/>
        </w:rPr>
        <w:t>本年新增了急缺人才和公招教师</w:t>
      </w:r>
      <w:r>
        <w:rPr>
          <w:rFonts w:hint="eastAsia" w:ascii="Times New Roman" w:hAnsi="Times New Roman" w:eastAsia="仿宋_GB2312" w:cs="Times New Roman"/>
          <w:kern w:val="0"/>
          <w:sz w:val="32"/>
          <w:szCs w:val="32"/>
          <w:lang w:val="en-US" w:eastAsia="zh-CN"/>
        </w:rPr>
        <w:t>24人</w:t>
      </w:r>
      <w:r>
        <w:rPr>
          <w:rFonts w:hint="eastAsia" w:ascii="Times New Roman" w:hAnsi="Times New Roman" w:eastAsia="仿宋_GB2312" w:cs="Times New Roman"/>
          <w:kern w:val="0"/>
          <w:sz w:val="32"/>
          <w:szCs w:val="32"/>
          <w:lang w:eastAsia="zh-CN"/>
        </w:rPr>
        <w:t>，并且五险基数变高</w:t>
      </w:r>
      <w:r>
        <w:rPr>
          <w:rFonts w:hint="default" w:ascii="Times New Roman" w:hAnsi="Times New Roman" w:eastAsia="仿宋_GB2312" w:cs="Times New Roman"/>
          <w:kern w:val="0"/>
          <w:sz w:val="32"/>
          <w:szCs w:val="32"/>
        </w:rPr>
        <w:t>。</w:t>
      </w:r>
    </w:p>
    <w:p>
      <w:pPr>
        <w:keepNext w:val="0"/>
        <w:keepLines w:val="0"/>
        <w:widowControl w:val="0"/>
        <w:suppressLineNumbers w:val="0"/>
        <w:spacing w:before="0" w:beforeAutospacing="0" w:after="0" w:afterAutospacing="0"/>
        <w:ind w:left="0" w:right="0" w:firstLine="640" w:firstLineChars="200"/>
        <w:jc w:val="left"/>
        <w:rPr>
          <w:rFonts w:hint="default" w:ascii="Times New Roman" w:hAnsi="Times New Roman" w:eastAsia="仿宋_GB2312" w:cs="Times New Roman"/>
          <w:kern w:val="0"/>
          <w:sz w:val="32"/>
          <w:szCs w:val="32"/>
        </w:rPr>
      </w:pPr>
      <w:r>
        <w:rPr>
          <w:rFonts w:hint="eastAsia" w:ascii="仿宋" w:hAnsi="仿宋" w:eastAsia="仿宋" w:cs="仿宋"/>
          <w:kern w:val="2"/>
          <w:sz w:val="32"/>
          <w:szCs w:val="32"/>
          <w:highlight w:val="none"/>
          <w:lang w:val="en-US" w:eastAsia="zh-CN" w:bidi="ar"/>
        </w:rPr>
        <w:t>2.政府性基金预算财政拨款收入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万元，为</w:t>
      </w:r>
      <w:r>
        <w:rPr>
          <w:rFonts w:hint="eastAsia" w:ascii="仿宋" w:hAnsi="仿宋" w:eastAsia="仿宋" w:cs="仿宋"/>
          <w:sz w:val="32"/>
          <w:szCs w:val="32"/>
          <w:highlight w:val="none"/>
        </w:rPr>
        <w:t>环江毛南族自治县</w:t>
      </w:r>
      <w:r>
        <w:rPr>
          <w:rFonts w:hint="eastAsia" w:ascii="仿宋" w:hAnsi="仿宋" w:eastAsia="仿宋" w:cs="仿宋"/>
          <w:kern w:val="2"/>
          <w:sz w:val="32"/>
          <w:szCs w:val="32"/>
          <w:highlight w:val="none"/>
          <w:lang w:val="en-US" w:eastAsia="zh-CN" w:bidi="ar"/>
        </w:rPr>
        <w:t>本级财政当年拨付的资金。较2021年度决算数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w:t>
      </w:r>
      <w:r>
        <w:rPr>
          <w:rFonts w:hint="eastAsia" w:ascii="Times New Roman" w:hAnsi="Times New Roman" w:eastAsia="仿宋_GB2312" w:cs="Times New Roman"/>
          <w:kern w:val="0"/>
          <w:sz w:val="32"/>
          <w:szCs w:val="32"/>
          <w:lang w:eastAsia="zh-CN"/>
        </w:rPr>
        <w:t>本部门</w:t>
      </w:r>
      <w:r>
        <w:rPr>
          <w:rFonts w:hint="eastAsia" w:ascii="Times New Roman" w:hAnsi="Times New Roman" w:eastAsia="仿宋_GB2312" w:cs="Times New Roman"/>
          <w:kern w:val="0"/>
          <w:sz w:val="32"/>
          <w:szCs w:val="32"/>
          <w:lang w:val="en-US" w:eastAsia="zh-CN"/>
        </w:rPr>
        <w:t>2022年没有政府性基金资金的收入和支出，所以各项数据为0</w:t>
      </w:r>
      <w:r>
        <w:rPr>
          <w:rFonts w:hint="default" w:ascii="Times New Roman" w:hAnsi="Times New Roman" w:eastAsia="仿宋_GB2312" w:cs="Times New Roman"/>
          <w:kern w:val="0"/>
          <w:sz w:val="32"/>
          <w:szCs w:val="32"/>
        </w:rPr>
        <w:t>。</w:t>
      </w:r>
    </w:p>
    <w:p>
      <w:pPr>
        <w:keepNext w:val="0"/>
        <w:keepLines w:val="0"/>
        <w:widowControl w:val="0"/>
        <w:suppressLineNumbers w:val="0"/>
        <w:spacing w:before="0" w:beforeAutospacing="0" w:after="0" w:afterAutospacing="0"/>
        <w:ind w:left="0" w:right="0" w:firstLine="640" w:firstLineChars="200"/>
        <w:jc w:val="left"/>
        <w:rPr>
          <w:rFonts w:hint="default" w:ascii="Times New Roman" w:hAnsi="Times New Roman" w:eastAsia="仿宋_GB2312" w:cs="Times New Roman"/>
          <w:kern w:val="0"/>
          <w:sz w:val="32"/>
          <w:szCs w:val="32"/>
        </w:rPr>
      </w:pPr>
      <w:r>
        <w:rPr>
          <w:rFonts w:hint="eastAsia" w:ascii="仿宋" w:hAnsi="仿宋" w:eastAsia="仿宋" w:cs="仿宋"/>
          <w:kern w:val="2"/>
          <w:sz w:val="32"/>
          <w:szCs w:val="32"/>
          <w:highlight w:val="none"/>
          <w:lang w:val="en-US" w:eastAsia="zh-CN" w:bidi="ar"/>
        </w:rPr>
        <w:t>3.国有资本经营预算财政拨款收入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万元。为</w:t>
      </w:r>
      <w:r>
        <w:rPr>
          <w:rFonts w:hint="eastAsia" w:ascii="仿宋" w:hAnsi="仿宋" w:eastAsia="仿宋" w:cs="仿宋"/>
          <w:sz w:val="32"/>
          <w:szCs w:val="32"/>
          <w:highlight w:val="none"/>
        </w:rPr>
        <w:t>环江毛南族自治县</w:t>
      </w:r>
      <w:r>
        <w:rPr>
          <w:rFonts w:hint="eastAsia" w:ascii="仿宋" w:hAnsi="仿宋" w:eastAsia="仿宋" w:cs="仿宋"/>
          <w:kern w:val="2"/>
          <w:sz w:val="32"/>
          <w:szCs w:val="32"/>
          <w:highlight w:val="none"/>
          <w:lang w:val="en-US" w:eastAsia="zh-CN" w:bidi="ar"/>
        </w:rPr>
        <w:t>本级财政当年拨付的资金。较2021年度决算数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Times New Roman" w:hAnsi="Times New Roman" w:eastAsia="仿宋_GB2312" w:cs="Times New Roman"/>
          <w:kern w:val="0"/>
          <w:sz w:val="32"/>
          <w:szCs w:val="32"/>
          <w:lang w:eastAsia="zh-CN"/>
        </w:rPr>
        <w:t>本部门</w:t>
      </w:r>
      <w:r>
        <w:rPr>
          <w:rFonts w:hint="eastAsia" w:ascii="Times New Roman" w:hAnsi="Times New Roman" w:eastAsia="仿宋_GB2312" w:cs="Times New Roman"/>
          <w:kern w:val="0"/>
          <w:sz w:val="32"/>
          <w:szCs w:val="32"/>
          <w:lang w:val="en-US" w:eastAsia="zh-CN"/>
        </w:rPr>
        <w:t>2022年没有</w:t>
      </w:r>
      <w:r>
        <w:rPr>
          <w:rFonts w:hint="default" w:ascii="Times New Roman" w:hAnsi="Times New Roman" w:eastAsia="仿宋_GB2312" w:cs="Times New Roman"/>
          <w:sz w:val="32"/>
          <w:szCs w:val="32"/>
        </w:rPr>
        <w:t>国有资本经营</w:t>
      </w:r>
      <w:r>
        <w:rPr>
          <w:rFonts w:hint="eastAsia" w:ascii="Times New Roman" w:hAnsi="Times New Roman" w:eastAsia="仿宋_GB2312" w:cs="Times New Roman"/>
          <w:kern w:val="0"/>
          <w:sz w:val="32"/>
          <w:szCs w:val="32"/>
          <w:lang w:val="en-US" w:eastAsia="zh-CN"/>
        </w:rPr>
        <w:t>资金的收入和支出，所以各项数据为0</w:t>
      </w:r>
      <w:r>
        <w:rPr>
          <w:rFonts w:hint="default" w:ascii="Times New Roman" w:hAnsi="Times New Roman" w:eastAsia="仿宋_GB2312" w:cs="Times New Roman"/>
          <w:kern w:val="0"/>
          <w:sz w:val="32"/>
          <w:szCs w:val="32"/>
        </w:rPr>
        <w:t>。</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sz w:val="32"/>
          <w:szCs w:val="32"/>
          <w:highlight w:val="none"/>
          <w:lang w:val="en-US"/>
        </w:rPr>
      </w:pPr>
      <w:r>
        <w:rPr>
          <w:rFonts w:hint="eastAsia" w:ascii="仿宋" w:hAnsi="仿宋" w:eastAsia="仿宋" w:cs="仿宋"/>
          <w:kern w:val="2"/>
          <w:sz w:val="32"/>
          <w:szCs w:val="32"/>
          <w:highlight w:val="none"/>
          <w:lang w:val="en-US" w:eastAsia="zh-CN" w:bidi="ar"/>
        </w:rPr>
        <w:t>4.上级补助收入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万元，为上级部门当年拨付的资金。较2021年度决算数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Times New Roman" w:hAnsi="Times New Roman" w:eastAsia="仿宋_GB2312" w:cs="Times New Roman"/>
          <w:kern w:val="0"/>
          <w:sz w:val="32"/>
          <w:szCs w:val="32"/>
          <w:lang w:eastAsia="zh-CN"/>
        </w:rPr>
        <w:t>本部门</w:t>
      </w:r>
      <w:r>
        <w:rPr>
          <w:rFonts w:hint="eastAsia" w:ascii="Times New Roman" w:hAnsi="Times New Roman" w:eastAsia="仿宋_GB2312" w:cs="Times New Roman"/>
          <w:kern w:val="0"/>
          <w:sz w:val="32"/>
          <w:szCs w:val="32"/>
          <w:lang w:val="en-US" w:eastAsia="zh-CN"/>
        </w:rPr>
        <w:t>2022年没有</w:t>
      </w:r>
      <w:r>
        <w:rPr>
          <w:rFonts w:hint="eastAsia" w:ascii="仿宋" w:hAnsi="仿宋" w:eastAsia="仿宋" w:cs="仿宋"/>
          <w:kern w:val="2"/>
          <w:sz w:val="32"/>
          <w:szCs w:val="32"/>
          <w:highlight w:val="none"/>
          <w:lang w:val="en-US" w:eastAsia="zh-CN" w:bidi="ar"/>
        </w:rPr>
        <w:t>上级补助收入</w:t>
      </w:r>
      <w:r>
        <w:rPr>
          <w:rFonts w:hint="eastAsia" w:ascii="Times New Roman" w:hAnsi="Times New Roman" w:eastAsia="仿宋_GB2312" w:cs="Times New Roman"/>
          <w:kern w:val="0"/>
          <w:sz w:val="32"/>
          <w:szCs w:val="32"/>
          <w:lang w:val="en-US" w:eastAsia="zh-CN"/>
        </w:rPr>
        <w:t>和支出，所以各项数据为0</w:t>
      </w:r>
      <w:r>
        <w:rPr>
          <w:rFonts w:hint="default" w:ascii="Times New Roman" w:hAnsi="Times New Roman" w:eastAsia="仿宋_GB2312" w:cs="Times New Roman"/>
          <w:kern w:val="0"/>
          <w:sz w:val="32"/>
          <w:szCs w:val="32"/>
        </w:rPr>
        <w:t>。</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_GB2312" w:cs="仿宋"/>
          <w:color w:val="FF0000"/>
          <w:sz w:val="32"/>
          <w:szCs w:val="32"/>
          <w:highlight w:val="none"/>
          <w:lang w:val="en-US" w:eastAsia="zh-CN"/>
        </w:rPr>
      </w:pPr>
      <w:r>
        <w:rPr>
          <w:rFonts w:hint="eastAsia" w:ascii="仿宋" w:hAnsi="仿宋" w:eastAsia="仿宋" w:cs="仿宋"/>
          <w:kern w:val="2"/>
          <w:sz w:val="32"/>
          <w:szCs w:val="32"/>
          <w:highlight w:val="none"/>
          <w:lang w:val="en-US" w:eastAsia="zh-CN" w:bidi="ar"/>
        </w:rPr>
        <w:t>5.事业收入</w:t>
      </w:r>
      <w:r>
        <w:rPr>
          <w:rFonts w:ascii="仿宋" w:hAnsi="仿宋" w:eastAsia="仿宋" w:cs="仿宋"/>
          <w:sz w:val="32"/>
          <w:u w:color="auto"/>
        </w:rPr>
        <w:t>71.50</w:t>
      </w:r>
      <w:r>
        <w:rPr>
          <w:rFonts w:hint="eastAsia" w:ascii="仿宋" w:hAnsi="仿宋" w:eastAsia="仿宋" w:cs="仿宋"/>
          <w:kern w:val="2"/>
          <w:sz w:val="32"/>
          <w:szCs w:val="32"/>
          <w:highlight w:val="none"/>
          <w:lang w:val="en-US" w:eastAsia="zh-CN" w:bidi="ar"/>
        </w:rPr>
        <w:t>万元，为事业单位开展业务活动取得的收入。较2021年度决算数</w:t>
      </w:r>
      <w:r>
        <w:rPr>
          <w:rFonts w:ascii="仿宋" w:hAnsi="仿宋" w:eastAsia="仿宋" w:cs="仿宋"/>
          <w:sz w:val="32"/>
          <w:u w:color="auto"/>
        </w:rPr>
        <w:t>增加71.50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增长100%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Times New Roman" w:hAnsi="Times New Roman" w:eastAsia="仿宋_GB2312" w:cs="Times New Roman"/>
          <w:kern w:val="0"/>
          <w:sz w:val="32"/>
          <w:szCs w:val="32"/>
          <w:lang w:val="en-US" w:eastAsia="zh-CN"/>
        </w:rPr>
        <w:t>2021</w:t>
      </w:r>
      <w:r>
        <w:rPr>
          <w:rFonts w:hint="eastAsia" w:ascii="Times New Roman" w:hAnsi="Times New Roman" w:eastAsia="仿宋_GB2312" w:cs="Times New Roman"/>
          <w:kern w:val="0"/>
          <w:sz w:val="32"/>
          <w:szCs w:val="32"/>
          <w:lang w:eastAsia="zh-CN"/>
        </w:rPr>
        <w:t>年度事业收入纳入一般公共预算财政拨款收入，所以</w:t>
      </w:r>
      <w:r>
        <w:rPr>
          <w:rFonts w:hint="eastAsia" w:ascii="Times New Roman" w:hAnsi="Times New Roman" w:eastAsia="仿宋_GB2312" w:cs="Times New Roman"/>
          <w:kern w:val="0"/>
          <w:sz w:val="32"/>
          <w:szCs w:val="32"/>
          <w:lang w:val="en-US" w:eastAsia="zh-CN"/>
        </w:rPr>
        <w:t>2021年事业收入为0 。</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eastAsia" w:ascii="仿宋" w:hAnsi="仿宋" w:eastAsia="仿宋" w:cs="仿宋"/>
          <w:kern w:val="2"/>
          <w:sz w:val="32"/>
          <w:szCs w:val="32"/>
          <w:highlight w:val="none"/>
          <w:lang w:val="en-US" w:eastAsia="zh-CN" w:bidi="ar"/>
        </w:rPr>
        <w:t>6.经营收入0.00万,为事业单位在业务活动之外开展非独立核算经营活动取得的收入。较2021年度决算数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Times New Roman" w:hAnsi="Times New Roman" w:eastAsia="仿宋_GB2312" w:cs="Times New Roman"/>
          <w:kern w:val="0"/>
          <w:sz w:val="32"/>
          <w:szCs w:val="32"/>
          <w:lang w:eastAsia="zh-CN"/>
        </w:rPr>
        <w:t>本部门</w:t>
      </w:r>
      <w:r>
        <w:rPr>
          <w:rFonts w:hint="eastAsia" w:ascii="Times New Roman" w:hAnsi="Times New Roman" w:eastAsia="仿宋_GB2312" w:cs="Times New Roman"/>
          <w:kern w:val="0"/>
          <w:sz w:val="32"/>
          <w:szCs w:val="32"/>
          <w:lang w:val="en-US" w:eastAsia="zh-CN"/>
        </w:rPr>
        <w:t>2022年没有</w:t>
      </w:r>
      <w:r>
        <w:rPr>
          <w:rFonts w:hint="default" w:ascii="Times New Roman" w:hAnsi="Times New Roman" w:eastAsia="仿宋_GB2312" w:cs="Times New Roman"/>
          <w:kern w:val="0"/>
          <w:sz w:val="32"/>
          <w:szCs w:val="32"/>
        </w:rPr>
        <w:t>经营收入</w:t>
      </w:r>
      <w:r>
        <w:rPr>
          <w:rFonts w:hint="eastAsia" w:ascii="Times New Roman" w:hAnsi="Times New Roman" w:eastAsia="仿宋_GB2312" w:cs="Times New Roman"/>
          <w:kern w:val="0"/>
          <w:sz w:val="32"/>
          <w:szCs w:val="32"/>
          <w:lang w:val="en-US" w:eastAsia="zh-CN"/>
        </w:rPr>
        <w:t>的收入和支出，所以各项数据为0</w:t>
      </w:r>
      <w:r>
        <w:rPr>
          <w:rFonts w:hint="default" w:ascii="Times New Roman" w:hAnsi="Times New Roman" w:eastAsia="仿宋_GB2312" w:cs="Times New Roman"/>
          <w:kern w:val="0"/>
          <w:sz w:val="32"/>
          <w:szCs w:val="32"/>
        </w:rPr>
        <w:t>。</w:t>
      </w:r>
    </w:p>
    <w:p>
      <w:pPr>
        <w:keepNext w:val="0"/>
        <w:keepLines w:val="0"/>
        <w:widowControl w:val="0"/>
        <w:suppressLineNumbers w:val="0"/>
        <w:spacing w:before="0" w:beforeAutospacing="0" w:after="0" w:afterAutospacing="0"/>
        <w:ind w:left="0" w:right="0" w:firstLine="640" w:firstLineChars="200"/>
        <w:jc w:val="left"/>
        <w:rPr>
          <w:rFonts w:hint="default" w:ascii="Times New Roman" w:hAnsi="Times New Roman" w:eastAsia="仿宋_GB2312" w:cs="Times New Roman"/>
          <w:kern w:val="0"/>
          <w:sz w:val="32"/>
          <w:szCs w:val="32"/>
        </w:rPr>
      </w:pPr>
      <w:r>
        <w:rPr>
          <w:rFonts w:hint="eastAsia" w:ascii="仿宋" w:hAnsi="仿宋" w:eastAsia="仿宋" w:cs="仿宋"/>
          <w:kern w:val="2"/>
          <w:sz w:val="32"/>
          <w:szCs w:val="32"/>
          <w:highlight w:val="none"/>
          <w:lang w:val="en-US" w:eastAsia="zh-CN" w:bidi="ar"/>
        </w:rPr>
        <w:t>7.附属单位上缴收入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万元。较2021年度决算数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Times New Roman" w:hAnsi="Times New Roman" w:eastAsia="仿宋_GB2312" w:cs="Times New Roman"/>
          <w:kern w:val="0"/>
          <w:sz w:val="32"/>
          <w:szCs w:val="32"/>
          <w:lang w:eastAsia="zh-CN"/>
        </w:rPr>
        <w:t>本部门</w:t>
      </w:r>
      <w:r>
        <w:rPr>
          <w:rFonts w:hint="eastAsia" w:ascii="Times New Roman" w:hAnsi="Times New Roman" w:eastAsia="仿宋_GB2312" w:cs="Times New Roman"/>
          <w:kern w:val="0"/>
          <w:sz w:val="32"/>
          <w:szCs w:val="32"/>
          <w:lang w:val="en-US" w:eastAsia="zh-CN"/>
        </w:rPr>
        <w:t>2022年没有</w:t>
      </w:r>
      <w:r>
        <w:rPr>
          <w:rFonts w:hint="eastAsia" w:ascii="仿宋" w:hAnsi="仿宋" w:eastAsia="仿宋" w:cs="仿宋"/>
          <w:kern w:val="2"/>
          <w:sz w:val="32"/>
          <w:szCs w:val="32"/>
          <w:highlight w:val="none"/>
          <w:lang w:val="en-US" w:eastAsia="zh-CN" w:bidi="ar"/>
        </w:rPr>
        <w:t>附属单位上缴</w:t>
      </w:r>
      <w:r>
        <w:rPr>
          <w:rFonts w:hint="default" w:ascii="Times New Roman" w:hAnsi="Times New Roman" w:eastAsia="仿宋_GB2312" w:cs="Times New Roman"/>
          <w:kern w:val="0"/>
          <w:sz w:val="32"/>
          <w:szCs w:val="32"/>
        </w:rPr>
        <w:t>收入</w:t>
      </w:r>
      <w:r>
        <w:rPr>
          <w:rFonts w:hint="eastAsia" w:ascii="Times New Roman" w:hAnsi="Times New Roman" w:eastAsia="仿宋_GB2312" w:cs="Times New Roman"/>
          <w:kern w:val="0"/>
          <w:sz w:val="32"/>
          <w:szCs w:val="32"/>
          <w:lang w:val="en-US" w:eastAsia="zh-CN"/>
        </w:rPr>
        <w:t>的收入和支出，所以各项数据为0</w:t>
      </w:r>
      <w:r>
        <w:rPr>
          <w:rFonts w:hint="default" w:ascii="Times New Roman" w:hAnsi="Times New Roman" w:eastAsia="仿宋_GB2312" w:cs="Times New Roman"/>
          <w:kern w:val="0"/>
          <w:sz w:val="32"/>
          <w:szCs w:val="32"/>
        </w:rPr>
        <w:t>。</w:t>
      </w:r>
    </w:p>
    <w:p>
      <w:pPr>
        <w:keepNext w:val="0"/>
        <w:keepLines w:val="0"/>
        <w:widowControl w:val="0"/>
        <w:suppressLineNumbers w:val="0"/>
        <w:spacing w:before="0" w:beforeAutospacing="0" w:after="0" w:afterAutospacing="0"/>
        <w:ind w:left="0" w:right="0" w:firstLine="640" w:firstLineChars="200"/>
        <w:jc w:val="left"/>
        <w:rPr>
          <w:rFonts w:hint="default" w:ascii="Times New Roman" w:hAnsi="Times New Roman" w:eastAsia="仿宋_GB2312" w:cs="Times New Roman"/>
          <w:kern w:val="0"/>
          <w:sz w:val="32"/>
          <w:szCs w:val="32"/>
        </w:rPr>
      </w:pPr>
      <w:r>
        <w:rPr>
          <w:rFonts w:hint="eastAsia" w:ascii="仿宋" w:hAnsi="仿宋" w:eastAsia="仿宋" w:cs="仿宋"/>
          <w:kern w:val="2"/>
          <w:sz w:val="32"/>
          <w:szCs w:val="32"/>
          <w:highlight w:val="none"/>
          <w:lang w:val="en-US" w:eastAsia="zh-CN" w:bidi="ar"/>
        </w:rPr>
        <w:t>8.其他收入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万元,为预算单位在“财政拨款收入”“事业收入”“经营收入”之外取得的收入。较2021年度决算数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Times New Roman" w:hAnsi="Times New Roman" w:eastAsia="仿宋_GB2312" w:cs="Times New Roman"/>
          <w:kern w:val="0"/>
          <w:sz w:val="32"/>
          <w:szCs w:val="32"/>
          <w:lang w:eastAsia="zh-CN"/>
        </w:rPr>
        <w:t>本部门</w:t>
      </w:r>
      <w:r>
        <w:rPr>
          <w:rFonts w:hint="eastAsia" w:ascii="Times New Roman" w:hAnsi="Times New Roman" w:eastAsia="仿宋_GB2312" w:cs="Times New Roman"/>
          <w:kern w:val="0"/>
          <w:sz w:val="32"/>
          <w:szCs w:val="32"/>
          <w:lang w:val="en-US" w:eastAsia="zh-CN"/>
        </w:rPr>
        <w:t>2022年没有</w:t>
      </w:r>
      <w:r>
        <w:rPr>
          <w:rFonts w:hint="eastAsia" w:ascii="仿宋" w:hAnsi="仿宋" w:eastAsia="仿宋" w:cs="仿宋"/>
          <w:kern w:val="2"/>
          <w:sz w:val="32"/>
          <w:szCs w:val="32"/>
          <w:highlight w:val="none"/>
          <w:lang w:val="en-US" w:eastAsia="zh-CN" w:bidi="ar"/>
        </w:rPr>
        <w:t>其他</w:t>
      </w:r>
      <w:r>
        <w:rPr>
          <w:rFonts w:hint="default" w:ascii="Times New Roman" w:hAnsi="Times New Roman" w:eastAsia="仿宋_GB2312" w:cs="Times New Roman"/>
          <w:kern w:val="0"/>
          <w:sz w:val="32"/>
          <w:szCs w:val="32"/>
        </w:rPr>
        <w:t>收入</w:t>
      </w:r>
      <w:r>
        <w:rPr>
          <w:rFonts w:hint="eastAsia" w:ascii="Times New Roman" w:hAnsi="Times New Roman" w:eastAsia="仿宋_GB2312" w:cs="Times New Roman"/>
          <w:kern w:val="0"/>
          <w:sz w:val="32"/>
          <w:szCs w:val="32"/>
          <w:lang w:val="en-US" w:eastAsia="zh-CN"/>
        </w:rPr>
        <w:t>的收入和支出，所以各项数据为0</w:t>
      </w:r>
      <w:r>
        <w:rPr>
          <w:rFonts w:hint="default" w:ascii="Times New Roman" w:hAnsi="Times New Roman" w:eastAsia="仿宋_GB2312" w:cs="Times New Roman"/>
          <w:kern w:val="0"/>
          <w:sz w:val="32"/>
          <w:szCs w:val="32"/>
        </w:rPr>
        <w:t>。</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FF0000"/>
          <w:sz w:val="32"/>
          <w:szCs w:val="32"/>
          <w:highlight w:val="none"/>
          <w:lang w:val="en-US"/>
        </w:rPr>
      </w:pPr>
      <w:r>
        <w:rPr>
          <w:rFonts w:hint="eastAsia" w:ascii="仿宋" w:hAnsi="仿宋" w:eastAsia="仿宋" w:cs="仿宋"/>
          <w:kern w:val="2"/>
          <w:sz w:val="32"/>
          <w:szCs w:val="32"/>
          <w:highlight w:val="none"/>
          <w:lang w:val="en-US" w:eastAsia="zh-CN" w:bidi="ar"/>
        </w:rPr>
        <w:t>9.使用非财政拨款结余</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万元,主要是所属事业单位在当年的“财政拨款收入”“事业收入”“经营收入”及“其他收入”不能保证其支出的情况下，使用以前年度积累的非财政拨款结余弥补本年度收支缺口的资金。较2021年度决算数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主要原因是：本单位上年度没有非财政拨款结余。</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FF0000"/>
          <w:sz w:val="32"/>
          <w:szCs w:val="32"/>
          <w:highlight w:val="none"/>
          <w:lang w:val="en-US"/>
        </w:rPr>
      </w:pPr>
      <w:r>
        <w:rPr>
          <w:rFonts w:hint="eastAsia" w:ascii="仿宋" w:hAnsi="仿宋" w:eastAsia="仿宋" w:cs="仿宋"/>
          <w:kern w:val="2"/>
          <w:sz w:val="32"/>
          <w:szCs w:val="32"/>
          <w:highlight w:val="none"/>
          <w:lang w:val="en-US" w:eastAsia="zh-CN" w:bidi="ar"/>
        </w:rPr>
        <w:t>10.上年结转和结余</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万元，为以前年度支出预算因客观条件变化未执行完毕、结转到本年度按有关规定继续使用的资金。较2021年度决算数</w:t>
      </w:r>
      <w:r>
        <w:rPr>
          <w:rFonts w:ascii="仿宋" w:hAnsi="仿宋" w:eastAsia="仿宋" w:cs="仿宋"/>
          <w:sz w:val="32"/>
          <w:u w:color="auto"/>
        </w:rPr>
        <w:t>减少181.05</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下降100.00%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w:t>
      </w:r>
      <w:r>
        <w:rPr>
          <w:rFonts w:hint="eastAsia" w:ascii="仿宋" w:hAnsi="仿宋" w:eastAsia="仿宋" w:cs="仿宋"/>
          <w:kern w:val="2"/>
          <w:sz w:val="32"/>
          <w:szCs w:val="32"/>
          <w:highlight w:val="none"/>
          <w:lang w:val="en-US" w:eastAsia="zh-CN" w:bidi="ar"/>
        </w:rPr>
        <w:t>以前年度支出预算因客观条件变化未执行完毕，在2022度已执行完毕，</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不需要结转至下年继续执行。</w:t>
      </w:r>
    </w:p>
    <w:p>
      <w:pPr>
        <w:jc w:val="center"/>
        <w:rPr>
          <w:rFonts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5080000" cy="2810510"/>
            <wp:effectExtent l="4445" t="4445" r="20955" b="23495"/>
            <wp:docPr id="2" name="图表 2" title="{{img_js_srzc}}"/>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（二）本部门2022年度总支出</w:t>
      </w:r>
      <w:r>
        <w:rPr>
          <w:rFonts w:ascii="仿宋" w:hAnsi="仿宋" w:eastAsia="仿宋" w:cs="仿宋"/>
          <w:sz w:val="32"/>
          <w:u w:color="auto"/>
        </w:rPr>
        <w:t>3582.72</w:t>
      </w:r>
      <w:r>
        <w:rPr>
          <w:rFonts w:hint="eastAsia" w:ascii="仿宋" w:hAnsi="仿宋" w:eastAsia="仿宋" w:cs="仿宋"/>
          <w:sz w:val="32"/>
          <w:szCs w:val="32"/>
          <w:highlight w:val="none"/>
        </w:rPr>
        <w:t>万元，其中本年支出</w:t>
      </w:r>
      <w:r>
        <w:rPr>
          <w:rFonts w:ascii="仿宋" w:hAnsi="仿宋" w:eastAsia="仿宋" w:cs="仿宋"/>
          <w:sz w:val="32"/>
          <w:u w:color="auto"/>
        </w:rPr>
        <w:t>3582.72</w:t>
      </w:r>
      <w:r>
        <w:rPr>
          <w:rFonts w:hint="eastAsia" w:ascii="仿宋" w:hAnsi="仿宋" w:eastAsia="仿宋" w:cs="仿宋"/>
          <w:sz w:val="32"/>
          <w:szCs w:val="32"/>
          <w:highlight w:val="none"/>
        </w:rPr>
        <w:t>万元，较2021年度决算数</w:t>
      </w:r>
      <w:r>
        <w:rPr>
          <w:rFonts w:ascii="仿宋" w:hAnsi="仿宋" w:eastAsia="仿宋" w:cs="仿宋"/>
          <w:sz w:val="32"/>
          <w:u w:color="auto"/>
        </w:rPr>
        <w:t>增加31.45</w:t>
      </w:r>
      <w:r>
        <w:rPr>
          <w:rFonts w:hint="eastAsia" w:ascii="仿宋" w:hAnsi="仿宋" w:eastAsia="仿宋" w:cs="仿宋"/>
          <w:sz w:val="32"/>
          <w:szCs w:val="32"/>
          <w:highlight w:val="none"/>
        </w:rPr>
        <w:t>万元，</w:t>
      </w:r>
      <w:r>
        <w:rPr>
          <w:rFonts w:ascii="仿宋" w:hAnsi="仿宋" w:eastAsia="仿宋" w:cs="仿宋"/>
          <w:sz w:val="32"/>
          <w:u w:color="auto"/>
        </w:rPr>
        <w:t>增长0.89%</w:t>
      </w:r>
      <w:r>
        <w:rPr>
          <w:rFonts w:hint="eastAsia" w:ascii="仿宋" w:hAnsi="仿宋" w:eastAsia="仿宋" w:cs="仿宋"/>
          <w:sz w:val="32"/>
          <w:szCs w:val="32"/>
          <w:highlight w:val="none"/>
        </w:rPr>
        <w:t>。支出具体情况如下：</w:t>
      </w:r>
    </w:p>
    <w:p>
      <w:pPr>
        <w:keepNext w:val="0"/>
        <w:keepLines w:val="0"/>
        <w:widowControl w:val="0"/>
        <w:suppressLineNumbers w:val="0"/>
        <w:spacing w:before="0" w:beforeAutospacing="0" w:after="0" w:afterAutospacing="0"/>
        <w:ind w:left="0" w:right="0" w:firstLine="640" w:firstLineChars="200"/>
        <w:jc w:val="left"/>
        <w:rPr>
          <w:rFonts w:hint="default" w:ascii="仿宋" w:hAnsi="仿宋" w:eastAsia="仿宋" w:cs="仿宋"/>
          <w:color w:val="000000" w:themeColor="text1"/>
          <w:sz w:val="32"/>
          <w:szCs w:val="32"/>
          <w:highlight w:val="none"/>
          <w:lang w:val="en-US"/>
          <w14:textFill>
            <w14:solidFill>
              <w14:schemeClr w14:val="tx1"/>
            </w14:solidFill>
          </w14:textFill>
        </w:rPr>
      </w:pPr>
      <w:r>
        <w:rPr>
          <w:rFonts w:hint="eastAsia" w:ascii="仿宋" w:hAnsi="仿宋" w:eastAsia="仿宋" w:cs="仿宋"/>
          <w:sz w:val="32"/>
          <w:szCs w:val="32"/>
          <w:highlight w:val="none"/>
        </w:rPr>
        <w:t>1</w:t>
      </w:r>
      <w:r>
        <w:rPr>
          <w:rFonts w:ascii="仿宋" w:hAnsi="仿宋" w:eastAsia="仿宋" w:cs="仿宋"/>
          <w:sz w:val="32"/>
          <w:u w:color="auto"/>
        </w:rPr>
        <w:t>.</w:t>
      </w:r>
      <w:r>
        <w:rPr>
          <w:rFonts w:hint="eastAsia" w:ascii="仿宋" w:hAnsi="仿宋" w:eastAsia="仿宋" w:cs="仿宋"/>
          <w:sz w:val="32"/>
          <w:szCs w:val="32"/>
          <w:highlight w:val="none"/>
          <w:lang w:bidi="ar"/>
        </w:rPr>
        <w:t>一般公共服务支出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201</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bidi="ar"/>
        </w:rPr>
        <w:t>32.81</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w:t>
      </w:r>
      <w:r>
        <w:rPr>
          <w:rFonts w:hint="eastAsia" w:ascii="仿宋" w:hAnsi="仿宋" w:eastAsia="仿宋" w:cs="仿宋"/>
          <w:color w:val="000000" w:themeColor="text1"/>
          <w:sz w:val="32"/>
          <w:szCs w:val="32"/>
          <w:highlight w:val="none"/>
          <w:lang w:eastAsia="zh-CN"/>
          <w14:textFill>
            <w14:solidFill>
              <w14:schemeClr w14:val="tx1"/>
            </w14:solidFill>
          </w14:textFill>
        </w:rPr>
        <w:t>该资金是工会费，</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宋体" w:hAnsi="宋体" w:eastAsia="宋体" w:cs="宋体"/>
          <w:bCs/>
          <w:color w:val="000000"/>
          <w:sz w:val="32"/>
          <w:szCs w:val="32"/>
          <w:lang w:val="en-US" w:eastAsia="zh-CN"/>
        </w:rPr>
        <w:t>“建工会组织、维权益、送温暖、搞活动、抓亮点”，急教工所急，想教工所想，把工会建成温暖的职工之家，关心教职工的实际困难，安排好教职工文体活动及节日慰问红白喜事慰问工作等，增进团队的凝聚力。</w:t>
      </w:r>
      <w:r>
        <w:rPr>
          <w:rFonts w:hint="eastAsia" w:ascii="仿宋" w:hAnsi="仿宋" w:eastAsia="仿宋" w:cs="仿宋"/>
          <w:sz w:val="32"/>
          <w:szCs w:val="32"/>
          <w:highlight w:val="none"/>
        </w:rPr>
        <w:t>较2021年度决算数</w:t>
      </w:r>
      <w:r>
        <w:rPr>
          <w:rFonts w:hint="eastAsia" w:ascii="仿宋" w:hAnsi="仿宋" w:eastAsia="仿宋" w:cs="仿宋"/>
          <w:sz w:val="32"/>
          <w:szCs w:val="32"/>
          <w:highlight w:val="none"/>
          <w:lang w:bidi="ar"/>
        </w:rPr>
        <w:t>增加32.81</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bidi="ar"/>
        </w:rPr>
        <w:t>增长100%</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主要原因是：2021年度工会费未纳入预算一体化系统，2022年开始工会费纳入预算一体化系统，所以增长100%。</w:t>
      </w:r>
    </w:p>
    <w:p>
      <w:pPr>
        <w:keepNext w:val="0"/>
        <w:keepLines w:val="0"/>
        <w:widowControl w:val="0"/>
        <w:suppressLineNumbers w:val="0"/>
        <w:spacing w:before="0" w:beforeAutospacing="0" w:after="0" w:afterAutospacing="0"/>
        <w:ind w:left="0" w:right="0" w:firstLine="640" w:firstLineChars="200"/>
        <w:jc w:val="left"/>
        <w:rPr>
          <w:rFonts w:hint="default" w:ascii="仿宋" w:hAnsi="仿宋" w:eastAsia="仿宋" w:cs="仿宋"/>
          <w:color w:val="000000" w:themeColor="text1"/>
          <w:sz w:val="32"/>
          <w:szCs w:val="32"/>
          <w:highlight w:val="none"/>
          <w:lang w:val="en-US"/>
          <w14:textFill>
            <w14:solidFill>
              <w14:schemeClr w14:val="tx1"/>
            </w14:solidFill>
          </w14:textFill>
        </w:rPr>
      </w:pPr>
      <w:r>
        <w:rPr>
          <w:rFonts w:hint="eastAsia" w:ascii="仿宋" w:hAnsi="仿宋" w:eastAsia="仿宋" w:cs="仿宋"/>
          <w:sz w:val="32"/>
          <w:szCs w:val="32"/>
          <w:highlight w:val="none"/>
        </w:rPr>
        <w:t>2</w:t>
      </w:r>
      <w:r>
        <w:rPr>
          <w:rFonts w:ascii="仿宋" w:hAnsi="仿宋" w:eastAsia="仿宋" w:cs="仿宋"/>
          <w:sz w:val="32"/>
          <w:u w:color="auto"/>
        </w:rPr>
        <w:t>.</w:t>
      </w:r>
      <w:r>
        <w:rPr>
          <w:rFonts w:hint="eastAsia" w:ascii="仿宋" w:hAnsi="仿宋" w:eastAsia="仿宋" w:cs="仿宋"/>
          <w:sz w:val="32"/>
          <w:szCs w:val="32"/>
          <w:highlight w:val="none"/>
          <w:lang w:bidi="ar"/>
        </w:rPr>
        <w:t>教育支出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205</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bidi="ar"/>
        </w:rPr>
        <w:t>2740.26</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华文仿宋" w:hAnsi="华文仿宋" w:eastAsia="华文仿宋" w:cs="华文仿宋"/>
          <w:kern w:val="0"/>
          <w:sz w:val="32"/>
          <w:szCs w:val="32"/>
        </w:rPr>
        <w:t>主要用于</w:t>
      </w:r>
      <w:r>
        <w:rPr>
          <w:rFonts w:hint="eastAsia" w:ascii="华文仿宋" w:hAnsi="华文仿宋" w:eastAsia="华文仿宋" w:cs="华文仿宋"/>
          <w:kern w:val="0"/>
          <w:sz w:val="32"/>
          <w:szCs w:val="32"/>
          <w:lang w:eastAsia="zh-CN"/>
        </w:rPr>
        <w:t>本校教职工</w:t>
      </w:r>
      <w:r>
        <w:rPr>
          <w:rFonts w:hint="eastAsia" w:ascii="华文仿宋" w:hAnsi="华文仿宋" w:eastAsia="华文仿宋" w:cs="华文仿宋"/>
          <w:kern w:val="0"/>
          <w:sz w:val="32"/>
          <w:szCs w:val="32"/>
        </w:rPr>
        <w:t>人员</w:t>
      </w:r>
      <w:r>
        <w:rPr>
          <w:rFonts w:hint="eastAsia" w:ascii="华文仿宋" w:hAnsi="华文仿宋" w:eastAsia="华文仿宋" w:cs="华文仿宋"/>
          <w:kern w:val="0"/>
          <w:sz w:val="32"/>
          <w:szCs w:val="32"/>
          <w:lang w:eastAsia="zh-CN"/>
        </w:rPr>
        <w:t>经费</w:t>
      </w:r>
      <w:r>
        <w:rPr>
          <w:rFonts w:hint="eastAsia" w:ascii="华文仿宋" w:hAnsi="华文仿宋" w:eastAsia="华文仿宋" w:cs="华文仿宋"/>
          <w:kern w:val="0"/>
          <w:sz w:val="32"/>
          <w:szCs w:val="32"/>
        </w:rPr>
        <w:t>及为开展教育教学活动的支出</w:t>
      </w:r>
      <w:r>
        <w:rPr>
          <w:rFonts w:hint="eastAsia" w:ascii="仿宋" w:hAnsi="仿宋" w:eastAsia="仿宋" w:cs="仿宋"/>
          <w:sz w:val="32"/>
          <w:szCs w:val="32"/>
          <w:highlight w:val="none"/>
        </w:rPr>
        <w:t>。较2021年度决算数</w:t>
      </w:r>
      <w:r>
        <w:rPr>
          <w:rFonts w:hint="eastAsia" w:ascii="仿宋" w:hAnsi="仿宋" w:eastAsia="仿宋" w:cs="仿宋"/>
          <w:sz w:val="32"/>
          <w:szCs w:val="32"/>
          <w:highlight w:val="none"/>
          <w:lang w:bidi="ar"/>
        </w:rPr>
        <w:t>减少306.32</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bidi="ar"/>
        </w:rPr>
        <w:t>下降10.05%</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主要原因是：2020年度有结余，2020年度</w:t>
      </w:r>
      <w:r>
        <w:rPr>
          <w:rFonts w:hint="eastAsia" w:ascii="华文仿宋" w:hAnsi="华文仿宋" w:eastAsia="华文仿宋" w:cs="华文仿宋"/>
          <w:kern w:val="0"/>
          <w:sz w:val="32"/>
          <w:szCs w:val="32"/>
        </w:rPr>
        <w:t>为开展教育教学活动的支出</w:t>
      </w:r>
      <w:r>
        <w:rPr>
          <w:rFonts w:hint="eastAsia" w:ascii="华文仿宋" w:hAnsi="华文仿宋" w:eastAsia="华文仿宋" w:cs="华文仿宋"/>
          <w:kern w:val="0"/>
          <w:sz w:val="32"/>
          <w:szCs w:val="32"/>
          <w:lang w:eastAsia="zh-CN"/>
        </w:rPr>
        <w:t>部分才</w:t>
      </w:r>
      <w:r>
        <w:rPr>
          <w:rFonts w:hint="eastAsia" w:ascii="华文仿宋" w:hAnsi="华文仿宋" w:eastAsia="华文仿宋" w:cs="华文仿宋"/>
          <w:kern w:val="0"/>
          <w:sz w:val="32"/>
          <w:szCs w:val="32"/>
          <w:lang w:val="en-US" w:eastAsia="zh-CN"/>
        </w:rPr>
        <w:t>2021年才能报账</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，所以2022年度比2021年度支出减少。</w:t>
      </w:r>
    </w:p>
    <w:p>
      <w:pPr>
        <w:keepNext w:val="0"/>
        <w:keepLines w:val="0"/>
        <w:widowControl w:val="0"/>
        <w:suppressLineNumbers w:val="0"/>
        <w:spacing w:before="0" w:beforeAutospacing="0" w:after="0" w:afterAutospacing="0"/>
        <w:ind w:left="0" w:right="0" w:firstLine="640" w:firstLineChars="200"/>
        <w:jc w:val="left"/>
        <w:rPr>
          <w:rFonts w:hint="default" w:ascii="Times New Roman" w:hAnsi="Times New Roman" w:eastAsia="仿宋_GB2312" w:cs="Times New Roman"/>
          <w:kern w:val="0"/>
          <w:sz w:val="32"/>
          <w:szCs w:val="32"/>
        </w:rPr>
      </w:pPr>
      <w:r>
        <w:rPr>
          <w:rFonts w:hint="eastAsia" w:ascii="仿宋" w:hAnsi="仿宋" w:eastAsia="仿宋" w:cs="仿宋"/>
          <w:sz w:val="32"/>
          <w:szCs w:val="32"/>
          <w:highlight w:val="none"/>
        </w:rPr>
        <w:t>3</w:t>
      </w:r>
      <w:r>
        <w:rPr>
          <w:rFonts w:ascii="仿宋" w:hAnsi="仿宋" w:eastAsia="仿宋" w:cs="仿宋"/>
          <w:sz w:val="32"/>
          <w:u w:color="auto"/>
        </w:rPr>
        <w:t>.</w:t>
      </w:r>
      <w:r>
        <w:rPr>
          <w:rFonts w:hint="eastAsia" w:ascii="仿宋" w:hAnsi="仿宋" w:eastAsia="仿宋" w:cs="仿宋"/>
          <w:sz w:val="32"/>
          <w:szCs w:val="32"/>
          <w:highlight w:val="none"/>
          <w:lang w:bidi="ar"/>
        </w:rPr>
        <w:t>社会保障和就业支出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208</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bidi="ar"/>
        </w:rPr>
        <w:t>241.55</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华文仿宋" w:hAnsi="华文仿宋" w:eastAsia="华文仿宋" w:cs="华文仿宋"/>
          <w:kern w:val="0"/>
          <w:sz w:val="32"/>
          <w:szCs w:val="32"/>
          <w:lang w:eastAsia="zh-CN"/>
        </w:rPr>
        <w:t>本校教职工五险</w:t>
      </w:r>
      <w:r>
        <w:rPr>
          <w:rFonts w:hint="eastAsia" w:ascii="华文仿宋" w:hAnsi="华文仿宋" w:eastAsia="华文仿宋" w:cs="华文仿宋"/>
          <w:kern w:val="0"/>
          <w:sz w:val="32"/>
          <w:szCs w:val="32"/>
        </w:rPr>
        <w:t>的支出</w:t>
      </w:r>
      <w:r>
        <w:rPr>
          <w:rFonts w:hint="eastAsia" w:ascii="仿宋" w:hAnsi="仿宋" w:eastAsia="仿宋" w:cs="仿宋"/>
          <w:sz w:val="32"/>
          <w:szCs w:val="32"/>
          <w:highlight w:val="none"/>
        </w:rPr>
        <w:t>。较2021年度决算数</w:t>
      </w:r>
      <w:r>
        <w:rPr>
          <w:rFonts w:hint="eastAsia" w:ascii="仿宋" w:hAnsi="仿宋" w:eastAsia="仿宋" w:cs="仿宋"/>
          <w:sz w:val="32"/>
          <w:szCs w:val="32"/>
          <w:highlight w:val="none"/>
          <w:lang w:bidi="ar"/>
        </w:rPr>
        <w:t>增加4.48</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bidi="ar"/>
        </w:rPr>
        <w:t>增长1.89%</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Times New Roman" w:hAnsi="Times New Roman" w:eastAsia="仿宋_GB2312" w:cs="Times New Roman"/>
          <w:kern w:val="0"/>
          <w:sz w:val="32"/>
          <w:szCs w:val="32"/>
          <w:lang w:eastAsia="zh-CN"/>
        </w:rPr>
        <w:t>本年新增了急缺人才和公招教师</w:t>
      </w:r>
      <w:r>
        <w:rPr>
          <w:rFonts w:hint="eastAsia" w:ascii="Times New Roman" w:hAnsi="Times New Roman" w:eastAsia="仿宋_GB2312" w:cs="Times New Roman"/>
          <w:kern w:val="0"/>
          <w:sz w:val="32"/>
          <w:szCs w:val="32"/>
          <w:lang w:val="en-US" w:eastAsia="zh-CN"/>
        </w:rPr>
        <w:t>24人</w:t>
      </w:r>
      <w:r>
        <w:rPr>
          <w:rFonts w:hint="default" w:ascii="Times New Roman" w:hAnsi="Times New Roman" w:eastAsia="仿宋_GB2312" w:cs="Times New Roman"/>
          <w:kern w:val="0"/>
          <w:sz w:val="32"/>
          <w:szCs w:val="32"/>
        </w:rPr>
        <w:t>。</w:t>
      </w:r>
    </w:p>
    <w:p>
      <w:pPr>
        <w:keepNext w:val="0"/>
        <w:keepLines w:val="0"/>
        <w:widowControl w:val="0"/>
        <w:suppressLineNumbers w:val="0"/>
        <w:spacing w:before="0" w:beforeAutospacing="0" w:after="0" w:afterAutospacing="0"/>
        <w:ind w:left="0" w:right="0" w:firstLine="640" w:firstLineChars="200"/>
        <w:jc w:val="left"/>
        <w:rPr>
          <w:rFonts w:hint="default" w:ascii="仿宋" w:hAnsi="仿宋" w:eastAsia="仿宋" w:cs="仿宋"/>
          <w:color w:val="000000" w:themeColor="text1"/>
          <w:kern w:val="2"/>
          <w:sz w:val="32"/>
          <w:szCs w:val="32"/>
          <w:highlight w:val="none"/>
          <w:lang w:val="en-US" w:eastAsia="zh-CN" w:bidi="ar"/>
          <w14:textFill>
            <w14:solidFill>
              <w14:schemeClr w14:val="tx1"/>
            </w14:solidFill>
          </w14:textFill>
        </w:rPr>
      </w:pPr>
      <w:r>
        <w:rPr>
          <w:rFonts w:hint="eastAsia" w:ascii="仿宋" w:hAnsi="仿宋" w:eastAsia="仿宋" w:cs="仿宋"/>
          <w:sz w:val="32"/>
          <w:szCs w:val="32"/>
          <w:highlight w:val="none"/>
        </w:rPr>
        <w:t>4</w:t>
      </w:r>
      <w:r>
        <w:rPr>
          <w:rFonts w:ascii="仿宋" w:hAnsi="仿宋" w:eastAsia="仿宋" w:cs="仿宋"/>
          <w:sz w:val="32"/>
          <w:u w:color="auto"/>
        </w:rPr>
        <w:t>.</w:t>
      </w:r>
      <w:r>
        <w:rPr>
          <w:rFonts w:hint="eastAsia" w:ascii="仿宋" w:hAnsi="仿宋" w:eastAsia="仿宋" w:cs="仿宋"/>
          <w:sz w:val="32"/>
          <w:szCs w:val="32"/>
          <w:highlight w:val="none"/>
          <w:lang w:bidi="ar"/>
        </w:rPr>
        <w:t>住房保障支出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221</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bidi="ar"/>
        </w:rPr>
        <w:t>179.89</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华文仿宋" w:hAnsi="华文仿宋" w:eastAsia="华文仿宋" w:cs="华文仿宋"/>
          <w:kern w:val="0"/>
          <w:sz w:val="32"/>
          <w:szCs w:val="32"/>
          <w:lang w:eastAsia="zh-CN"/>
        </w:rPr>
        <w:t>本校教职工公积金</w:t>
      </w:r>
      <w:r>
        <w:rPr>
          <w:rFonts w:hint="eastAsia" w:ascii="华文仿宋" w:hAnsi="华文仿宋" w:eastAsia="华文仿宋" w:cs="华文仿宋"/>
          <w:kern w:val="0"/>
          <w:sz w:val="32"/>
          <w:szCs w:val="32"/>
        </w:rPr>
        <w:t>的支出</w:t>
      </w:r>
      <w:r>
        <w:rPr>
          <w:rFonts w:hint="eastAsia" w:ascii="仿宋" w:hAnsi="仿宋" w:eastAsia="仿宋" w:cs="仿宋"/>
          <w:sz w:val="32"/>
          <w:szCs w:val="32"/>
          <w:highlight w:val="none"/>
        </w:rPr>
        <w:t>。较2021年度决算数</w:t>
      </w:r>
      <w:r>
        <w:rPr>
          <w:rFonts w:hint="eastAsia" w:ascii="仿宋" w:hAnsi="仿宋" w:eastAsia="仿宋" w:cs="仿宋"/>
          <w:sz w:val="32"/>
          <w:szCs w:val="32"/>
          <w:highlight w:val="none"/>
          <w:lang w:bidi="ar"/>
        </w:rPr>
        <w:t>增加118.13</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bidi="ar"/>
        </w:rPr>
        <w:t>增长191.27%</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2021年只统计了环江毛南族自治县职业技术学校的公积金，2022年是环江毛南族自治县职业技术学校和环江毛南族自治县第二高级中学合在一起做决算（环江毛南族自治县职业技术学校和环江毛南族自治县第二高级中学是同一所学校，两块牌子，同一套领导班子，同一套账，所以合在一起做决算）</w:t>
      </w:r>
    </w:p>
    <w:p>
      <w:pPr>
        <w:keepNext w:val="0"/>
        <w:keepLines w:val="0"/>
        <w:widowControl w:val="0"/>
        <w:suppressLineNumbers w:val="0"/>
        <w:spacing w:before="0" w:beforeAutospacing="0" w:after="0" w:afterAutospacing="0"/>
        <w:ind w:left="0" w:right="0" w:firstLine="640" w:firstLineChars="200"/>
        <w:jc w:val="left"/>
        <w:rPr>
          <w:rFonts w:hint="default" w:ascii="仿宋" w:hAnsi="仿宋" w:eastAsia="仿宋" w:cs="仿宋"/>
          <w:sz w:val="32"/>
          <w:szCs w:val="32"/>
          <w:highlight w:val="none"/>
          <w:lang w:val="en-US"/>
        </w:rPr>
      </w:pPr>
      <w:r>
        <w:rPr>
          <w:rFonts w:hint="eastAsia" w:ascii="仿宋" w:hAnsi="仿宋" w:eastAsia="仿宋" w:cs="仿宋"/>
          <w:sz w:val="32"/>
          <w:szCs w:val="32"/>
          <w:highlight w:val="none"/>
        </w:rPr>
        <w:t>5</w:t>
      </w:r>
      <w:r>
        <w:rPr>
          <w:rFonts w:ascii="仿宋" w:hAnsi="仿宋" w:eastAsia="仿宋" w:cs="仿宋"/>
          <w:sz w:val="32"/>
          <w:u w:color="auto"/>
        </w:rPr>
        <w:t>.</w:t>
      </w:r>
      <w:r>
        <w:rPr>
          <w:rFonts w:hint="eastAsia" w:ascii="仿宋" w:hAnsi="仿宋" w:eastAsia="仿宋" w:cs="仿宋"/>
          <w:sz w:val="32"/>
          <w:szCs w:val="32"/>
          <w:highlight w:val="none"/>
          <w:lang w:bidi="ar"/>
        </w:rPr>
        <w:t>其他支出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229</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bidi="ar"/>
        </w:rPr>
        <w:t>388.21</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华文仿宋" w:hAnsi="华文仿宋" w:eastAsia="华文仿宋" w:cs="华文仿宋"/>
          <w:color w:val="auto"/>
          <w:kern w:val="0"/>
          <w:sz w:val="32"/>
          <w:szCs w:val="32"/>
          <w:lang w:val="en-US" w:eastAsia="zh-CN"/>
        </w:rPr>
        <w:t>2022</w:t>
      </w:r>
      <w:r>
        <w:rPr>
          <w:rFonts w:hint="eastAsia" w:ascii="华文仿宋" w:hAnsi="华文仿宋" w:eastAsia="华文仿宋" w:cs="华文仿宋"/>
          <w:color w:val="auto"/>
          <w:kern w:val="0"/>
          <w:sz w:val="32"/>
          <w:szCs w:val="32"/>
        </w:rPr>
        <w:t>年</w:t>
      </w:r>
      <w:r>
        <w:rPr>
          <w:rFonts w:hint="eastAsia" w:ascii="华文仿宋" w:hAnsi="华文仿宋" w:eastAsia="华文仿宋" w:cs="华文仿宋"/>
          <w:color w:val="auto"/>
          <w:kern w:val="0"/>
          <w:sz w:val="32"/>
          <w:szCs w:val="32"/>
          <w:lang w:eastAsia="zh-CN"/>
        </w:rPr>
        <w:t>奖励性补贴支出，</w:t>
      </w:r>
      <w:r>
        <w:rPr>
          <w:rFonts w:hint="eastAsia" w:ascii="仿宋" w:hAnsi="仿宋" w:eastAsia="仿宋" w:cs="仿宋"/>
          <w:sz w:val="32"/>
          <w:szCs w:val="32"/>
          <w:highlight w:val="none"/>
        </w:rPr>
        <w:t>较2021年度决算数</w:t>
      </w:r>
      <w:r>
        <w:rPr>
          <w:rFonts w:hint="eastAsia" w:ascii="仿宋" w:hAnsi="仿宋" w:eastAsia="仿宋" w:cs="仿宋"/>
          <w:sz w:val="32"/>
          <w:szCs w:val="32"/>
          <w:highlight w:val="none"/>
          <w:lang w:bidi="ar"/>
        </w:rPr>
        <w:t>增加182.35</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bidi="ar"/>
        </w:rPr>
        <w:t>增长88.58%</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主要原因是：2021年10月增加了19位新老师，2022年增加了24位新老师，同时奖励性补贴待遇变高了。</w:t>
      </w:r>
    </w:p>
    <w:p>
      <w:pPr>
        <w:keepNext w:val="0"/>
        <w:keepLines w:val="0"/>
        <w:widowControl w:val="0"/>
        <w:suppressLineNumbers w:val="0"/>
        <w:spacing w:before="0" w:beforeAutospacing="0" w:after="0" w:afterAutospacing="0"/>
        <w:ind w:left="0" w:right="0" w:firstLine="620" w:firstLineChars="200"/>
        <w:jc w:val="left"/>
        <w:rPr>
          <w:rFonts w:hint="eastAsia" w:ascii="仿宋" w:hAnsi="仿宋" w:eastAsia="仿宋_GB2312" w:cs="仿宋"/>
          <w:color w:val="000000" w:themeColor="text1"/>
          <w:sz w:val="32"/>
          <w:szCs w:val="32"/>
          <w:highlight w:val="none"/>
          <w:lang w:eastAsia="zh-CN" w:bidi="ar"/>
          <w14:textFill>
            <w14:solidFill>
              <w14:schemeClr w14:val="tx1"/>
            </w14:solidFill>
          </w14:textFill>
        </w:rPr>
      </w:pPr>
      <w:r>
        <w:rPr>
          <w:rFonts w:hint="default" w:ascii="仿宋_GB2312" w:hAnsi="微软雅黑" w:eastAsia="仿宋_GB2312" w:cs="仿宋_GB2312"/>
          <w:i w:val="0"/>
          <w:iCs w:val="0"/>
          <w:caps w:val="0"/>
          <w:color w:val="000000"/>
          <w:spacing w:val="0"/>
          <w:sz w:val="31"/>
          <w:szCs w:val="31"/>
          <w:highlight w:val="none"/>
          <w:shd w:val="clear" w:color="auto" w:fill="FFFFFF"/>
        </w:rPr>
        <w:t>结余分配</w:t>
      </w:r>
      <w:r>
        <w:rPr>
          <w:rFonts w:hint="eastAsia" w:ascii="仿宋_GB2312" w:hAnsi="微软雅黑" w:eastAsia="仿宋_GB2312" w:cs="仿宋_GB2312"/>
          <w:color w:val="000000"/>
          <w:sz w:val="31"/>
          <w:szCs w:val="31"/>
          <w:highlight w:val="none"/>
          <w:shd w:val="clear" w:color="auto" w:fill="FFFFFF"/>
        </w:rPr>
        <w:t>0.00</w:t>
      </w:r>
      <w:r>
        <w:rPr>
          <w:rFonts w:hint="default" w:ascii="仿宋_GB2312" w:hAnsi="微软雅黑" w:eastAsia="仿宋_GB2312" w:cs="仿宋_GB2312"/>
          <w:i w:val="0"/>
          <w:iCs w:val="0"/>
          <w:caps w:val="0"/>
          <w:color w:val="000000"/>
          <w:spacing w:val="0"/>
          <w:sz w:val="31"/>
          <w:szCs w:val="31"/>
          <w:highlight w:val="none"/>
          <w:shd w:val="clear" w:color="auto" w:fill="FFFFFF"/>
        </w:rPr>
        <w:t>万元，为事业单位按规定提取的专用结余、缴纳所得税和转入非财政拨款结余等。较202</w:t>
      </w: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1</w:t>
      </w:r>
      <w:r>
        <w:rPr>
          <w:rFonts w:hint="default" w:ascii="仿宋_GB2312" w:hAnsi="微软雅黑" w:eastAsia="仿宋_GB2312" w:cs="仿宋_GB2312"/>
          <w:i w:val="0"/>
          <w:iCs w:val="0"/>
          <w:caps w:val="0"/>
          <w:color w:val="000000"/>
          <w:spacing w:val="0"/>
          <w:sz w:val="31"/>
          <w:szCs w:val="31"/>
          <w:highlight w:val="none"/>
          <w:shd w:val="clear" w:color="auto" w:fill="FFFFFF"/>
        </w:rPr>
        <w:t>年决算</w:t>
      </w:r>
      <w:r>
        <w:rPr>
          <w:rFonts w:hint="eastAsia" w:ascii="仿宋_GB2312" w:hAnsi="微软雅黑" w:eastAsia="仿宋_GB2312" w:cs="仿宋_GB2312"/>
          <w:color w:val="000000"/>
          <w:sz w:val="31"/>
          <w:szCs w:val="31"/>
          <w:highlight w:val="none"/>
          <w:shd w:val="clear" w:color="auto" w:fill="FFFFFF"/>
        </w:rPr>
        <w:t>0.00</w:t>
      </w:r>
      <w:r>
        <w:rPr>
          <w:rFonts w:hint="default" w:ascii="仿宋_GB2312" w:hAnsi="微软雅黑" w:eastAsia="仿宋_GB2312" w:cs="仿宋_GB2312"/>
          <w:i w:val="0"/>
          <w:iCs w:val="0"/>
          <w:caps w:val="0"/>
          <w:color w:val="000000"/>
          <w:spacing w:val="0"/>
          <w:sz w:val="31"/>
          <w:szCs w:val="31"/>
          <w:highlight w:val="none"/>
          <w:shd w:val="clear" w:color="auto" w:fill="FFFFFF"/>
        </w:rPr>
        <w:t>万元</w:t>
      </w: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w:t>
      </w:r>
      <w:r>
        <w:rPr>
          <w:rFonts w:hint="eastAsia" w:ascii="仿宋_GB2312" w:hAnsi="微软雅黑" w:eastAsia="仿宋_GB2312" w:cs="仿宋_GB2312"/>
          <w:color w:val="000000"/>
          <w:sz w:val="31"/>
          <w:szCs w:val="31"/>
          <w:highlight w:val="none"/>
          <w:shd w:val="clear" w:color="auto" w:fill="FFFFFF"/>
        </w:rPr>
        <w:t>增加0.00</w:t>
      </w:r>
      <w:r>
        <w:rPr>
          <w:rFonts w:hint="default" w:ascii="仿宋_GB2312" w:hAnsi="微软雅黑" w:eastAsia="仿宋_GB2312" w:cs="仿宋_GB2312"/>
          <w:i w:val="0"/>
          <w:iCs w:val="0"/>
          <w:caps w:val="0"/>
          <w:color w:val="000000"/>
          <w:spacing w:val="0"/>
          <w:sz w:val="31"/>
          <w:szCs w:val="31"/>
          <w:highlight w:val="none"/>
          <w:shd w:val="clear" w:color="auto" w:fill="FFFFFF"/>
        </w:rPr>
        <w:t>万元，</w:t>
      </w:r>
      <w:r>
        <w:rPr>
          <w:rFonts w:hint="eastAsia" w:ascii="仿宋_GB2312" w:hAnsi="微软雅黑" w:eastAsia="仿宋_GB2312" w:cs="仿宋_GB2312"/>
          <w:color w:val="000000"/>
          <w:sz w:val="31"/>
          <w:szCs w:val="31"/>
          <w:highlight w:val="none"/>
          <w:shd w:val="clear" w:color="auto" w:fill="FFFFFF"/>
        </w:rPr>
        <w:t>增长0%</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default" w:ascii="仿宋_GB2312" w:hAnsi="微软雅黑" w:eastAsia="仿宋_GB2312" w:cs="仿宋_GB2312"/>
          <w:i w:val="0"/>
          <w:iCs w:val="0"/>
          <w:caps w:val="0"/>
          <w:color w:val="000000" w:themeColor="text1"/>
          <w:spacing w:val="0"/>
          <w:sz w:val="31"/>
          <w:szCs w:val="31"/>
          <w:highlight w:val="none"/>
          <w:shd w:val="clear" w:color="auto" w:fill="FFFFFF"/>
          <w14:textFill>
            <w14:solidFill>
              <w14:schemeClr w14:val="tx1"/>
            </w14:solidFill>
          </w14:textFill>
        </w:rPr>
        <w:t>主要原因是</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：本年度本单位没有资金结余。</w:t>
      </w:r>
    </w:p>
    <w:p>
      <w:pPr>
        <w:keepNext w:val="0"/>
        <w:keepLines w:val="0"/>
        <w:widowControl w:val="0"/>
        <w:suppressLineNumbers w:val="0"/>
        <w:spacing w:before="0" w:beforeAutospacing="0" w:after="0" w:afterAutospacing="0"/>
        <w:ind w:left="0" w:right="0" w:firstLine="640" w:firstLineChars="200"/>
        <w:jc w:val="left"/>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sz w:val="32"/>
          <w:szCs w:val="32"/>
          <w:highlight w:val="none"/>
        </w:rPr>
        <w:t>年末结转和结余</w:t>
      </w:r>
      <w:r>
        <w:rPr>
          <w:rFonts w:ascii="仿宋" w:hAnsi="仿宋" w:eastAsia="仿宋" w:cs="仿宋"/>
          <w:sz w:val="32"/>
          <w:u w:color="auto"/>
        </w:rPr>
        <w:t>0.00</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为本年度或以前年度预算安排、因客观条件发生变化无法按原计划实施，需要延迟到以后年度按有关规定继续使用的资金</w:t>
      </w:r>
      <w:r>
        <w:rPr>
          <w:rFonts w:hint="eastAsia" w:ascii="仿宋" w:hAnsi="仿宋" w:eastAsia="仿宋" w:cs="仿宋"/>
          <w:sz w:val="32"/>
          <w:szCs w:val="32"/>
          <w:highlight w:val="none"/>
        </w:rPr>
        <w:t>。较2021年度决算数</w:t>
      </w:r>
      <w:r>
        <w:rPr>
          <w:rFonts w:ascii="仿宋" w:hAnsi="仿宋" w:eastAsia="仿宋" w:cs="仿宋"/>
          <w:sz w:val="32"/>
          <w:u w:color="auto"/>
        </w:rPr>
        <w:t>增加0.00</w:t>
      </w:r>
      <w:r>
        <w:rPr>
          <w:rFonts w:hint="eastAsia" w:ascii="仿宋" w:hAnsi="仿宋" w:eastAsia="仿宋" w:cs="仿宋"/>
          <w:sz w:val="32"/>
          <w:szCs w:val="32"/>
          <w:highlight w:val="none"/>
        </w:rPr>
        <w:t>万元，</w:t>
      </w:r>
      <w:r>
        <w:rPr>
          <w:rFonts w:ascii="仿宋" w:hAnsi="仿宋" w:eastAsia="仿宋" w:cs="仿宋"/>
          <w:sz w:val="32"/>
          <w:u w:color="auto"/>
        </w:rPr>
        <w:t>增长0%</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主要原因是：上年末和本年度本单位没有资金结转结余。</w:t>
      </w:r>
    </w:p>
    <w:p>
      <w:pPr>
        <w:ind w:firstLine="640" w:firstLineChars="200"/>
        <w:jc w:val="center"/>
        <w:rPr>
          <w:rFonts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23410" cy="2632710"/>
            <wp:effectExtent l="4445" t="5080" r="10795" b="10160"/>
            <wp:docPr id="3" name="图表 3" title="{{img_zcjs}}"/>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二、2022 年度</w:t>
      </w:r>
      <w:bookmarkStart w:id="2" w:name="OLE_LINK1"/>
      <w:r>
        <w:rPr>
          <w:rFonts w:hint="eastAsia" w:ascii="黑体" w:hAnsi="黑体" w:eastAsia="黑体" w:cs="黑体"/>
          <w:sz w:val="32"/>
          <w:szCs w:val="32"/>
          <w:highlight w:val="none"/>
        </w:rPr>
        <w:t>一般公共预算财政拨款支出决算情况</w:t>
      </w:r>
      <w:bookmarkEnd w:id="2"/>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环江毛南族自治县职业技术学校2022年度一般公共预算财政拨款支出</w:t>
      </w:r>
      <w:r>
        <w:rPr>
          <w:rFonts w:ascii="仿宋" w:hAnsi="仿宋" w:eastAsia="仿宋" w:cs="仿宋"/>
          <w:sz w:val="32"/>
          <w:u w:color="auto"/>
        </w:rPr>
        <w:t>3511.22</w:t>
      </w:r>
      <w:r>
        <w:rPr>
          <w:rFonts w:hint="eastAsia" w:ascii="仿宋" w:hAnsi="仿宋" w:eastAsia="仿宋" w:cs="仿宋"/>
          <w:sz w:val="32"/>
          <w:szCs w:val="32"/>
          <w:highlight w:val="none"/>
        </w:rPr>
        <w:t>万元，较2021年度决算数</w:t>
      </w:r>
      <w:r>
        <w:rPr>
          <w:rFonts w:ascii="仿宋" w:hAnsi="仿宋" w:eastAsia="仿宋" w:cs="仿宋"/>
          <w:sz w:val="32"/>
          <w:u w:color="auto"/>
        </w:rPr>
        <w:t>减少40.05</w:t>
      </w:r>
      <w:r>
        <w:rPr>
          <w:rFonts w:hint="eastAsia" w:ascii="仿宋" w:hAnsi="仿宋" w:eastAsia="仿宋" w:cs="仿宋"/>
          <w:sz w:val="32"/>
          <w:szCs w:val="32"/>
          <w:highlight w:val="none"/>
        </w:rPr>
        <w:t>万元，</w:t>
      </w:r>
      <w:r>
        <w:rPr>
          <w:rFonts w:ascii="仿宋" w:hAnsi="仿宋" w:eastAsia="仿宋" w:cs="仿宋"/>
          <w:sz w:val="32"/>
          <w:u w:color="auto"/>
        </w:rPr>
        <w:t>下降1.13%</w:t>
      </w:r>
      <w:r>
        <w:rPr>
          <w:rFonts w:hint="eastAsia" w:ascii="仿宋" w:hAnsi="仿宋" w:eastAsia="仿宋" w:cs="仿宋"/>
          <w:sz w:val="32"/>
          <w:szCs w:val="32"/>
          <w:highlight w:val="none"/>
        </w:rPr>
        <w:t>。其中：基本支出</w:t>
      </w:r>
      <w:r>
        <w:rPr>
          <w:rFonts w:ascii="仿宋" w:hAnsi="仿宋" w:eastAsia="仿宋" w:cs="仿宋"/>
          <w:sz w:val="32"/>
          <w:u w:color="auto"/>
        </w:rPr>
        <w:t>2421.50</w:t>
      </w:r>
      <w:r>
        <w:rPr>
          <w:rFonts w:hint="eastAsia" w:ascii="仿宋" w:hAnsi="仿宋" w:eastAsia="仿宋" w:cs="仿宋"/>
          <w:sz w:val="32"/>
          <w:szCs w:val="32"/>
          <w:highlight w:val="none"/>
        </w:rPr>
        <w:t>万元，项目支出</w:t>
      </w:r>
      <w:r>
        <w:rPr>
          <w:rFonts w:ascii="仿宋" w:hAnsi="仿宋" w:eastAsia="仿宋" w:cs="仿宋"/>
          <w:sz w:val="32"/>
          <w:u w:color="auto"/>
        </w:rPr>
        <w:t>1089.72</w:t>
      </w:r>
      <w:r>
        <w:rPr>
          <w:rFonts w:hint="eastAsia" w:ascii="仿宋" w:hAnsi="仿宋" w:eastAsia="仿宋" w:cs="仿宋"/>
          <w:sz w:val="32"/>
          <w:szCs w:val="32"/>
          <w:highlight w:val="none"/>
        </w:rPr>
        <w:t>万元。</w:t>
      </w:r>
    </w:p>
    <w:p>
      <w:pPr>
        <w:ind w:firstLine="640" w:firstLineChars="200"/>
        <w:jc w:val="left"/>
        <w:rPr>
          <w:rFonts w:ascii="仿宋" w:hAnsi="仿宋" w:eastAsia="仿宋"/>
          <w:sz w:val="32"/>
          <w:szCs w:val="32"/>
          <w:highlight w:val="none"/>
        </w:rPr>
      </w:pPr>
      <w:r>
        <w:rPr>
          <w:rFonts w:hint="eastAsia" w:ascii="仿宋" w:hAnsi="仿宋" w:eastAsia="仿宋" w:cs="仿宋"/>
          <w:sz w:val="32"/>
          <w:szCs w:val="32"/>
          <w:highlight w:val="none"/>
        </w:rPr>
        <w:t>环江毛南族自治县职业技术学校2022 年度一般公共预算财政拨款支出年初预算为</w:t>
      </w:r>
      <w:r>
        <w:rPr>
          <w:rFonts w:ascii="仿宋" w:hAnsi="仿宋" w:eastAsia="仿宋" w:cs="仿宋"/>
          <w:sz w:val="32"/>
          <w:u w:color="auto"/>
        </w:rPr>
        <w:t>1607.89</w:t>
      </w:r>
      <w:r>
        <w:rPr>
          <w:rFonts w:hint="eastAsia" w:ascii="仿宋" w:hAnsi="仿宋" w:eastAsia="仿宋" w:cs="仿宋"/>
          <w:sz w:val="32"/>
          <w:szCs w:val="32"/>
          <w:highlight w:val="none"/>
        </w:rPr>
        <w:t>万元，支出决算为</w:t>
      </w:r>
      <w:r>
        <w:rPr>
          <w:rFonts w:ascii="仿宋" w:hAnsi="仿宋" w:eastAsia="仿宋" w:cs="仿宋"/>
          <w:sz w:val="32"/>
          <w:u w:color="auto"/>
        </w:rPr>
        <w:t>3511.22</w:t>
      </w:r>
      <w:r>
        <w:rPr>
          <w:rFonts w:hint="eastAsia" w:ascii="仿宋" w:hAnsi="仿宋" w:eastAsia="仿宋" w:cs="仿宋"/>
          <w:sz w:val="32"/>
          <w:szCs w:val="32"/>
          <w:highlight w:val="none"/>
        </w:rPr>
        <w:t>万元，完成年初预算的</w:t>
      </w:r>
      <w:r>
        <w:rPr>
          <w:rFonts w:ascii="仿宋" w:hAnsi="仿宋" w:eastAsia="仿宋" w:cs="仿宋"/>
          <w:sz w:val="32"/>
          <w:u w:color="auto"/>
        </w:rPr>
        <w:t>218.37%</w:t>
      </w:r>
      <w:r>
        <w:rPr>
          <w:rFonts w:hint="eastAsia" w:ascii="仿宋" w:hAnsi="仿宋" w:eastAsia="仿宋" w:cs="仿宋"/>
          <w:sz w:val="32"/>
          <w:szCs w:val="32"/>
          <w:highlight w:val="none"/>
        </w:rPr>
        <w:t>。</w:t>
      </w:r>
      <w:bookmarkStart w:id="3" w:name="OLE_LINK2"/>
      <w:bookmarkEnd w:id="3"/>
    </w:p>
    <w:p>
      <w:pPr>
        <w:keepNext w:val="0"/>
        <w:keepLines w:val="0"/>
        <w:widowControl w:val="0"/>
        <w:numPr>
          <w:ilvl w:val="0"/>
          <w:numId w:val="1"/>
        </w:numPr>
        <w:suppressLineNumbers w:val="0"/>
        <w:spacing w:before="0" w:beforeAutospacing="0" w:after="0" w:afterAutospacing="0"/>
        <w:ind w:left="0" w:leftChars="0" w:right="0" w:rightChars="0" w:firstLine="420" w:firstLineChars="0"/>
        <w:jc w:val="left"/>
        <w:rPr>
          <w:rFonts w:hint="eastAsia" w:eastAsia="仿宋"/>
          <w:color w:val="FF0000"/>
          <w:highlight w:val="none"/>
          <w:lang w:val="en-US" w:eastAsia="zh-CN"/>
        </w:rPr>
      </w:pPr>
      <w:r>
        <w:rPr>
          <w:rFonts w:hint="eastAsia" w:ascii="仿宋" w:hAnsi="仿宋" w:eastAsia="仿宋"/>
          <w:sz w:val="32"/>
          <w:szCs w:val="32"/>
          <w:highlight w:val="none"/>
        </w:rPr>
        <w:t>一般公共服务支出</w:t>
      </w:r>
      <w:r>
        <w:rPr>
          <w:rFonts w:ascii="仿宋" w:hAnsi="仿宋" w:eastAsia="仿宋"/>
          <w:sz w:val="32"/>
          <w:u w:color="auto"/>
        </w:rPr>
        <w:t>（201</w:t>
      </w:r>
      <w:r>
        <w:rPr>
          <w:rFonts w:hint="eastAsia" w:ascii="仿宋" w:hAnsi="仿宋" w:eastAsia="仿宋"/>
          <w:sz w:val="32"/>
          <w:szCs w:val="32"/>
          <w:highlight w:val="none"/>
        </w:rPr>
        <w:t>类）年初预算为</w:t>
      </w:r>
      <w:r>
        <w:rPr>
          <w:rFonts w:ascii="仿宋" w:hAnsi="仿宋" w:eastAsia="仿宋"/>
          <w:sz w:val="32"/>
          <w:szCs w:val="32"/>
          <w:highlight w:val="none"/>
        </w:rPr>
        <w:t>23.17</w:t>
      </w:r>
      <w:r>
        <w:rPr>
          <w:rFonts w:hint="eastAsia" w:ascii="仿宋" w:hAnsi="仿宋" w:eastAsia="仿宋"/>
          <w:sz w:val="32"/>
          <w:szCs w:val="32"/>
          <w:highlight w:val="none"/>
        </w:rPr>
        <w:t>万元，支出决算为</w:t>
      </w:r>
      <w:r>
        <w:rPr>
          <w:rFonts w:ascii="仿宋" w:hAnsi="仿宋" w:eastAsia="仿宋"/>
          <w:sz w:val="32"/>
          <w:szCs w:val="32"/>
          <w:highlight w:val="none"/>
        </w:rPr>
        <w:t>32.81</w:t>
      </w:r>
      <w:r>
        <w:rPr>
          <w:rFonts w:hint="eastAsia" w:ascii="仿宋" w:hAnsi="仿宋" w:eastAsia="仿宋"/>
          <w:sz w:val="32"/>
          <w:szCs w:val="32"/>
          <w:highlight w:val="none"/>
        </w:rPr>
        <w:t>万元，完成年初预算的</w:t>
      </w:r>
      <w:r>
        <w:rPr>
          <w:rFonts w:ascii="仿宋" w:hAnsi="仿宋" w:eastAsia="仿宋"/>
          <w:sz w:val="32"/>
          <w:szCs w:val="32"/>
          <w:highlight w:val="none"/>
        </w:rPr>
        <w:t>141.61%</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原因是：2021年到2022年度新招聘了43位新老师，同时工资待遇提高了，年初预算按原来工资算，所以预算比支出变少了。</w:t>
      </w: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2012999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其他群众团体事务支出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23.17</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32.81</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141.61%</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工会日常支出、节日文体活动、节日慰问品、教职工喜丧慰问</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教师增多，工资提高了，工会费也增加了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23.17</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32.81</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工会日常支出、节日文体活动、节日慰问品、教职工喜丧慰问</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教师增多，工资提高了，工会费也增加了</w:t>
            </w:r>
          </w:p>
        </w:tc>
      </w:tr>
    </w:tbl>
    <w:p>
      <w:pPr>
        <w:jc w:val="both"/>
        <w:rPr>
          <w:rFonts w:ascii="仿宋" w:hAnsi="仿宋" w:eastAsia="仿宋"/>
          <w:sz w:val="32"/>
          <w:szCs w:val="32"/>
          <w:highlight w:val="none"/>
        </w:rPr>
      </w:pPr>
      <w:r>
        <w:rPr>
          <w:rFonts w:hint="eastAsia" w:ascii="仿宋" w:hAnsi="仿宋" w:eastAsia="仿宋" w:cs="仿宋"/>
          <w:sz w:val="32"/>
          <w:szCs w:val="32"/>
          <w:highlight w:val="none"/>
        </w:rPr>
        <w:drawing>
          <wp:inline distT="0" distB="0" distL="114300" distR="114300">
            <wp:extent cx="4474845" cy="2853690"/>
            <wp:effectExtent l="4445" t="4445" r="16510" b="18415"/>
            <wp:docPr id="6"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keepNext w:val="0"/>
        <w:keepLines w:val="0"/>
        <w:widowControl w:val="0"/>
        <w:numPr>
          <w:ilvl w:val="0"/>
          <w:numId w:val="1"/>
        </w:numPr>
        <w:suppressLineNumbers w:val="0"/>
        <w:spacing w:before="0" w:beforeAutospacing="0" w:after="0" w:afterAutospacing="0"/>
        <w:ind w:left="0" w:leftChars="0" w:right="0" w:rightChars="0" w:firstLine="420" w:firstLineChars="0"/>
        <w:jc w:val="left"/>
        <w:rPr>
          <w:rFonts w:hint="eastAsia" w:eastAsia="仿宋"/>
          <w:color w:val="FF0000"/>
          <w:highlight w:val="none"/>
          <w:lang w:val="en-US" w:eastAsia="zh-CN"/>
        </w:rPr>
      </w:pPr>
      <w:r>
        <w:rPr>
          <w:rFonts w:hint="eastAsia" w:ascii="仿宋" w:hAnsi="仿宋" w:eastAsia="仿宋"/>
          <w:sz w:val="32"/>
          <w:szCs w:val="32"/>
          <w:highlight w:val="none"/>
        </w:rPr>
        <w:t>教育支出</w:t>
      </w:r>
      <w:r>
        <w:rPr>
          <w:rFonts w:ascii="仿宋" w:hAnsi="仿宋" w:eastAsia="仿宋"/>
          <w:sz w:val="32"/>
          <w:u w:color="auto"/>
        </w:rPr>
        <w:t>（205</w:t>
      </w:r>
      <w:r>
        <w:rPr>
          <w:rFonts w:hint="eastAsia" w:ascii="仿宋" w:hAnsi="仿宋" w:eastAsia="仿宋"/>
          <w:sz w:val="32"/>
          <w:szCs w:val="32"/>
          <w:highlight w:val="none"/>
        </w:rPr>
        <w:t>类）年初预算为</w:t>
      </w:r>
      <w:r>
        <w:rPr>
          <w:rFonts w:ascii="仿宋" w:hAnsi="仿宋" w:eastAsia="仿宋"/>
          <w:sz w:val="32"/>
          <w:szCs w:val="32"/>
          <w:highlight w:val="none"/>
        </w:rPr>
        <w:t>1260.31</w:t>
      </w:r>
      <w:r>
        <w:rPr>
          <w:rFonts w:hint="eastAsia" w:ascii="仿宋" w:hAnsi="仿宋" w:eastAsia="仿宋"/>
          <w:sz w:val="32"/>
          <w:szCs w:val="32"/>
          <w:highlight w:val="none"/>
        </w:rPr>
        <w:t>万元，支出决算为</w:t>
      </w:r>
      <w:r>
        <w:rPr>
          <w:rFonts w:ascii="仿宋" w:hAnsi="仿宋" w:eastAsia="仿宋"/>
          <w:sz w:val="32"/>
          <w:szCs w:val="32"/>
          <w:highlight w:val="none"/>
        </w:rPr>
        <w:t>2668.76</w:t>
      </w:r>
      <w:r>
        <w:rPr>
          <w:rFonts w:hint="eastAsia" w:ascii="仿宋" w:hAnsi="仿宋" w:eastAsia="仿宋"/>
          <w:sz w:val="32"/>
          <w:szCs w:val="32"/>
          <w:highlight w:val="none"/>
        </w:rPr>
        <w:t>万元，完成年初预算的</w:t>
      </w:r>
      <w:r>
        <w:rPr>
          <w:rFonts w:ascii="仿宋" w:hAnsi="仿宋" w:eastAsia="仿宋"/>
          <w:sz w:val="32"/>
          <w:szCs w:val="32"/>
          <w:highlight w:val="none"/>
        </w:rPr>
        <w:t>211.75%</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年初预算取数有误，只取了环江毛南族自治县第二高级中学的预算数，漏了环江毛南族自治县职业技术学校的预算数、其他普通教育支出预算数以及其他教育附加安排支出的预算数，同时2021年至2022年度增加了43位新老师以及教师待遇提高，导致高中教育比预算多了428.3万。</w:t>
      </w: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2050204</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高中教育</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1260.31</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1688.61</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133.98%</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提高教师待遇，增加43位新老师工资</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000000" w:themeColor="text1"/>
                <w:sz w:val="18"/>
                <w:szCs w:val="18"/>
                <w:highlight w:val="none"/>
                <w:lang w:val="en-US" w:eastAsia="zh-CN"/>
                <w14:textFill>
                  <w14:solidFill>
                    <w14:schemeClr w14:val="tx1"/>
                  </w14:solidFill>
                </w14:textFill>
              </w:rPr>
              <w:t>教师增加，教师待遇提高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2050299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其他普通教育支出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0.00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276.38</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发放学生助学金</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000000" w:themeColor="text1"/>
                <w:sz w:val="18"/>
                <w:szCs w:val="18"/>
                <w:highlight w:val="none"/>
                <w:lang w:val="en-US" w:eastAsia="zh-CN"/>
                <w14:textFill>
                  <w14:solidFill>
                    <w14:schemeClr w14:val="tx1"/>
                  </w14:solidFill>
                </w14:textFill>
              </w:rPr>
              <w:t>助学金没有纳入年初预算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2050302</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中等职业教育</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0.00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697.61</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发放环江职校教师工资</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000000" w:themeColor="text1"/>
                <w:sz w:val="18"/>
                <w:szCs w:val="18"/>
                <w:highlight w:val="none"/>
                <w:lang w:val="en-US" w:eastAsia="zh-CN"/>
                <w14:textFill>
                  <w14:solidFill>
                    <w14:schemeClr w14:val="tx1"/>
                  </w14:solidFill>
                </w14:textFill>
              </w:rPr>
              <w:t>漏了环江职校人员经费的预算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2050999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其他教育费附加安排的支出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0.00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6.17</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发放奖励性补贴</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000000" w:themeColor="text1"/>
                <w:sz w:val="18"/>
                <w:szCs w:val="18"/>
                <w:highlight w:val="none"/>
                <w:lang w:val="en-US" w:eastAsia="zh-CN"/>
                <w14:textFill>
                  <w14:solidFill>
                    <w14:schemeClr w14:val="tx1"/>
                  </w14:solidFill>
                </w14:textFill>
              </w:rPr>
              <w:t>没有纳入年初预算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1260.31</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2668.76</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发放人员经费和学生助学金</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000000" w:themeColor="text1"/>
                <w:sz w:val="18"/>
                <w:szCs w:val="18"/>
                <w:highlight w:val="none"/>
                <w:lang w:val="en-US" w:eastAsia="zh-CN"/>
                <w14:textFill>
                  <w14:solidFill>
                    <w14:schemeClr w14:val="tx1"/>
                  </w14:solidFill>
                </w14:textFill>
              </w:rPr>
              <w:t>教师增加，教师待遇提高，年初漏了部分预算</w:t>
            </w:r>
          </w:p>
        </w:tc>
      </w:tr>
    </w:tbl>
    <w:p>
      <w:pPr>
        <w:jc w:val="left"/>
        <w:rPr>
          <w:rFonts w:hint="eastAsia" w:ascii="仿宋" w:hAnsi="仿宋" w:eastAsia="仿宋"/>
          <w:sz w:val="32"/>
          <w:szCs w:val="32"/>
          <w:highlight w:val="none"/>
        </w:rPr>
      </w:pPr>
    </w:p>
    <w:p>
      <w:pPr>
        <w:jc w:val="center"/>
        <w:rPr>
          <w:rFonts w:ascii="仿宋" w:hAnsi="仿宋" w:eastAsia="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5715"/>
            <wp:docPr id="8"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keepNext w:val="0"/>
        <w:keepLines w:val="0"/>
        <w:widowControl w:val="0"/>
        <w:numPr>
          <w:ilvl w:val="0"/>
          <w:numId w:val="1"/>
        </w:numPr>
        <w:suppressLineNumbers w:val="0"/>
        <w:spacing w:before="0" w:beforeAutospacing="0" w:after="0" w:afterAutospacing="0"/>
        <w:ind w:left="0" w:leftChars="0" w:right="0" w:rightChars="0" w:firstLine="420" w:firstLineChars="0"/>
        <w:jc w:val="left"/>
        <w:rPr>
          <w:rFonts w:hint="eastAsia" w:eastAsia="仿宋"/>
          <w:color w:val="000000" w:themeColor="text1"/>
          <w:highlight w:val="none"/>
          <w:lang w:val="en-US" w:eastAsia="zh-CN"/>
          <w14:textFill>
            <w14:solidFill>
              <w14:schemeClr w14:val="tx1"/>
            </w14:solidFill>
          </w14:textFill>
        </w:rPr>
      </w:pPr>
      <w:r>
        <w:rPr>
          <w:rFonts w:hint="eastAsia" w:ascii="仿宋" w:hAnsi="仿宋" w:eastAsia="仿宋"/>
          <w:sz w:val="32"/>
          <w:szCs w:val="32"/>
          <w:highlight w:val="none"/>
        </w:rPr>
        <w:t>社会保障和就业支出</w:t>
      </w:r>
      <w:r>
        <w:rPr>
          <w:rFonts w:ascii="仿宋" w:hAnsi="仿宋" w:eastAsia="仿宋"/>
          <w:sz w:val="32"/>
          <w:u w:color="auto"/>
        </w:rPr>
        <w:t>（208</w:t>
      </w:r>
      <w:r>
        <w:rPr>
          <w:rFonts w:hint="eastAsia" w:ascii="仿宋" w:hAnsi="仿宋" w:eastAsia="仿宋"/>
          <w:sz w:val="32"/>
          <w:szCs w:val="32"/>
          <w:highlight w:val="none"/>
        </w:rPr>
        <w:t>类）年初预算为</w:t>
      </w:r>
      <w:r>
        <w:rPr>
          <w:rFonts w:ascii="仿宋" w:hAnsi="仿宋" w:eastAsia="仿宋"/>
          <w:sz w:val="32"/>
          <w:szCs w:val="32"/>
          <w:highlight w:val="none"/>
        </w:rPr>
        <w:t>185.38</w:t>
      </w:r>
      <w:r>
        <w:rPr>
          <w:rFonts w:hint="eastAsia" w:ascii="仿宋" w:hAnsi="仿宋" w:eastAsia="仿宋"/>
          <w:sz w:val="32"/>
          <w:szCs w:val="32"/>
          <w:highlight w:val="none"/>
        </w:rPr>
        <w:t>万元，支出决算为</w:t>
      </w:r>
      <w:r>
        <w:rPr>
          <w:rFonts w:ascii="仿宋" w:hAnsi="仿宋" w:eastAsia="仿宋"/>
          <w:sz w:val="32"/>
          <w:szCs w:val="32"/>
          <w:highlight w:val="none"/>
        </w:rPr>
        <w:t>241.55</w:t>
      </w:r>
      <w:r>
        <w:rPr>
          <w:rFonts w:hint="eastAsia" w:ascii="仿宋" w:hAnsi="仿宋" w:eastAsia="仿宋"/>
          <w:sz w:val="32"/>
          <w:szCs w:val="32"/>
          <w:highlight w:val="none"/>
        </w:rPr>
        <w:t>万元，完成年初预算的</w:t>
      </w:r>
      <w:r>
        <w:rPr>
          <w:rFonts w:ascii="仿宋" w:hAnsi="仿宋" w:eastAsia="仿宋"/>
          <w:sz w:val="32"/>
          <w:szCs w:val="32"/>
          <w:highlight w:val="none"/>
        </w:rPr>
        <w:t>130.30%</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2022年度新增24位新老师，且缴费基数增加了。</w:t>
      </w: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2080505</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机关事业单位基本养老保险缴费支出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185.38</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241.55</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130.30%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支付在职教职工的养老保险</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000000" w:themeColor="text1"/>
                <w:sz w:val="18"/>
                <w:szCs w:val="18"/>
                <w:highlight w:val="none"/>
                <w:lang w:val="en-US" w:eastAsia="zh-CN"/>
                <w14:textFill>
                  <w14:solidFill>
                    <w14:schemeClr w14:val="tx1"/>
                  </w14:solidFill>
                </w14:textFill>
              </w:rPr>
              <w:t>人员增加，缴费基数提高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185.38</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241.55</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支付在职教职工的养老保险</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000000" w:themeColor="text1"/>
                <w:sz w:val="18"/>
                <w:szCs w:val="18"/>
                <w:highlight w:val="none"/>
                <w:lang w:val="en-US" w:eastAsia="zh-CN"/>
                <w14:textFill>
                  <w14:solidFill>
                    <w14:schemeClr w14:val="tx1"/>
                  </w14:solidFill>
                </w14:textFill>
              </w:rPr>
              <w:t>人员增加，缴费基数提高</w:t>
            </w:r>
          </w:p>
        </w:tc>
      </w:tr>
    </w:tbl>
    <w:p>
      <w:pPr>
        <w:jc w:val="left"/>
        <w:rPr>
          <w:rFonts w:hint="eastAsia" w:ascii="仿宋" w:hAnsi="仿宋" w:eastAsia="仿宋"/>
          <w:sz w:val="32"/>
          <w:szCs w:val="32"/>
          <w:highlight w:val="none"/>
        </w:rPr>
      </w:pPr>
    </w:p>
    <w:p>
      <w:pPr>
        <w:jc w:val="center"/>
        <w:rPr>
          <w:rFonts w:ascii="仿宋" w:hAnsi="仿宋" w:eastAsia="仿宋"/>
          <w:sz w:val="32"/>
          <w:szCs w:val="32"/>
          <w:highlight w:val="none"/>
        </w:rPr>
      </w:pPr>
      <w:r>
        <w:rPr>
          <w:rFonts w:hint="eastAsia" w:ascii="仿宋" w:hAnsi="仿宋" w:eastAsia="仿宋" w:cs="仿宋"/>
          <w:sz w:val="32"/>
          <w:szCs w:val="32"/>
          <w:highlight w:val="none"/>
        </w:rPr>
        <w:drawing>
          <wp:inline distT="0" distB="0" distL="114300" distR="114300">
            <wp:extent cx="4474845" cy="2596515"/>
            <wp:effectExtent l="4445" t="4445" r="16510" b="8890"/>
            <wp:docPr id="10"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keepNext w:val="0"/>
        <w:keepLines w:val="0"/>
        <w:widowControl w:val="0"/>
        <w:numPr>
          <w:ilvl w:val="0"/>
          <w:numId w:val="1"/>
        </w:numPr>
        <w:suppressLineNumbers w:val="0"/>
        <w:spacing w:before="0" w:beforeAutospacing="0" w:after="0" w:afterAutospacing="0"/>
        <w:ind w:left="0" w:leftChars="0" w:right="0" w:rightChars="0" w:firstLine="420" w:firstLineChars="0"/>
        <w:jc w:val="left"/>
        <w:rPr>
          <w:rFonts w:hint="eastAsia" w:eastAsia="仿宋"/>
          <w:color w:val="FF0000"/>
          <w:highlight w:val="none"/>
          <w:lang w:val="en-US" w:eastAsia="zh-CN"/>
        </w:rPr>
      </w:pPr>
      <w:r>
        <w:rPr>
          <w:rFonts w:hint="eastAsia" w:ascii="仿宋" w:hAnsi="仿宋" w:eastAsia="仿宋"/>
          <w:sz w:val="32"/>
          <w:szCs w:val="32"/>
          <w:highlight w:val="none"/>
        </w:rPr>
        <w:t>住房保障支出</w:t>
      </w:r>
      <w:r>
        <w:rPr>
          <w:rFonts w:ascii="仿宋" w:hAnsi="仿宋" w:eastAsia="仿宋"/>
          <w:sz w:val="32"/>
          <w:u w:color="auto"/>
        </w:rPr>
        <w:t>（221</w:t>
      </w:r>
      <w:r>
        <w:rPr>
          <w:rFonts w:hint="eastAsia" w:ascii="仿宋" w:hAnsi="仿宋" w:eastAsia="仿宋"/>
          <w:sz w:val="32"/>
          <w:szCs w:val="32"/>
          <w:highlight w:val="none"/>
        </w:rPr>
        <w:t>类）年初预算为</w:t>
      </w:r>
      <w:r>
        <w:rPr>
          <w:rFonts w:ascii="仿宋" w:hAnsi="仿宋" w:eastAsia="仿宋"/>
          <w:sz w:val="32"/>
          <w:szCs w:val="32"/>
          <w:highlight w:val="none"/>
        </w:rPr>
        <w:t>139.03</w:t>
      </w:r>
      <w:r>
        <w:rPr>
          <w:rFonts w:hint="eastAsia" w:ascii="仿宋" w:hAnsi="仿宋" w:eastAsia="仿宋"/>
          <w:sz w:val="32"/>
          <w:szCs w:val="32"/>
          <w:highlight w:val="none"/>
        </w:rPr>
        <w:t>万元，支出决算为</w:t>
      </w:r>
      <w:r>
        <w:rPr>
          <w:rFonts w:ascii="仿宋" w:hAnsi="仿宋" w:eastAsia="仿宋"/>
          <w:sz w:val="32"/>
          <w:szCs w:val="32"/>
          <w:highlight w:val="none"/>
        </w:rPr>
        <w:t>179.89</w:t>
      </w:r>
      <w:r>
        <w:rPr>
          <w:rFonts w:hint="eastAsia" w:ascii="仿宋" w:hAnsi="仿宋" w:eastAsia="仿宋"/>
          <w:sz w:val="32"/>
          <w:szCs w:val="32"/>
          <w:highlight w:val="none"/>
        </w:rPr>
        <w:t>万元，完成年初预算的</w:t>
      </w:r>
      <w:r>
        <w:rPr>
          <w:rFonts w:ascii="仿宋" w:hAnsi="仿宋" w:eastAsia="仿宋"/>
          <w:sz w:val="32"/>
          <w:szCs w:val="32"/>
          <w:highlight w:val="none"/>
        </w:rPr>
        <w:t>129.39%</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本年度新增24位新老师，且缴费基数增加了。</w:t>
      </w: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2210201</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住房公积金</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139.03</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179.89</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129.39%</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支付在职教职工的公积金</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000000" w:themeColor="text1"/>
                <w:sz w:val="18"/>
                <w:szCs w:val="18"/>
                <w:highlight w:val="none"/>
                <w:lang w:val="en-US" w:eastAsia="zh-CN"/>
                <w14:textFill>
                  <w14:solidFill>
                    <w14:schemeClr w14:val="tx1"/>
                  </w14:solidFill>
                </w14:textFill>
              </w:rPr>
              <w:t>人员增加，缴费基数提高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139.03</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179.89</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支付在职教职工的公积金</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000000" w:themeColor="text1"/>
                <w:sz w:val="18"/>
                <w:szCs w:val="18"/>
                <w:highlight w:val="none"/>
                <w:lang w:val="en-US" w:eastAsia="zh-CN"/>
                <w14:textFill>
                  <w14:solidFill>
                    <w14:schemeClr w14:val="tx1"/>
                  </w14:solidFill>
                </w14:textFill>
              </w:rPr>
              <w:t>人员增加，缴费基数提高</w:t>
            </w:r>
          </w:p>
        </w:tc>
      </w:tr>
    </w:tbl>
    <w:p>
      <w:pPr>
        <w:jc w:val="both"/>
        <w:rPr>
          <w:rFonts w:ascii="仿宋" w:hAnsi="仿宋" w:eastAsia="仿宋"/>
          <w:sz w:val="32"/>
          <w:szCs w:val="32"/>
          <w:highlight w:val="none"/>
        </w:rPr>
      </w:pPr>
      <w:r>
        <w:rPr>
          <w:rFonts w:hint="eastAsia" w:ascii="仿宋" w:hAnsi="仿宋" w:eastAsia="仿宋" w:cs="仿宋"/>
          <w:sz w:val="32"/>
          <w:szCs w:val="32"/>
          <w:highlight w:val="none"/>
        </w:rPr>
        <w:drawing>
          <wp:inline distT="0" distB="0" distL="114300" distR="114300">
            <wp:extent cx="4474845" cy="2549525"/>
            <wp:effectExtent l="4445" t="4445" r="16510" b="17780"/>
            <wp:docPr id="12"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keepNext w:val="0"/>
        <w:keepLines w:val="0"/>
        <w:widowControl w:val="0"/>
        <w:numPr>
          <w:ilvl w:val="0"/>
          <w:numId w:val="1"/>
        </w:numPr>
        <w:suppressLineNumbers w:val="0"/>
        <w:spacing w:before="0" w:beforeAutospacing="0" w:after="0" w:afterAutospacing="0"/>
        <w:ind w:left="0" w:leftChars="0" w:right="0" w:rightChars="0" w:firstLine="420" w:firstLineChars="0"/>
        <w:jc w:val="left"/>
        <w:rPr>
          <w:rFonts w:hint="eastAsia" w:eastAsia="仿宋"/>
          <w:color w:val="FF0000"/>
          <w:highlight w:val="none"/>
          <w:lang w:val="en-US" w:eastAsia="zh-CN"/>
        </w:rPr>
      </w:pPr>
      <w:r>
        <w:rPr>
          <w:rFonts w:hint="eastAsia" w:ascii="仿宋" w:hAnsi="仿宋" w:eastAsia="仿宋"/>
          <w:sz w:val="32"/>
          <w:szCs w:val="32"/>
          <w:highlight w:val="none"/>
        </w:rPr>
        <w:t>其他支出</w:t>
      </w:r>
      <w:r>
        <w:rPr>
          <w:rFonts w:ascii="仿宋" w:hAnsi="仿宋" w:eastAsia="仿宋"/>
          <w:sz w:val="32"/>
          <w:u w:color="auto"/>
        </w:rPr>
        <w:t>（229</w:t>
      </w:r>
      <w:r>
        <w:rPr>
          <w:rFonts w:hint="eastAsia" w:ascii="仿宋" w:hAnsi="仿宋" w:eastAsia="仿宋"/>
          <w:sz w:val="32"/>
          <w:szCs w:val="32"/>
          <w:highlight w:val="none"/>
        </w:rPr>
        <w:t>类）年初预算为</w:t>
      </w:r>
      <w:r>
        <w:rPr>
          <w:rFonts w:ascii="仿宋" w:hAnsi="仿宋" w:eastAsia="仿宋"/>
          <w:sz w:val="32"/>
          <w:szCs w:val="32"/>
          <w:highlight w:val="none"/>
        </w:rPr>
        <w:t>32.81</w:t>
      </w:r>
      <w:r>
        <w:rPr>
          <w:rFonts w:hint="eastAsia" w:ascii="仿宋" w:hAnsi="仿宋" w:eastAsia="仿宋"/>
          <w:sz w:val="32"/>
          <w:szCs w:val="32"/>
          <w:highlight w:val="none"/>
        </w:rPr>
        <w:t>万元，支出决算为</w:t>
      </w:r>
      <w:r>
        <w:rPr>
          <w:rFonts w:ascii="仿宋" w:hAnsi="仿宋" w:eastAsia="仿宋"/>
          <w:sz w:val="32"/>
          <w:szCs w:val="32"/>
          <w:highlight w:val="none"/>
        </w:rPr>
        <w:t>388.21</w:t>
      </w:r>
      <w:r>
        <w:rPr>
          <w:rFonts w:hint="eastAsia" w:ascii="仿宋" w:hAnsi="仿宋" w:eastAsia="仿宋"/>
          <w:sz w:val="32"/>
          <w:szCs w:val="32"/>
          <w:highlight w:val="none"/>
        </w:rPr>
        <w:t>万元，完成年初预算的</w:t>
      </w:r>
      <w:r>
        <w:rPr>
          <w:rFonts w:ascii="仿宋" w:hAnsi="仿宋" w:eastAsia="仿宋"/>
          <w:sz w:val="32"/>
          <w:szCs w:val="32"/>
          <w:highlight w:val="none"/>
        </w:rPr>
        <w:t>1183.21%</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原因是：年初预算只预算了环江毛南族自治县随工资发放的部分，漏了环江毛南族自治县第二高级中学的部分。</w:t>
      </w: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2299999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其他支出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0.00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388.21</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用于支付教职工的奖励性补贴</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教师增多，漏了环江二高的预算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388.21</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用于支付教职工的奖励性补贴</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教师增多，漏了环江二高的预算</w:t>
            </w:r>
          </w:p>
        </w:tc>
      </w:tr>
    </w:tbl>
    <w:p>
      <w:pPr>
        <w:jc w:val="left"/>
        <w:rPr>
          <w:rFonts w:hint="eastAsia" w:ascii="仿宋" w:hAnsi="仿宋" w:eastAsia="仿宋"/>
          <w:sz w:val="32"/>
          <w:szCs w:val="32"/>
          <w:highlight w:val="none"/>
        </w:rPr>
      </w:pPr>
    </w:p>
    <w:p>
      <w:pPr>
        <w:jc w:val="center"/>
        <w:rPr>
          <w:rFonts w:ascii="仿宋" w:hAnsi="仿宋" w:eastAsia="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5715"/>
            <wp:docPr id="14"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三、2022年度一般公共预算财政拨款基本支出决算情况说明</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环江毛南族自治县职业技术学校2022年度一般公共预算财政拨款基本支出</w:t>
      </w:r>
      <w:r>
        <w:rPr>
          <w:rFonts w:ascii="仿宋" w:hAnsi="仿宋" w:eastAsia="仿宋" w:cs="仿宋"/>
          <w:sz w:val="32"/>
          <w:u w:color="auto"/>
        </w:rPr>
        <w:t>2421.50</w:t>
      </w:r>
      <w:r>
        <w:rPr>
          <w:rFonts w:hint="eastAsia" w:ascii="仿宋" w:hAnsi="仿宋" w:eastAsia="仿宋" w:cs="仿宋"/>
          <w:sz w:val="32"/>
          <w:szCs w:val="32"/>
          <w:highlight w:val="none"/>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其中：人员经费支出</w:t>
      </w:r>
      <w:r>
        <w:rPr>
          <w:rFonts w:hint="eastAsia" w:ascii="仿宋" w:hAnsi="仿宋" w:eastAsia="仿宋" w:cs="仿宋"/>
          <w:sz w:val="32"/>
          <w:szCs w:val="32"/>
          <w:highlight w:val="none"/>
        </w:rPr>
        <w:t>2381.70</w:t>
      </w:r>
      <w:r>
        <w:rPr>
          <w:rFonts w:hint="default" w:ascii="仿宋_GB2312" w:hAnsi="微软雅黑" w:eastAsia="仿宋_GB2312" w:cs="仿宋_GB2312"/>
          <w:i w:val="0"/>
          <w:iCs w:val="0"/>
          <w:caps w:val="0"/>
          <w:color w:val="000000"/>
          <w:spacing w:val="0"/>
          <w:sz w:val="31"/>
          <w:szCs w:val="31"/>
          <w:highlight w:val="none"/>
          <w:shd w:val="clear" w:color="auto" w:fill="FFFFFF"/>
        </w:rPr>
        <w:t>万元，公用经费支出</w:t>
      </w:r>
      <w:r>
        <w:rPr>
          <w:rFonts w:hint="eastAsia" w:ascii="仿宋" w:hAnsi="仿宋" w:eastAsia="仿宋" w:cs="仿宋"/>
          <w:sz w:val="32"/>
          <w:szCs w:val="32"/>
          <w:highlight w:val="none"/>
        </w:rPr>
        <w:t>39.80</w:t>
      </w:r>
      <w:r>
        <w:rPr>
          <w:rFonts w:hint="default" w:ascii="仿宋_GB2312" w:hAnsi="微软雅黑" w:eastAsia="仿宋_GB2312" w:cs="仿宋_GB2312"/>
          <w:i w:val="0"/>
          <w:iCs w:val="0"/>
          <w:caps w:val="0"/>
          <w:color w:val="000000"/>
          <w:spacing w:val="0"/>
          <w:sz w:val="31"/>
          <w:szCs w:val="31"/>
          <w:highlight w:val="none"/>
          <w:shd w:val="clear" w:color="auto" w:fill="FFFFFF"/>
        </w:rPr>
        <w:t>万元，</w:t>
      </w:r>
      <w:r>
        <w:rPr>
          <w:rFonts w:hint="eastAsia" w:ascii="仿宋" w:hAnsi="仿宋" w:eastAsia="仿宋" w:cs="仿宋"/>
          <w:sz w:val="32"/>
          <w:szCs w:val="32"/>
          <w:highlight w:val="none"/>
        </w:rPr>
        <w:t>支出具体情况如下：</w:t>
      </w:r>
    </w:p>
    <w:p>
      <w:pPr>
        <w:keepNext w:val="0"/>
        <w:keepLines w:val="0"/>
        <w:widowControl w:val="0"/>
        <w:numPr>
          <w:ilvl w:val="0"/>
          <w:numId w:val="2"/>
        </w:numPr>
        <w:suppressLineNumbers w:val="0"/>
        <w:spacing w:before="0" w:beforeAutospacing="0" w:after="0" w:afterAutospacing="0"/>
        <w:ind w:left="0" w:leftChars="0" w:right="0" w:firstLine="420" w:firstLineChars="0"/>
        <w:jc w:val="left"/>
        <w:rPr>
          <w:rFonts w:hint="default" w:ascii="仿宋" w:hAnsi="仿宋" w:eastAsia="仿宋" w:cs="仿宋"/>
          <w:color w:val="000000" w:themeColor="text1"/>
          <w:sz w:val="32"/>
          <w:szCs w:val="32"/>
          <w:highlight w:val="none"/>
          <w:lang w:val="en-US"/>
          <w14:textFill>
            <w14:solidFill>
              <w14:schemeClr w14:val="tx1"/>
            </w14:solidFill>
          </w14:textFill>
        </w:rPr>
      </w:pPr>
      <w:r>
        <w:rPr>
          <w:rFonts w:hint="eastAsia" w:ascii="仿宋" w:hAnsi="仿宋" w:eastAsia="仿宋" w:cs="仿宋"/>
          <w:sz w:val="32"/>
          <w:szCs w:val="32"/>
          <w:highlight w:val="none"/>
        </w:rPr>
        <w:t>工资福利支出</w:t>
      </w:r>
      <w:r>
        <w:rPr>
          <w:rFonts w:ascii="仿宋" w:hAnsi="仿宋" w:eastAsia="仿宋" w:cs="仿宋"/>
          <w:sz w:val="32"/>
          <w:u w:color="auto"/>
        </w:rPr>
        <w:t>2286.86万元，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159.04%</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主要原因是：2021年度到2022年度增加了43位新招聘教师，同时工资待遇提高，五险一金缴费基数加赠，导致支出增加。</w:t>
      </w:r>
    </w:p>
    <w:p>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30101基本工资886.53万元，30102津贴补贴69.28万元，30103奖金405.52万元，30107绩效工资375.54万元，30108机关事业单位基本养老保险缴费241.55万元，30110职工基本医疗保险缴费114.98万元，30112其他社会保障缴费13.58万元，30113住房公积金179.89万元。</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16"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keepNext w:val="0"/>
        <w:keepLines w:val="0"/>
        <w:widowControl w:val="0"/>
        <w:numPr>
          <w:ilvl w:val="0"/>
          <w:numId w:val="2"/>
        </w:numPr>
        <w:suppressLineNumbers w:val="0"/>
        <w:spacing w:before="0" w:beforeAutospacing="0" w:after="0" w:afterAutospacing="0"/>
        <w:ind w:left="0" w:leftChars="0" w:right="0" w:firstLine="420" w:firstLineChars="0"/>
        <w:jc w:val="left"/>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sz w:val="32"/>
          <w:szCs w:val="32"/>
          <w:highlight w:val="none"/>
        </w:rPr>
        <w:t>商品和服务支出</w:t>
      </w:r>
      <w:r>
        <w:rPr>
          <w:rFonts w:ascii="仿宋" w:hAnsi="仿宋" w:eastAsia="仿宋" w:cs="仿宋"/>
          <w:sz w:val="32"/>
          <w:u w:color="auto"/>
        </w:rPr>
        <w:t>39.80万元，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171.77%</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主要原因是：2021年度工会费未纳入预算一体化系统，2022年开始工会费纳入预算一体化系统，导致预决算出现差异。</w:t>
      </w:r>
    </w:p>
    <w:p>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30201办公费1.49万元，30205水费4.22万元，30209物业管理费0.30万元，30213维修（护）费0.97万元，30228工会经费32.81万元。</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2463800"/>
            <wp:effectExtent l="4445" t="4445" r="16510" b="8255"/>
            <wp:docPr id="18"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keepNext w:val="0"/>
        <w:keepLines w:val="0"/>
        <w:widowControl w:val="0"/>
        <w:numPr>
          <w:ilvl w:val="0"/>
          <w:numId w:val="2"/>
        </w:numPr>
        <w:suppressLineNumbers w:val="0"/>
        <w:spacing w:before="0" w:beforeAutospacing="0" w:after="0" w:afterAutospacing="0"/>
        <w:ind w:left="0" w:leftChars="0" w:right="0" w:firstLine="420" w:firstLineChars="0"/>
        <w:jc w:val="left"/>
        <w:rPr>
          <w:rFonts w:ascii="仿宋" w:hAnsi="仿宋" w:eastAsia="仿宋" w:cs="仿宋"/>
          <w:color w:val="auto"/>
          <w:sz w:val="32"/>
          <w:szCs w:val="32"/>
          <w:highlight w:val="none"/>
        </w:rPr>
      </w:pPr>
      <w:r>
        <w:rPr>
          <w:rFonts w:hint="eastAsia" w:ascii="仿宋" w:hAnsi="仿宋" w:eastAsia="仿宋" w:cs="仿宋"/>
          <w:sz w:val="32"/>
          <w:szCs w:val="32"/>
          <w:highlight w:val="none"/>
        </w:rPr>
        <w:t>对个人和家庭的补助</w:t>
      </w:r>
      <w:r>
        <w:rPr>
          <w:rFonts w:ascii="仿宋" w:hAnsi="仿宋" w:eastAsia="仿宋" w:cs="仿宋"/>
          <w:sz w:val="32"/>
          <w:u w:color="auto"/>
        </w:rPr>
        <w:t>94.84万元，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354.14%</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抚恤金是不能列入预算，发生了只能做预算追加，生活补助是退休教师工资，退休人数增多了，且退休待遇提高了。</w:t>
      </w:r>
    </w:p>
    <w:p>
      <w:pPr>
        <w:jc w:val="left"/>
        <w:rPr>
          <w:rFonts w:hint="eastAsia" w:ascii="仿宋" w:hAnsi="仿宋" w:eastAsia="仿宋" w:cs="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30304抚恤金37.19万元，30305生活补助57.35万元，30308助学金0.20万元，30399其他对个人和家庭的补助0.10万元。</w:t>
      </w:r>
      <w:r>
        <w:rPr>
          <w:rFonts w:hint="eastAsia" w:ascii="仿宋" w:hAnsi="仿宋" w:eastAsia="仿宋" w:cs="仿宋"/>
          <w:sz w:val="32"/>
          <w:szCs w:val="32"/>
          <w:highlight w:val="none"/>
        </w:rPr>
        <w:drawing>
          <wp:inline distT="0" distB="0" distL="114300" distR="114300">
            <wp:extent cx="4474845" cy="2157730"/>
            <wp:effectExtent l="4445" t="4445" r="16510" b="9525"/>
            <wp:docPr id="20"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keepNext w:val="0"/>
        <w:keepLines w:val="0"/>
        <w:widowControl w:val="0"/>
        <w:numPr>
          <w:ilvl w:val="0"/>
          <w:numId w:val="2"/>
        </w:numPr>
        <w:suppressLineNumbers w:val="0"/>
        <w:spacing w:before="0" w:beforeAutospacing="0" w:after="0" w:afterAutospacing="0"/>
        <w:ind w:left="0" w:leftChars="0" w:right="0" w:firstLine="420" w:firstLineChars="0"/>
        <w:jc w:val="left"/>
        <w:rPr>
          <w:rFonts w:ascii="仿宋" w:hAnsi="仿宋" w:eastAsia="仿宋" w:cs="仿宋"/>
          <w:color w:val="auto"/>
          <w:sz w:val="32"/>
          <w:szCs w:val="32"/>
          <w:highlight w:val="none"/>
        </w:rPr>
      </w:pPr>
      <w:r>
        <w:rPr>
          <w:rFonts w:hint="eastAsia" w:ascii="仿宋" w:hAnsi="仿宋" w:eastAsia="仿宋" w:cs="仿宋"/>
          <w:sz w:val="32"/>
          <w:szCs w:val="32"/>
          <w:highlight w:val="none"/>
        </w:rPr>
        <w:t>债务利息及费用支出</w:t>
      </w:r>
      <w:r>
        <w:rPr>
          <w:rFonts w:ascii="仿宋" w:hAnsi="仿宋" w:eastAsia="仿宋" w:cs="仿宋"/>
          <w:sz w:val="32"/>
          <w:u w:color="auto"/>
        </w:rPr>
        <w:t>0.00万元，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0%</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本单位本年度没有债务，所以没有债务利息及费用支出。所以各项数据为0。</w:t>
      </w:r>
    </w:p>
    <w:p>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2606040"/>
            <wp:effectExtent l="4445" t="4445" r="16510" b="18415"/>
            <wp:docPr id="22"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keepNext w:val="0"/>
        <w:keepLines w:val="0"/>
        <w:widowControl w:val="0"/>
        <w:numPr>
          <w:ilvl w:val="0"/>
          <w:numId w:val="2"/>
        </w:numPr>
        <w:suppressLineNumbers w:val="0"/>
        <w:spacing w:before="0" w:beforeAutospacing="0" w:after="0" w:afterAutospacing="0"/>
        <w:ind w:left="0" w:leftChars="0" w:right="0" w:firstLine="420" w:firstLine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资本性支出</w:t>
      </w:r>
      <w:r>
        <w:rPr>
          <w:rFonts w:ascii="仿宋" w:hAnsi="仿宋" w:eastAsia="仿宋" w:cs="仿宋"/>
          <w:sz w:val="32"/>
          <w:u w:color="auto"/>
        </w:rPr>
        <w:t>0.00万元，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0%</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本单位本年度没有资本性支出，所以各项数据为0。</w:t>
      </w:r>
    </w:p>
    <w:p>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24"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keepNext w:val="0"/>
        <w:keepLines w:val="0"/>
        <w:widowControl w:val="0"/>
        <w:numPr>
          <w:ilvl w:val="0"/>
          <w:numId w:val="2"/>
        </w:numPr>
        <w:suppressLineNumbers w:val="0"/>
        <w:spacing w:before="0" w:beforeAutospacing="0" w:after="0" w:afterAutospacing="0"/>
        <w:ind w:left="0" w:leftChars="0" w:right="0" w:firstLine="420" w:firstLine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其他支出</w:t>
      </w:r>
      <w:r>
        <w:rPr>
          <w:rFonts w:ascii="仿宋" w:hAnsi="仿宋" w:eastAsia="仿宋" w:cs="仿宋"/>
          <w:sz w:val="32"/>
          <w:u w:color="auto"/>
        </w:rPr>
        <w:t>0.00万元，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0%</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本单位本年度没有其他支出，所以各项数据为0。</w:t>
      </w:r>
    </w:p>
    <w:p>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p>
    <w:p>
      <w:pPr>
        <w:jc w:val="center"/>
        <w:rPr>
          <w:rFonts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2691765"/>
            <wp:effectExtent l="4445" t="4445" r="16510" b="8890"/>
            <wp:docPr id="26"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四、2022年度政府性基金支出决算情况</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环江毛南族自治县职业技术学校2022年度政府性基金支出</w:t>
      </w:r>
      <w:r>
        <w:rPr>
          <w:rFonts w:ascii="仿宋" w:hAnsi="仿宋" w:eastAsia="仿宋" w:cs="仿宋"/>
          <w:sz w:val="32"/>
          <w:szCs w:val="32"/>
          <w:highlight w:val="none"/>
        </w:rPr>
        <w:t>0.00</w:t>
      </w:r>
      <w:r>
        <w:rPr>
          <w:rFonts w:hint="eastAsia" w:ascii="仿宋" w:hAnsi="仿宋" w:eastAsia="仿宋" w:cs="仿宋"/>
          <w:sz w:val="32"/>
          <w:szCs w:val="32"/>
          <w:highlight w:val="none"/>
        </w:rPr>
        <w:t>万元，较2021年度决算数</w:t>
      </w:r>
      <w:r>
        <w:rPr>
          <w:rFonts w:ascii="仿宋" w:hAnsi="仿宋" w:eastAsia="仿宋" w:cs="仿宋"/>
          <w:sz w:val="32"/>
          <w:szCs w:val="32"/>
          <w:highlight w:val="none"/>
        </w:rPr>
        <w:t>增加0.00</w:t>
      </w:r>
      <w:r>
        <w:rPr>
          <w:rFonts w:hint="eastAsia" w:ascii="仿宋" w:hAnsi="仿宋" w:eastAsia="仿宋" w:cs="仿宋"/>
          <w:sz w:val="32"/>
          <w:szCs w:val="32"/>
          <w:highlight w:val="none"/>
        </w:rPr>
        <w:t>万元，</w:t>
      </w:r>
      <w:r>
        <w:rPr>
          <w:rFonts w:ascii="仿宋" w:hAnsi="仿宋" w:eastAsia="仿宋" w:cs="仿宋"/>
          <w:sz w:val="32"/>
          <w:szCs w:val="32"/>
          <w:highlight w:val="none"/>
        </w:rPr>
        <w:t>增长0%</w:t>
      </w:r>
      <w:r>
        <w:rPr>
          <w:rFonts w:hint="eastAsia" w:ascii="仿宋" w:hAnsi="仿宋" w:eastAsia="仿宋" w:cs="仿宋"/>
          <w:sz w:val="32"/>
          <w:szCs w:val="32"/>
          <w:highlight w:val="none"/>
        </w:rPr>
        <w:t>其中：基本支出</w:t>
      </w:r>
      <w:r>
        <w:rPr>
          <w:rFonts w:ascii="仿宋" w:hAnsi="仿宋" w:eastAsia="仿宋" w:cs="仿宋"/>
          <w:sz w:val="32"/>
          <w:szCs w:val="32"/>
          <w:highlight w:val="none"/>
        </w:rPr>
        <w:t>0.00</w:t>
      </w:r>
      <w:r>
        <w:rPr>
          <w:rFonts w:hint="eastAsia" w:ascii="仿宋" w:hAnsi="仿宋" w:eastAsia="仿宋" w:cs="仿宋"/>
          <w:sz w:val="32"/>
          <w:szCs w:val="32"/>
          <w:highlight w:val="none"/>
        </w:rPr>
        <w:t>万元，项目支出</w:t>
      </w:r>
      <w:r>
        <w:rPr>
          <w:rFonts w:ascii="仿宋" w:hAnsi="仿宋" w:eastAsia="仿宋" w:cs="仿宋"/>
          <w:sz w:val="32"/>
          <w:szCs w:val="32"/>
          <w:highlight w:val="none"/>
        </w:rPr>
        <w:t>0.00</w:t>
      </w:r>
      <w:r>
        <w:rPr>
          <w:rFonts w:hint="eastAsia" w:ascii="仿宋" w:hAnsi="仿宋" w:eastAsia="仿宋" w:cs="仿宋"/>
          <w:sz w:val="32"/>
          <w:szCs w:val="32"/>
          <w:highlight w:val="none"/>
        </w:rPr>
        <w:t>万元。</w:t>
      </w:r>
    </w:p>
    <w:p>
      <w:p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环江毛南族自治县职业技术学校2022年度政府性基金支出年初预算为</w:t>
      </w:r>
      <w:r>
        <w:rPr>
          <w:rFonts w:ascii="仿宋" w:hAnsi="仿宋" w:eastAsia="仿宋" w:cs="仿宋"/>
          <w:sz w:val="32"/>
          <w:szCs w:val="32"/>
          <w:highlight w:val="none"/>
        </w:rPr>
        <w:t>0.00</w:t>
      </w:r>
      <w:r>
        <w:rPr>
          <w:rFonts w:hint="eastAsia" w:ascii="仿宋" w:hAnsi="仿宋" w:eastAsia="仿宋" w:cs="仿宋"/>
          <w:sz w:val="32"/>
          <w:szCs w:val="32"/>
          <w:highlight w:val="none"/>
        </w:rPr>
        <w:t>万元，支出决算为</w:t>
      </w:r>
      <w:r>
        <w:rPr>
          <w:rFonts w:ascii="仿宋" w:hAnsi="仿宋" w:eastAsia="仿宋" w:cs="仿宋"/>
          <w:sz w:val="32"/>
          <w:szCs w:val="32"/>
          <w:highlight w:val="none"/>
        </w:rPr>
        <w:t>0.00</w:t>
      </w:r>
      <w:r>
        <w:rPr>
          <w:rFonts w:hint="eastAsia" w:ascii="仿宋" w:hAnsi="仿宋" w:eastAsia="仿宋" w:cs="仿宋"/>
          <w:sz w:val="32"/>
          <w:szCs w:val="32"/>
          <w:highlight w:val="none"/>
        </w:rPr>
        <w:t>万元，完成年初预算的</w:t>
      </w:r>
      <w:r>
        <w:rPr>
          <w:rFonts w:ascii="仿宋" w:hAnsi="仿宋" w:eastAsia="仿宋" w:cs="仿宋"/>
          <w:sz w:val="32"/>
          <w:szCs w:val="32"/>
          <w:highlight w:val="none"/>
        </w:rPr>
        <w:t>0%</w:t>
      </w:r>
      <w:r>
        <w:rPr>
          <w:rFonts w:hint="eastAsia" w:ascii="仿宋" w:hAnsi="仿宋" w:eastAsia="仿宋" w:cs="仿宋"/>
          <w:sz w:val="32"/>
          <w:szCs w:val="32"/>
          <w:highlight w:val="none"/>
        </w:rPr>
        <w:t>。</w:t>
      </w:r>
    </w:p>
    <w:p>
      <w:pPr>
        <w:ind w:firstLine="640" w:firstLineChars="200"/>
        <w:rPr>
          <w:rFonts w:hint="eastAsia" w:ascii="仿宋" w:hAnsi="仿宋" w:eastAsia="仿宋" w:cs="仿宋"/>
          <w:sz w:val="32"/>
          <w:szCs w:val="32"/>
          <w:highlight w:val="none"/>
        </w:rPr>
      </w:pPr>
      <w:r>
        <w:rPr>
          <w:rFonts w:hint="eastAsia" w:ascii="仿宋" w:hAnsi="仿宋" w:eastAsia="仿宋" w:cs="仿宋"/>
          <w:color w:val="000000" w:themeColor="text1"/>
          <w:sz w:val="32"/>
          <w:szCs w:val="32"/>
          <w:highlight w:val="none"/>
          <w14:textFill>
            <w14:solidFill>
              <w14:schemeClr w14:val="tx1"/>
            </w14:solidFill>
          </w14:textFill>
        </w:rPr>
        <w:t>本</w:t>
      </w:r>
      <w:r>
        <w:rPr>
          <w:rFonts w:hint="eastAsia" w:ascii="仿宋" w:hAnsi="仿宋" w:eastAsia="仿宋" w:cs="仿宋"/>
          <w:color w:val="000000" w:themeColor="text1"/>
          <w:sz w:val="32"/>
          <w:szCs w:val="32"/>
          <w:highlight w:val="none"/>
          <w:lang w:eastAsia="zh-CN"/>
          <w14:textFill>
            <w14:solidFill>
              <w14:schemeClr w14:val="tx1"/>
            </w14:solidFill>
          </w14:textFill>
        </w:rPr>
        <w:t>单位</w:t>
      </w:r>
      <w:r>
        <w:rPr>
          <w:rFonts w:hint="eastAsia" w:ascii="仿宋" w:hAnsi="仿宋" w:eastAsia="仿宋" w:cs="仿宋"/>
          <w:color w:val="000000" w:themeColor="text1"/>
          <w:sz w:val="32"/>
          <w:szCs w:val="32"/>
          <w:highlight w:val="none"/>
          <w14:textFill>
            <w14:solidFill>
              <w14:schemeClr w14:val="tx1"/>
            </w14:solidFill>
          </w14:textFill>
        </w:rPr>
        <w:t>2022年度没有政府性基金预算财政拨款收入，也没有政府性基金预算财政拨款安排的支出，</w:t>
      </w:r>
      <w:r>
        <w:rPr>
          <w:rFonts w:hint="eastAsia" w:ascii="仿宋" w:hAnsi="仿宋" w:eastAsia="仿宋" w:cs="仿宋"/>
          <w:color w:val="auto"/>
          <w:kern w:val="2"/>
          <w:sz w:val="32"/>
          <w:szCs w:val="32"/>
          <w:highlight w:val="none"/>
          <w:lang w:val="en-US" w:eastAsia="zh-CN" w:bidi="ar"/>
        </w:rPr>
        <w:t>所以各项数据为0。</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五、2022年度国有资本经营预算支出决算情况</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环江毛南族自治县职业技术学校2022年度国有资本经营预算支出</w:t>
      </w:r>
      <w:r>
        <w:rPr>
          <w:rFonts w:ascii="仿宋" w:hAnsi="仿宋" w:eastAsia="仿宋" w:cs="仿宋"/>
          <w:sz w:val="32"/>
          <w:szCs w:val="32"/>
          <w:highlight w:val="none"/>
        </w:rPr>
        <w:t>0.00</w:t>
      </w:r>
      <w:r>
        <w:rPr>
          <w:rFonts w:hint="eastAsia" w:ascii="仿宋" w:hAnsi="仿宋" w:eastAsia="仿宋" w:cs="仿宋"/>
          <w:sz w:val="32"/>
          <w:szCs w:val="32"/>
          <w:highlight w:val="none"/>
        </w:rPr>
        <w:t>万元。其中：基本支出</w:t>
      </w:r>
      <w:r>
        <w:rPr>
          <w:rFonts w:ascii="仿宋" w:hAnsi="仿宋" w:eastAsia="仿宋" w:cs="仿宋"/>
          <w:sz w:val="32"/>
          <w:szCs w:val="32"/>
          <w:highlight w:val="none"/>
        </w:rPr>
        <w:t>0.00</w:t>
      </w:r>
      <w:r>
        <w:rPr>
          <w:rFonts w:hint="eastAsia" w:ascii="仿宋" w:hAnsi="仿宋" w:eastAsia="仿宋" w:cs="仿宋"/>
          <w:sz w:val="32"/>
          <w:szCs w:val="32"/>
          <w:highlight w:val="none"/>
        </w:rPr>
        <w:t>万元，项目支出</w:t>
      </w:r>
      <w:r>
        <w:rPr>
          <w:rFonts w:ascii="仿宋" w:hAnsi="仿宋" w:eastAsia="仿宋" w:cs="仿宋"/>
          <w:sz w:val="32"/>
          <w:szCs w:val="32"/>
          <w:highlight w:val="none"/>
        </w:rPr>
        <w:t>0.00</w:t>
      </w:r>
      <w:r>
        <w:rPr>
          <w:rFonts w:hint="eastAsia" w:ascii="仿宋" w:hAnsi="仿宋" w:eastAsia="仿宋" w:cs="仿宋"/>
          <w:sz w:val="32"/>
          <w:szCs w:val="32"/>
          <w:highlight w:val="none"/>
        </w:rPr>
        <w:t>万元。</w:t>
      </w:r>
    </w:p>
    <w:p>
      <w:p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环江毛南族自治县职业技术学校2022 年度国有资本经营预算支出年初预算为</w:t>
      </w:r>
      <w:r>
        <w:rPr>
          <w:rFonts w:ascii="仿宋" w:hAnsi="仿宋" w:eastAsia="仿宋" w:cs="仿宋"/>
          <w:sz w:val="32"/>
          <w:szCs w:val="32"/>
          <w:highlight w:val="none"/>
        </w:rPr>
        <w:t>0.00</w:t>
      </w:r>
      <w:r>
        <w:rPr>
          <w:rFonts w:hint="eastAsia" w:ascii="仿宋" w:hAnsi="仿宋" w:eastAsia="仿宋" w:cs="仿宋"/>
          <w:sz w:val="32"/>
          <w:szCs w:val="32"/>
          <w:highlight w:val="none"/>
        </w:rPr>
        <w:t>万元，支出决算为</w:t>
      </w:r>
      <w:r>
        <w:rPr>
          <w:rFonts w:ascii="仿宋" w:hAnsi="仿宋" w:eastAsia="仿宋" w:cs="仿宋"/>
          <w:sz w:val="32"/>
          <w:szCs w:val="32"/>
          <w:highlight w:val="none"/>
        </w:rPr>
        <w:t>0.00</w:t>
      </w:r>
      <w:r>
        <w:rPr>
          <w:rFonts w:hint="eastAsia" w:ascii="仿宋" w:hAnsi="仿宋" w:eastAsia="仿宋" w:cs="仿宋"/>
          <w:sz w:val="32"/>
          <w:szCs w:val="32"/>
          <w:highlight w:val="none"/>
        </w:rPr>
        <w:t>万元，完成年初预算的</w:t>
      </w:r>
      <w:r>
        <w:rPr>
          <w:rFonts w:ascii="仿宋" w:hAnsi="仿宋" w:eastAsia="仿宋" w:cs="仿宋"/>
          <w:sz w:val="32"/>
          <w:szCs w:val="32"/>
          <w:highlight w:val="none"/>
        </w:rPr>
        <w:t>0%</w:t>
      </w:r>
      <w:r>
        <w:rPr>
          <w:rFonts w:hint="eastAsia" w:ascii="仿宋" w:hAnsi="仿宋" w:eastAsia="仿宋" w:cs="仿宋"/>
          <w:sz w:val="32"/>
          <w:szCs w:val="32"/>
          <w:highlight w:val="none"/>
        </w:rPr>
        <w:t>。</w:t>
      </w:r>
    </w:p>
    <w:p>
      <w:pPr>
        <w:ind w:firstLine="640" w:firstLineChars="200"/>
        <w:rPr>
          <w:rFonts w:hint="eastAsia" w:ascii="仿宋" w:hAnsi="仿宋" w:eastAsia="仿宋" w:cs="仿宋"/>
          <w:sz w:val="32"/>
          <w:szCs w:val="32"/>
          <w:highlight w:val="none"/>
        </w:rPr>
      </w:pPr>
      <w:r>
        <w:rPr>
          <w:rFonts w:hint="eastAsia" w:ascii="仿宋" w:hAnsi="仿宋" w:eastAsia="仿宋" w:cs="仿宋"/>
          <w:color w:val="000000" w:themeColor="text1"/>
          <w:sz w:val="32"/>
          <w:szCs w:val="32"/>
          <w:highlight w:val="none"/>
          <w14:textFill>
            <w14:solidFill>
              <w14:schemeClr w14:val="tx1"/>
            </w14:solidFill>
          </w14:textFill>
        </w:rPr>
        <w:t>本</w:t>
      </w:r>
      <w:r>
        <w:rPr>
          <w:rFonts w:hint="eastAsia" w:ascii="仿宋" w:hAnsi="仿宋" w:eastAsia="仿宋" w:cs="仿宋"/>
          <w:color w:val="000000" w:themeColor="text1"/>
          <w:sz w:val="32"/>
          <w:szCs w:val="32"/>
          <w:highlight w:val="none"/>
          <w:lang w:eastAsia="zh-CN"/>
          <w14:textFill>
            <w14:solidFill>
              <w14:schemeClr w14:val="tx1"/>
            </w14:solidFill>
          </w14:textFill>
        </w:rPr>
        <w:t>单位</w:t>
      </w:r>
      <w:r>
        <w:rPr>
          <w:rFonts w:hint="eastAsia" w:ascii="仿宋" w:hAnsi="仿宋" w:eastAsia="仿宋" w:cs="仿宋"/>
          <w:color w:val="000000" w:themeColor="text1"/>
          <w:sz w:val="32"/>
          <w:szCs w:val="32"/>
          <w:highlight w:val="none"/>
          <w14:textFill>
            <w14:solidFill>
              <w14:schemeClr w14:val="tx1"/>
            </w14:solidFill>
          </w14:textFill>
        </w:rPr>
        <w:t>2022年度没有</w:t>
      </w:r>
      <w:r>
        <w:rPr>
          <w:rFonts w:hint="eastAsia" w:ascii="仿宋" w:hAnsi="仿宋" w:eastAsia="仿宋" w:cs="仿宋"/>
          <w:sz w:val="32"/>
          <w:szCs w:val="32"/>
          <w:highlight w:val="none"/>
        </w:rPr>
        <w:t>国有资本经营</w:t>
      </w:r>
      <w:r>
        <w:rPr>
          <w:rFonts w:hint="eastAsia" w:ascii="仿宋" w:hAnsi="仿宋" w:eastAsia="仿宋" w:cs="仿宋"/>
          <w:color w:val="000000" w:themeColor="text1"/>
          <w:sz w:val="32"/>
          <w:szCs w:val="32"/>
          <w:highlight w:val="none"/>
          <w14:textFill>
            <w14:solidFill>
              <w14:schemeClr w14:val="tx1"/>
            </w14:solidFill>
          </w14:textFill>
        </w:rPr>
        <w:t>收入，也没有</w:t>
      </w:r>
      <w:r>
        <w:rPr>
          <w:rFonts w:hint="eastAsia" w:ascii="仿宋" w:hAnsi="仿宋" w:eastAsia="仿宋" w:cs="仿宋"/>
          <w:sz w:val="32"/>
          <w:szCs w:val="32"/>
          <w:highlight w:val="none"/>
        </w:rPr>
        <w:t>国有资本经营</w:t>
      </w:r>
      <w:r>
        <w:rPr>
          <w:rFonts w:hint="eastAsia" w:ascii="仿宋" w:hAnsi="仿宋" w:eastAsia="仿宋" w:cs="仿宋"/>
          <w:color w:val="000000" w:themeColor="text1"/>
          <w:sz w:val="32"/>
          <w:szCs w:val="32"/>
          <w:highlight w:val="none"/>
          <w14:textFill>
            <w14:solidFill>
              <w14:schemeClr w14:val="tx1"/>
            </w14:solidFill>
          </w14:textFill>
        </w:rPr>
        <w:t>支出，</w:t>
      </w:r>
      <w:r>
        <w:rPr>
          <w:rFonts w:hint="eastAsia" w:ascii="仿宋" w:hAnsi="仿宋" w:eastAsia="仿宋" w:cs="仿宋"/>
          <w:color w:val="auto"/>
          <w:kern w:val="2"/>
          <w:sz w:val="32"/>
          <w:szCs w:val="32"/>
          <w:highlight w:val="none"/>
          <w:lang w:val="en-US" w:eastAsia="zh-CN" w:bidi="ar"/>
        </w:rPr>
        <w:t>所以各项数据为0。</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六、财政拨款“三公”经费支出决算情况说明</w:t>
      </w:r>
    </w:p>
    <w:p>
      <w:pPr>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2022年预算财政拨款安排的“三公”经费支出</w:t>
      </w:r>
      <w:r>
        <w:rPr>
          <w:rFonts w:ascii="仿宋" w:hAnsi="仿宋" w:eastAsia="仿宋" w:cs="仿宋"/>
          <w:sz w:val="32"/>
          <w:szCs w:val="32"/>
          <w:highlight w:val="none"/>
        </w:rPr>
        <w:t>0.00</w:t>
      </w:r>
      <w:r>
        <w:rPr>
          <w:rFonts w:hint="eastAsia" w:ascii="仿宋" w:hAnsi="仿宋" w:eastAsia="仿宋" w:cs="仿宋"/>
          <w:sz w:val="32"/>
          <w:szCs w:val="32"/>
          <w:highlight w:val="none"/>
        </w:rPr>
        <w:t>万元，完成年初预算的</w:t>
      </w:r>
      <w:r>
        <w:rPr>
          <w:rFonts w:ascii="仿宋" w:hAnsi="仿宋" w:eastAsia="仿宋" w:cs="仿宋"/>
          <w:sz w:val="32"/>
          <w:szCs w:val="32"/>
          <w:highlight w:val="none"/>
        </w:rPr>
        <w:t>0%</w:t>
      </w:r>
      <w:r>
        <w:rPr>
          <w:rFonts w:hint="eastAsia" w:ascii="仿宋" w:hAnsi="仿宋" w:eastAsia="仿宋" w:cs="仿宋"/>
          <w:sz w:val="32"/>
          <w:szCs w:val="32"/>
          <w:highlight w:val="none"/>
        </w:rPr>
        <w:t>，比上年</w:t>
      </w:r>
      <w:r>
        <w:rPr>
          <w:rFonts w:ascii="仿宋" w:hAnsi="仿宋" w:eastAsia="仿宋" w:cs="仿宋"/>
          <w:sz w:val="32"/>
          <w:szCs w:val="32"/>
          <w:highlight w:val="none"/>
        </w:rPr>
        <w:t>增加0.00</w:t>
      </w:r>
      <w:r>
        <w:rPr>
          <w:rFonts w:hint="eastAsia" w:ascii="仿宋" w:hAnsi="仿宋" w:eastAsia="仿宋" w:cs="仿宋"/>
          <w:sz w:val="32"/>
          <w:szCs w:val="32"/>
          <w:highlight w:val="none"/>
        </w:rPr>
        <w:t>万元，</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000000" w:themeColor="text1"/>
          <w:sz w:val="32"/>
          <w:szCs w:val="32"/>
          <w:highlight w:val="none"/>
          <w14:textFill>
            <w14:solidFill>
              <w14:schemeClr w14:val="tx1"/>
            </w14:solidFill>
          </w14:textFill>
        </w:rPr>
        <w:t>本</w:t>
      </w:r>
      <w:r>
        <w:rPr>
          <w:rFonts w:hint="eastAsia" w:ascii="仿宋" w:hAnsi="仿宋" w:eastAsia="仿宋" w:cs="仿宋"/>
          <w:color w:val="000000" w:themeColor="text1"/>
          <w:sz w:val="32"/>
          <w:szCs w:val="32"/>
          <w:highlight w:val="none"/>
          <w:lang w:eastAsia="zh-CN"/>
          <w14:textFill>
            <w14:solidFill>
              <w14:schemeClr w14:val="tx1"/>
            </w14:solidFill>
          </w14:textFill>
        </w:rPr>
        <w:t>单位</w:t>
      </w:r>
      <w:r>
        <w:rPr>
          <w:rFonts w:hint="eastAsia" w:ascii="仿宋" w:hAnsi="仿宋" w:eastAsia="仿宋" w:cs="仿宋"/>
          <w:color w:val="000000" w:themeColor="text1"/>
          <w:sz w:val="32"/>
          <w:szCs w:val="32"/>
          <w:highlight w:val="none"/>
          <w14:textFill>
            <w14:solidFill>
              <w14:schemeClr w14:val="tx1"/>
            </w14:solidFill>
          </w14:textFill>
        </w:rPr>
        <w:t>2022年度没有</w:t>
      </w:r>
      <w:r>
        <w:rPr>
          <w:rFonts w:hint="eastAsia" w:ascii="仿宋" w:hAnsi="仿宋" w:eastAsia="仿宋" w:cs="仿宋"/>
          <w:sz w:val="32"/>
          <w:szCs w:val="32"/>
          <w:highlight w:val="none"/>
        </w:rPr>
        <w:t>“三公”经费</w:t>
      </w:r>
      <w:r>
        <w:rPr>
          <w:rFonts w:hint="eastAsia" w:ascii="仿宋" w:hAnsi="仿宋" w:eastAsia="仿宋" w:cs="仿宋"/>
          <w:color w:val="000000" w:themeColor="text1"/>
          <w:sz w:val="32"/>
          <w:szCs w:val="32"/>
          <w:highlight w:val="none"/>
          <w14:textFill>
            <w14:solidFill>
              <w14:schemeClr w14:val="tx1"/>
            </w14:solidFill>
          </w14:textFill>
        </w:rPr>
        <w:t>收入，也没有</w:t>
      </w:r>
      <w:r>
        <w:rPr>
          <w:rFonts w:hint="eastAsia" w:ascii="仿宋" w:hAnsi="仿宋" w:eastAsia="仿宋" w:cs="仿宋"/>
          <w:sz w:val="32"/>
          <w:szCs w:val="32"/>
          <w:highlight w:val="none"/>
        </w:rPr>
        <w:t>“三公”经费</w:t>
      </w:r>
      <w:r>
        <w:rPr>
          <w:rFonts w:hint="eastAsia" w:ascii="仿宋" w:hAnsi="仿宋" w:eastAsia="仿宋" w:cs="仿宋"/>
          <w:color w:val="000000" w:themeColor="text1"/>
          <w:sz w:val="32"/>
          <w:szCs w:val="32"/>
          <w:highlight w:val="none"/>
          <w14:textFill>
            <w14:solidFill>
              <w14:schemeClr w14:val="tx1"/>
            </w14:solidFill>
          </w14:textFill>
        </w:rPr>
        <w:t>支出，</w:t>
      </w:r>
      <w:r>
        <w:rPr>
          <w:rFonts w:hint="eastAsia" w:ascii="仿宋" w:hAnsi="仿宋" w:eastAsia="仿宋" w:cs="仿宋"/>
          <w:color w:val="auto"/>
          <w:kern w:val="2"/>
          <w:sz w:val="32"/>
          <w:szCs w:val="32"/>
          <w:highlight w:val="none"/>
          <w:lang w:val="en-US" w:eastAsia="zh-CN" w:bidi="ar"/>
        </w:rPr>
        <w:t>所以各项数据为0。</w:t>
      </w:r>
    </w:p>
    <w:p>
      <w:pPr>
        <w:keepNext w:val="0"/>
        <w:keepLines w:val="0"/>
        <w:widowControl w:val="0"/>
        <w:suppressLineNumbers w:val="0"/>
        <w:spacing w:before="0" w:beforeAutospacing="0" w:after="0" w:afterAutospacing="0"/>
        <w:ind w:left="0" w:right="0" w:firstLine="640" w:firstLineChars="200"/>
        <w:jc w:val="left"/>
        <w:rPr>
          <w:rFonts w:ascii="仿宋" w:hAnsi="仿宋" w:eastAsia="仿宋" w:cs="仿宋"/>
          <w:sz w:val="32"/>
          <w:szCs w:val="32"/>
          <w:highlight w:val="none"/>
        </w:rPr>
      </w:pPr>
      <w:r>
        <w:rPr>
          <w:rFonts w:hint="eastAsia" w:ascii="仿宋" w:hAnsi="仿宋" w:eastAsia="仿宋" w:cs="仿宋"/>
          <w:color w:val="000000" w:themeColor="text1"/>
          <w:sz w:val="32"/>
          <w:szCs w:val="32"/>
          <w:highlight w:val="none"/>
          <w14:textFill>
            <w14:solidFill>
              <w14:schemeClr w14:val="tx1"/>
            </w14:solidFill>
          </w14:textFill>
        </w:rPr>
        <w:t>其中：因公出国（境）费支出决算</w:t>
      </w:r>
      <w:r>
        <w:rPr>
          <w:rFonts w:ascii="仿宋" w:hAnsi="仿宋" w:eastAsia="仿宋" w:cs="仿宋"/>
          <w:color w:val="000000" w:themeColor="text1"/>
          <w:sz w:val="32"/>
          <w:szCs w:val="32"/>
          <w:highlight w:val="none"/>
          <w14:textFill>
            <w14:solidFill>
              <w14:schemeClr w14:val="tx1"/>
            </w14:solidFill>
          </w14:textFill>
        </w:rPr>
        <w:t>0.00</w:t>
      </w:r>
      <w:r>
        <w:rPr>
          <w:rFonts w:hint="eastAsia" w:ascii="仿宋" w:hAnsi="仿宋" w:eastAsia="仿宋" w:cs="仿宋"/>
          <w:sz w:val="32"/>
          <w:szCs w:val="32"/>
          <w:highlight w:val="none"/>
        </w:rPr>
        <w:t>万元，公务用车购置及运行费支出决算</w:t>
      </w:r>
      <w:r>
        <w:rPr>
          <w:rFonts w:ascii="仿宋" w:hAnsi="仿宋" w:eastAsia="仿宋" w:cs="仿宋"/>
          <w:sz w:val="32"/>
          <w:szCs w:val="32"/>
          <w:highlight w:val="none"/>
        </w:rPr>
        <w:t>0.00</w:t>
      </w:r>
      <w:r>
        <w:rPr>
          <w:rFonts w:hint="eastAsia" w:ascii="仿宋" w:hAnsi="仿宋" w:eastAsia="仿宋" w:cs="仿宋"/>
          <w:sz w:val="32"/>
          <w:szCs w:val="32"/>
          <w:highlight w:val="none"/>
        </w:rPr>
        <w:t>万元，公务接待费支出决算</w:t>
      </w:r>
      <w:r>
        <w:rPr>
          <w:rFonts w:ascii="仿宋" w:hAnsi="仿宋" w:eastAsia="仿宋" w:cs="仿宋"/>
          <w:sz w:val="32"/>
          <w:szCs w:val="32"/>
          <w:highlight w:val="none"/>
        </w:rPr>
        <w:t>0.00</w:t>
      </w:r>
      <w:r>
        <w:rPr>
          <w:rFonts w:hint="eastAsia" w:ascii="仿宋" w:hAnsi="仿宋" w:eastAsia="仿宋" w:cs="仿宋"/>
          <w:sz w:val="32"/>
          <w:szCs w:val="32"/>
          <w:highlight w:val="none"/>
        </w:rPr>
        <w:t>万元。</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具体情况如下：</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（一）因公出国（境）费支出</w:t>
      </w:r>
      <w:r>
        <w:rPr>
          <w:rFonts w:ascii="仿宋" w:hAnsi="仿宋" w:eastAsia="仿宋" w:cs="仿宋"/>
          <w:sz w:val="32"/>
          <w:szCs w:val="32"/>
          <w:highlight w:val="none"/>
        </w:rPr>
        <w:t>0.00</w:t>
      </w:r>
      <w:r>
        <w:rPr>
          <w:rFonts w:hint="eastAsia" w:ascii="仿宋" w:hAnsi="仿宋" w:eastAsia="仿宋" w:cs="仿宋"/>
          <w:sz w:val="32"/>
          <w:szCs w:val="32"/>
          <w:highlight w:val="none"/>
        </w:rPr>
        <w:t>万元，完成年初预算的</w:t>
      </w:r>
      <w:r>
        <w:rPr>
          <w:rFonts w:ascii="仿宋" w:hAnsi="仿宋" w:eastAsia="仿宋" w:cs="仿宋"/>
          <w:sz w:val="32"/>
          <w:szCs w:val="32"/>
          <w:highlight w:val="none"/>
        </w:rPr>
        <w:t>0%</w:t>
      </w:r>
      <w:r>
        <w:rPr>
          <w:rFonts w:hint="eastAsia" w:ascii="仿宋" w:hAnsi="仿宋" w:eastAsia="仿宋" w:cs="仿宋"/>
          <w:sz w:val="32"/>
          <w:szCs w:val="32"/>
          <w:highlight w:val="none"/>
        </w:rPr>
        <w:t>，比上年</w:t>
      </w:r>
      <w:r>
        <w:rPr>
          <w:rFonts w:ascii="仿宋" w:hAnsi="仿宋" w:eastAsia="仿宋" w:cs="仿宋"/>
          <w:sz w:val="32"/>
          <w:szCs w:val="32"/>
          <w:highlight w:val="none"/>
        </w:rPr>
        <w:t>增加0.00</w:t>
      </w:r>
      <w:r>
        <w:rPr>
          <w:rFonts w:hint="eastAsia" w:ascii="仿宋" w:hAnsi="仿宋" w:eastAsia="仿宋" w:cs="仿宋"/>
          <w:sz w:val="32"/>
          <w:szCs w:val="32"/>
          <w:highlight w:val="none"/>
        </w:rPr>
        <w:t xml:space="preserve"> 万元。</w:t>
      </w:r>
      <w:r>
        <w:rPr>
          <w:rFonts w:hint="eastAsia" w:ascii="仿宋" w:hAnsi="仿宋" w:eastAsia="仿宋" w:cs="仿宋"/>
          <w:color w:val="000000" w:themeColor="text1"/>
          <w:sz w:val="32"/>
          <w:szCs w:val="32"/>
          <w:highlight w:val="none"/>
          <w:lang w:val="en-US" w:eastAsia="zh-CN"/>
          <w14:textFill>
            <w14:solidFill>
              <w14:schemeClr w14:val="tx1"/>
            </w14:solidFill>
          </w14:textFill>
        </w:rPr>
        <w:t>原因是：</w:t>
      </w:r>
      <w:r>
        <w:rPr>
          <w:rFonts w:hint="eastAsia" w:ascii="仿宋" w:hAnsi="仿宋" w:eastAsia="仿宋" w:cs="仿宋"/>
          <w:color w:val="000000" w:themeColor="text1"/>
          <w:sz w:val="32"/>
          <w:szCs w:val="32"/>
          <w:highlight w:val="none"/>
          <w14:textFill>
            <w14:solidFill>
              <w14:schemeClr w14:val="tx1"/>
            </w14:solidFill>
          </w14:textFill>
        </w:rPr>
        <w:t>本</w:t>
      </w:r>
      <w:r>
        <w:rPr>
          <w:rFonts w:hint="eastAsia" w:ascii="仿宋" w:hAnsi="仿宋" w:eastAsia="仿宋" w:cs="仿宋"/>
          <w:color w:val="000000" w:themeColor="text1"/>
          <w:sz w:val="32"/>
          <w:szCs w:val="32"/>
          <w:highlight w:val="none"/>
          <w:lang w:eastAsia="zh-CN"/>
          <w14:textFill>
            <w14:solidFill>
              <w14:schemeClr w14:val="tx1"/>
            </w14:solidFill>
          </w14:textFill>
        </w:rPr>
        <w:t>单位</w:t>
      </w:r>
      <w:r>
        <w:rPr>
          <w:rFonts w:hint="eastAsia" w:ascii="仿宋" w:hAnsi="仿宋" w:eastAsia="仿宋" w:cs="仿宋"/>
          <w:color w:val="000000" w:themeColor="text1"/>
          <w:sz w:val="32"/>
          <w:szCs w:val="32"/>
          <w:highlight w:val="none"/>
          <w14:textFill>
            <w14:solidFill>
              <w14:schemeClr w14:val="tx1"/>
            </w14:solidFill>
          </w14:textFill>
        </w:rPr>
        <w:t>2022年度没有</w:t>
      </w:r>
      <w:r>
        <w:rPr>
          <w:rFonts w:hint="eastAsia" w:ascii="仿宋" w:hAnsi="仿宋" w:eastAsia="仿宋" w:cs="仿宋"/>
          <w:sz w:val="32"/>
          <w:szCs w:val="32"/>
          <w:highlight w:val="none"/>
        </w:rPr>
        <w:t>因公出国（境）费</w:t>
      </w:r>
      <w:r>
        <w:rPr>
          <w:rFonts w:hint="eastAsia" w:ascii="仿宋" w:hAnsi="仿宋" w:eastAsia="仿宋" w:cs="仿宋"/>
          <w:color w:val="000000" w:themeColor="text1"/>
          <w:sz w:val="32"/>
          <w:szCs w:val="32"/>
          <w:highlight w:val="none"/>
          <w14:textFill>
            <w14:solidFill>
              <w14:schemeClr w14:val="tx1"/>
            </w14:solidFill>
          </w14:textFill>
        </w:rPr>
        <w:t>支出，</w:t>
      </w:r>
      <w:r>
        <w:rPr>
          <w:rFonts w:hint="eastAsia" w:ascii="仿宋" w:hAnsi="仿宋" w:eastAsia="仿宋" w:cs="仿宋"/>
          <w:color w:val="auto"/>
          <w:kern w:val="2"/>
          <w:sz w:val="32"/>
          <w:szCs w:val="32"/>
          <w:highlight w:val="none"/>
          <w:lang w:val="en-US" w:eastAsia="zh-CN" w:bidi="ar"/>
        </w:rPr>
        <w:t>所以各项数据为0。</w:t>
      </w:r>
      <w:r>
        <w:rPr>
          <w:rFonts w:hint="eastAsia" w:ascii="仿宋" w:hAnsi="仿宋" w:eastAsia="仿宋" w:cs="仿宋"/>
          <w:sz w:val="32"/>
          <w:szCs w:val="32"/>
          <w:highlight w:val="none"/>
        </w:rPr>
        <w:t>全年因公出国（境）团组共计</w:t>
      </w:r>
      <w:r>
        <w:rPr>
          <w:rFonts w:ascii="仿宋" w:hAnsi="仿宋" w:eastAsia="仿宋" w:cs="仿宋"/>
          <w:sz w:val="32"/>
          <w:szCs w:val="32"/>
          <w:highlight w:val="none"/>
        </w:rPr>
        <w:t>0</w:t>
      </w:r>
      <w:r>
        <w:rPr>
          <w:rFonts w:hint="eastAsia" w:ascii="仿宋" w:hAnsi="仿宋" w:eastAsia="仿宋" w:cs="仿宋"/>
          <w:sz w:val="32"/>
          <w:szCs w:val="32"/>
          <w:highlight w:val="none"/>
        </w:rPr>
        <w:t>个，累计</w:t>
      </w:r>
      <w:r>
        <w:rPr>
          <w:rFonts w:ascii="仿宋" w:hAnsi="仿宋" w:eastAsia="仿宋" w:cs="仿宋"/>
          <w:sz w:val="32"/>
          <w:szCs w:val="32"/>
          <w:highlight w:val="none"/>
        </w:rPr>
        <w:t>0</w:t>
      </w:r>
      <w:r>
        <w:rPr>
          <w:rFonts w:hint="eastAsia" w:ascii="仿宋" w:hAnsi="仿宋" w:eastAsia="仿宋" w:cs="仿宋"/>
          <w:sz w:val="32"/>
          <w:szCs w:val="32"/>
          <w:highlight w:val="none"/>
        </w:rPr>
        <w:t>人次。</w:t>
      </w:r>
      <w:r>
        <w:rPr>
          <w:rFonts w:hint="eastAsia" w:ascii="仿宋" w:hAnsi="仿宋" w:eastAsia="仿宋" w:cs="仿宋"/>
          <w:color w:val="000000" w:themeColor="text1"/>
          <w:sz w:val="32"/>
          <w:szCs w:val="32"/>
          <w:highlight w:val="none"/>
          <w14:textFill>
            <w14:solidFill>
              <w14:schemeClr w14:val="tx1"/>
            </w14:solidFill>
          </w14:textFill>
        </w:rPr>
        <w:t>没有</w:t>
      </w:r>
      <w:r>
        <w:rPr>
          <w:rFonts w:hint="eastAsia" w:ascii="仿宋" w:hAnsi="仿宋" w:eastAsia="仿宋" w:cs="仿宋"/>
          <w:sz w:val="32"/>
          <w:szCs w:val="32"/>
          <w:highlight w:val="none"/>
        </w:rPr>
        <w:t>因公出国（境）费</w:t>
      </w:r>
      <w:r>
        <w:rPr>
          <w:rFonts w:hint="eastAsia" w:ascii="仿宋" w:hAnsi="仿宋" w:eastAsia="仿宋" w:cs="仿宋"/>
          <w:color w:val="000000" w:themeColor="text1"/>
          <w:sz w:val="32"/>
          <w:szCs w:val="32"/>
          <w:highlight w:val="none"/>
          <w14:textFill>
            <w14:solidFill>
              <w14:schemeClr w14:val="tx1"/>
            </w14:solidFill>
          </w14:textFill>
        </w:rPr>
        <w:t>支出</w:t>
      </w:r>
      <w:r>
        <w:rPr>
          <w:rFonts w:hint="eastAsia" w:ascii="仿宋_GB2312" w:hAnsi="Times New Roman" w:eastAsia="仿宋_GB2312" w:cs="Times New Roman"/>
          <w:color w:val="FF0000"/>
          <w:sz w:val="32"/>
          <w:szCs w:val="32"/>
        </w:rPr>
        <w:t>。</w:t>
      </w:r>
    </w:p>
    <w:p>
      <w:pPr>
        <w:ind w:firstLine="640" w:firstLineChars="200"/>
        <w:jc w:val="left"/>
        <w:rPr>
          <w:rFonts w:hint="eastAsia" w:ascii="仿宋" w:hAnsi="仿宋" w:eastAsia="仿宋" w:cs="仿宋"/>
          <w:color w:val="FF0000"/>
          <w:sz w:val="32"/>
          <w:szCs w:val="32"/>
        </w:rPr>
      </w:pPr>
      <w:r>
        <w:rPr>
          <w:rFonts w:hint="eastAsia" w:ascii="仿宋" w:hAnsi="仿宋" w:eastAsia="仿宋" w:cs="仿宋"/>
          <w:sz w:val="32"/>
          <w:szCs w:val="32"/>
          <w:highlight w:val="none"/>
        </w:rPr>
        <w:t>（二）公务用车购置及运行维护费</w:t>
      </w:r>
      <w:r>
        <w:rPr>
          <w:rFonts w:ascii="仿宋" w:hAnsi="仿宋" w:eastAsia="仿宋" w:cs="仿宋"/>
          <w:sz w:val="32"/>
          <w:u w:color="auto"/>
        </w:rPr>
        <w:t>0.00</w:t>
      </w:r>
      <w:r>
        <w:rPr>
          <w:rFonts w:hint="eastAsia" w:ascii="仿宋" w:hAnsi="仿宋" w:eastAsia="仿宋" w:cs="仿宋"/>
          <w:sz w:val="32"/>
          <w:szCs w:val="32"/>
          <w:highlight w:val="none"/>
        </w:rPr>
        <w:t>万元。其中：公务用车购置支出</w:t>
      </w:r>
      <w:r>
        <w:rPr>
          <w:rFonts w:ascii="仿宋" w:hAnsi="仿宋" w:eastAsia="仿宋" w:cs="仿宋"/>
          <w:sz w:val="32"/>
          <w:u w:color="auto"/>
        </w:rPr>
        <w:t>0.00</w:t>
      </w:r>
      <w:r>
        <w:rPr>
          <w:rFonts w:hint="eastAsia" w:ascii="仿宋" w:hAnsi="仿宋" w:eastAsia="仿宋" w:cs="仿宋"/>
          <w:sz w:val="32"/>
          <w:szCs w:val="32"/>
          <w:highlight w:val="none"/>
        </w:rPr>
        <w:t>万元，完成年初预算的</w:t>
      </w:r>
      <w:r>
        <w:rPr>
          <w:rFonts w:ascii="仿宋" w:hAnsi="仿宋" w:eastAsia="仿宋" w:cs="仿宋"/>
          <w:sz w:val="32"/>
          <w:u w:color="auto"/>
        </w:rPr>
        <w:t>0%</w:t>
      </w:r>
      <w:r>
        <w:rPr>
          <w:rFonts w:hint="eastAsia" w:ascii="仿宋" w:hAnsi="仿宋" w:eastAsia="仿宋" w:cs="仿宋"/>
          <w:sz w:val="32"/>
          <w:szCs w:val="32"/>
          <w:highlight w:val="none"/>
        </w:rPr>
        <w:t>，比上年</w:t>
      </w:r>
      <w:r>
        <w:rPr>
          <w:rFonts w:ascii="仿宋" w:hAnsi="仿宋" w:eastAsia="仿宋" w:cs="仿宋"/>
          <w:sz w:val="32"/>
          <w:u w:color="auto"/>
        </w:rPr>
        <w:t>增加0.00</w:t>
      </w:r>
      <w:r>
        <w:rPr>
          <w:rFonts w:hint="eastAsia" w:ascii="仿宋" w:hAnsi="仿宋" w:eastAsia="仿宋" w:cs="仿宋"/>
          <w:sz w:val="32"/>
          <w:szCs w:val="32"/>
          <w:highlight w:val="none"/>
        </w:rPr>
        <w:t xml:space="preserve"> 万元。</w:t>
      </w:r>
      <w:r>
        <w:rPr>
          <w:rFonts w:hint="eastAsia" w:ascii="仿宋" w:hAnsi="仿宋" w:eastAsia="仿宋" w:cs="仿宋"/>
          <w:color w:val="000000" w:themeColor="text1"/>
          <w:sz w:val="32"/>
          <w:szCs w:val="32"/>
          <w:highlight w:val="none"/>
          <w:lang w:val="en-US" w:eastAsia="zh-CN"/>
          <w14:textFill>
            <w14:solidFill>
              <w14:schemeClr w14:val="tx1"/>
            </w14:solidFill>
          </w14:textFill>
        </w:rPr>
        <w:t>原因是：</w:t>
      </w:r>
      <w:r>
        <w:rPr>
          <w:rFonts w:hint="eastAsia" w:ascii="仿宋" w:hAnsi="仿宋" w:eastAsia="仿宋" w:cs="仿宋"/>
          <w:color w:val="000000" w:themeColor="text1"/>
          <w:sz w:val="32"/>
          <w:szCs w:val="32"/>
          <w:highlight w:val="none"/>
          <w14:textFill>
            <w14:solidFill>
              <w14:schemeClr w14:val="tx1"/>
            </w14:solidFill>
          </w14:textFill>
        </w:rPr>
        <w:t>本</w:t>
      </w:r>
      <w:r>
        <w:rPr>
          <w:rFonts w:hint="eastAsia" w:ascii="仿宋" w:hAnsi="仿宋" w:eastAsia="仿宋" w:cs="仿宋"/>
          <w:color w:val="000000" w:themeColor="text1"/>
          <w:sz w:val="32"/>
          <w:szCs w:val="32"/>
          <w:highlight w:val="none"/>
          <w:lang w:eastAsia="zh-CN"/>
          <w14:textFill>
            <w14:solidFill>
              <w14:schemeClr w14:val="tx1"/>
            </w14:solidFill>
          </w14:textFill>
        </w:rPr>
        <w:t>单位</w:t>
      </w:r>
      <w:r>
        <w:rPr>
          <w:rFonts w:hint="eastAsia" w:ascii="仿宋" w:hAnsi="仿宋" w:eastAsia="仿宋" w:cs="仿宋"/>
          <w:color w:val="000000" w:themeColor="text1"/>
          <w:sz w:val="32"/>
          <w:szCs w:val="32"/>
          <w:highlight w:val="none"/>
          <w14:textFill>
            <w14:solidFill>
              <w14:schemeClr w14:val="tx1"/>
            </w14:solidFill>
          </w14:textFill>
        </w:rPr>
        <w:t>2022年度没有</w:t>
      </w:r>
      <w:r>
        <w:rPr>
          <w:rFonts w:hint="eastAsia" w:ascii="仿宋" w:hAnsi="仿宋" w:eastAsia="仿宋" w:cs="仿宋"/>
          <w:sz w:val="32"/>
          <w:szCs w:val="32"/>
          <w:highlight w:val="none"/>
        </w:rPr>
        <w:t>公务用车购置及运行维护费</w:t>
      </w:r>
      <w:r>
        <w:rPr>
          <w:rFonts w:hint="eastAsia" w:ascii="仿宋" w:hAnsi="仿宋" w:eastAsia="仿宋" w:cs="仿宋"/>
          <w:color w:val="000000" w:themeColor="text1"/>
          <w:sz w:val="32"/>
          <w:szCs w:val="32"/>
          <w:highlight w:val="none"/>
          <w14:textFill>
            <w14:solidFill>
              <w14:schemeClr w14:val="tx1"/>
            </w14:solidFill>
          </w14:textFill>
        </w:rPr>
        <w:t>支出，</w:t>
      </w:r>
      <w:r>
        <w:rPr>
          <w:rFonts w:hint="eastAsia" w:ascii="仿宋" w:hAnsi="仿宋" w:eastAsia="仿宋" w:cs="仿宋"/>
          <w:color w:val="auto"/>
          <w:kern w:val="2"/>
          <w:sz w:val="32"/>
          <w:szCs w:val="32"/>
          <w:highlight w:val="none"/>
          <w:lang w:val="en-US" w:eastAsia="zh-CN" w:bidi="ar"/>
        </w:rPr>
        <w:t>所以各项数据为0。</w:t>
      </w:r>
    </w:p>
    <w:p>
      <w:pPr>
        <w:ind w:firstLine="640" w:firstLineChars="20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公务用车运行维护支出</w:t>
      </w:r>
      <w:r>
        <w:rPr>
          <w:rFonts w:ascii="仿宋" w:hAnsi="仿宋" w:eastAsia="仿宋" w:cs="仿宋"/>
          <w:sz w:val="32"/>
          <w:u w:color="auto"/>
        </w:rPr>
        <w:t>0.00</w:t>
      </w:r>
      <w:r>
        <w:rPr>
          <w:rFonts w:hint="eastAsia" w:ascii="仿宋" w:hAnsi="仿宋" w:eastAsia="仿宋" w:cs="仿宋"/>
          <w:sz w:val="32"/>
          <w:szCs w:val="32"/>
          <w:highlight w:val="none"/>
        </w:rPr>
        <w:t>万元，完成年初预算的</w:t>
      </w:r>
      <w:r>
        <w:rPr>
          <w:rFonts w:ascii="仿宋" w:hAnsi="仿宋" w:eastAsia="仿宋" w:cs="仿宋"/>
          <w:sz w:val="32"/>
          <w:u w:color="auto"/>
        </w:rPr>
        <w:t>0%</w:t>
      </w:r>
      <w:r>
        <w:rPr>
          <w:rFonts w:hint="eastAsia" w:ascii="仿宋" w:hAnsi="仿宋" w:eastAsia="仿宋" w:cs="仿宋"/>
          <w:sz w:val="32"/>
          <w:szCs w:val="32"/>
          <w:highlight w:val="none"/>
        </w:rPr>
        <w:t>，比上年</w:t>
      </w:r>
      <w:r>
        <w:rPr>
          <w:rFonts w:ascii="仿宋" w:hAnsi="仿宋" w:eastAsia="仿宋" w:cs="仿宋"/>
          <w:sz w:val="32"/>
          <w:u w:color="auto"/>
        </w:rPr>
        <w:t>增加0.00</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主要原因是：</w:t>
      </w:r>
      <w:r>
        <w:rPr>
          <w:rFonts w:hint="eastAsia" w:ascii="仿宋" w:hAnsi="仿宋" w:eastAsia="仿宋" w:cs="仿宋"/>
          <w:color w:val="auto"/>
          <w:sz w:val="32"/>
          <w:szCs w:val="32"/>
          <w:highlight w:val="none"/>
          <w:lang w:eastAsia="zh-CN"/>
        </w:rPr>
        <w:t>本单位没有公务用车所以没有</w:t>
      </w:r>
      <w:r>
        <w:rPr>
          <w:rFonts w:hint="eastAsia" w:ascii="仿宋" w:hAnsi="仿宋" w:eastAsia="仿宋" w:cs="仿宋"/>
          <w:sz w:val="32"/>
          <w:szCs w:val="32"/>
          <w:highlight w:val="none"/>
        </w:rPr>
        <w:t>公务用车购置及运行维护费</w:t>
      </w:r>
      <w:r>
        <w:rPr>
          <w:rFonts w:hint="eastAsia" w:ascii="仿宋" w:hAnsi="仿宋" w:eastAsia="仿宋" w:cs="仿宋"/>
          <w:color w:val="000000" w:themeColor="text1"/>
          <w:sz w:val="32"/>
          <w:szCs w:val="32"/>
          <w:highlight w:val="none"/>
          <w14:textFill>
            <w14:solidFill>
              <w14:schemeClr w14:val="tx1"/>
            </w14:solidFill>
          </w14:textFill>
        </w:rPr>
        <w:t>支出</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sz w:val="32"/>
          <w:szCs w:val="32"/>
          <w:highlight w:val="none"/>
        </w:rPr>
        <w:t>2022年，</w:t>
      </w:r>
      <w:r>
        <w:rPr>
          <w:rFonts w:ascii="仿宋" w:hAnsi="仿宋" w:eastAsia="仿宋" w:cs="仿宋"/>
          <w:sz w:val="32"/>
          <w:u w:color="auto"/>
        </w:rPr>
        <w:t>环江毛南族自治县职业技术学校</w:t>
      </w:r>
      <w:r>
        <w:rPr>
          <w:rFonts w:hint="eastAsia" w:ascii="仿宋" w:hAnsi="仿宋" w:eastAsia="仿宋" w:cs="仿宋"/>
          <w:sz w:val="32"/>
          <w:szCs w:val="32"/>
          <w:highlight w:val="none"/>
        </w:rPr>
        <w:t>及</w:t>
      </w:r>
      <w:r>
        <w:rPr>
          <w:rFonts w:hint="eastAsia" w:ascii="仿宋" w:hAnsi="仿宋" w:eastAsia="仿宋" w:cs="仿宋"/>
          <w:color w:val="auto"/>
          <w:sz w:val="32"/>
          <w:szCs w:val="32"/>
          <w:highlight w:val="none"/>
          <w:u w:val="single"/>
          <w:lang w:val="en-US" w:eastAsia="zh-CN"/>
        </w:rPr>
        <w:t>0个</w:t>
      </w:r>
      <w:r>
        <w:rPr>
          <w:rFonts w:hint="eastAsia" w:ascii="仿宋" w:hAnsi="仿宋" w:eastAsia="仿宋" w:cs="仿宋"/>
          <w:sz w:val="32"/>
          <w:szCs w:val="32"/>
          <w:highlight w:val="none"/>
        </w:rPr>
        <w:t>所属单位开支财政拨款的公务用车保有量为</w:t>
      </w:r>
      <w:r>
        <w:rPr>
          <w:rFonts w:ascii="仿宋" w:hAnsi="仿宋" w:eastAsia="仿宋" w:cs="仿宋"/>
          <w:sz w:val="32"/>
          <w:u w:color="auto"/>
        </w:rPr>
        <w:t>0</w:t>
      </w:r>
      <w:r>
        <w:rPr>
          <w:rFonts w:hint="eastAsia" w:ascii="仿宋" w:hAnsi="仿宋" w:eastAsia="仿宋" w:cs="仿宋"/>
          <w:sz w:val="32"/>
          <w:szCs w:val="32"/>
          <w:highlight w:val="none"/>
        </w:rPr>
        <w:t>辆，全年运行费支出</w:t>
      </w:r>
      <w:r>
        <w:rPr>
          <w:rFonts w:ascii="仿宋" w:hAnsi="仿宋" w:eastAsia="仿宋" w:cs="仿宋"/>
          <w:sz w:val="32"/>
          <w:u w:color="auto"/>
        </w:rPr>
        <w:t>0.00</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w:t>
      </w:r>
      <w:r>
        <w:rPr>
          <w:rFonts w:hint="eastAsia" w:ascii="仿宋" w:hAnsi="仿宋" w:eastAsia="仿宋" w:cs="仿宋"/>
          <w:color w:val="auto"/>
          <w:sz w:val="32"/>
          <w:szCs w:val="32"/>
          <w:highlight w:val="none"/>
        </w:rPr>
        <w:t>平均每辆</w:t>
      </w:r>
      <w:r>
        <w:rPr>
          <w:rFonts w:hint="eastAsia" w:ascii="仿宋" w:hAnsi="仿宋" w:eastAsia="仿宋" w:cs="仿宋"/>
          <w:color w:val="auto"/>
          <w:sz w:val="32"/>
          <w:szCs w:val="32"/>
          <w:highlight w:val="none"/>
          <w:lang w:val="en-US" w:eastAsia="zh-CN"/>
        </w:rPr>
        <w:t>0</w:t>
      </w:r>
      <w:r>
        <w:rPr>
          <w:rFonts w:hint="eastAsia" w:ascii="仿宋" w:hAnsi="仿宋" w:eastAsia="仿宋" w:cs="仿宋"/>
          <w:color w:val="auto"/>
          <w:sz w:val="32"/>
          <w:szCs w:val="32"/>
          <w:highlight w:val="none"/>
        </w:rPr>
        <w:t>万元。</w:t>
      </w:r>
    </w:p>
    <w:p>
      <w:pPr>
        <w:keepNext w:val="0"/>
        <w:keepLines w:val="0"/>
        <w:widowControl w:val="0"/>
        <w:suppressLineNumbers w:val="0"/>
        <w:spacing w:before="0" w:beforeAutospacing="0" w:after="0" w:afterAutospacing="0"/>
        <w:ind w:left="0" w:right="0"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（三）公务接待费支出</w:t>
      </w:r>
      <w:r>
        <w:rPr>
          <w:rFonts w:ascii="仿宋" w:hAnsi="仿宋" w:eastAsia="仿宋" w:cs="仿宋"/>
          <w:sz w:val="32"/>
          <w:szCs w:val="32"/>
          <w:highlight w:val="none"/>
        </w:rPr>
        <w:t>0.00</w:t>
      </w:r>
      <w:r>
        <w:rPr>
          <w:rFonts w:hint="eastAsia" w:ascii="仿宋" w:hAnsi="仿宋" w:eastAsia="仿宋" w:cs="仿宋"/>
          <w:sz w:val="32"/>
          <w:szCs w:val="32"/>
          <w:highlight w:val="none"/>
        </w:rPr>
        <w:t>万元，完成年初预算的</w:t>
      </w:r>
      <w:r>
        <w:rPr>
          <w:rFonts w:ascii="仿宋" w:hAnsi="仿宋" w:eastAsia="仿宋" w:cs="仿宋"/>
          <w:sz w:val="32"/>
          <w:szCs w:val="32"/>
          <w:highlight w:val="none"/>
        </w:rPr>
        <w:t>0%</w:t>
      </w:r>
      <w:r>
        <w:rPr>
          <w:rFonts w:hint="eastAsia" w:ascii="仿宋" w:hAnsi="仿宋" w:eastAsia="仿宋" w:cs="仿宋"/>
          <w:sz w:val="32"/>
          <w:szCs w:val="32"/>
          <w:highlight w:val="none"/>
        </w:rPr>
        <w:t>， 比上年</w:t>
      </w:r>
      <w:r>
        <w:rPr>
          <w:rFonts w:ascii="仿宋" w:hAnsi="仿宋" w:eastAsia="仿宋" w:cs="仿宋"/>
          <w:sz w:val="32"/>
          <w:szCs w:val="32"/>
          <w:highlight w:val="none"/>
        </w:rPr>
        <w:t>增加0.00</w:t>
      </w:r>
      <w:r>
        <w:rPr>
          <w:rFonts w:hint="eastAsia" w:ascii="仿宋" w:hAnsi="仿宋" w:eastAsia="仿宋" w:cs="仿宋"/>
          <w:sz w:val="32"/>
          <w:szCs w:val="32"/>
          <w:highlight w:val="none"/>
        </w:rPr>
        <w:t>万元，</w:t>
      </w:r>
      <w:r>
        <w:rPr>
          <w:rFonts w:hint="eastAsia" w:ascii="仿宋" w:hAnsi="仿宋" w:eastAsia="仿宋" w:cs="仿宋"/>
          <w:color w:val="auto"/>
          <w:kern w:val="2"/>
          <w:sz w:val="32"/>
          <w:szCs w:val="32"/>
          <w:highlight w:val="none"/>
          <w:lang w:val="en-US" w:eastAsia="zh-CN" w:bidi="ar"/>
        </w:rPr>
        <w:t>主要原因是：</w:t>
      </w:r>
      <w:r>
        <w:rPr>
          <w:rFonts w:hint="eastAsia" w:ascii="仿宋" w:hAnsi="仿宋" w:eastAsia="仿宋" w:cs="仿宋"/>
          <w:color w:val="000000" w:themeColor="text1"/>
          <w:sz w:val="32"/>
          <w:szCs w:val="32"/>
          <w:highlight w:val="none"/>
          <w14:textFill>
            <w14:solidFill>
              <w14:schemeClr w14:val="tx1"/>
            </w14:solidFill>
          </w14:textFill>
        </w:rPr>
        <w:t>本</w:t>
      </w:r>
      <w:r>
        <w:rPr>
          <w:rFonts w:hint="eastAsia" w:ascii="仿宋" w:hAnsi="仿宋" w:eastAsia="仿宋" w:cs="仿宋"/>
          <w:color w:val="000000" w:themeColor="text1"/>
          <w:sz w:val="32"/>
          <w:szCs w:val="32"/>
          <w:highlight w:val="none"/>
          <w:lang w:eastAsia="zh-CN"/>
          <w14:textFill>
            <w14:solidFill>
              <w14:schemeClr w14:val="tx1"/>
            </w14:solidFill>
          </w14:textFill>
        </w:rPr>
        <w:t>单位</w:t>
      </w:r>
      <w:r>
        <w:rPr>
          <w:rFonts w:hint="eastAsia" w:ascii="仿宋" w:hAnsi="仿宋" w:eastAsia="仿宋" w:cs="仿宋"/>
          <w:color w:val="000000" w:themeColor="text1"/>
          <w:sz w:val="32"/>
          <w:szCs w:val="32"/>
          <w:highlight w:val="none"/>
          <w14:textFill>
            <w14:solidFill>
              <w14:schemeClr w14:val="tx1"/>
            </w14:solidFill>
          </w14:textFill>
        </w:rPr>
        <w:t>2022年度没有</w:t>
      </w:r>
      <w:r>
        <w:rPr>
          <w:rFonts w:hint="eastAsia" w:ascii="仿宋" w:hAnsi="仿宋" w:eastAsia="仿宋" w:cs="仿宋"/>
          <w:sz w:val="32"/>
          <w:szCs w:val="32"/>
          <w:highlight w:val="none"/>
        </w:rPr>
        <w:t>公务接待费支出</w:t>
      </w:r>
      <w:r>
        <w:rPr>
          <w:rFonts w:hint="eastAsia" w:ascii="仿宋" w:hAnsi="仿宋" w:eastAsia="仿宋" w:cs="仿宋"/>
          <w:color w:val="000000" w:themeColor="text1"/>
          <w:sz w:val="32"/>
          <w:szCs w:val="32"/>
          <w:highlight w:val="none"/>
          <w14:textFill>
            <w14:solidFill>
              <w14:schemeClr w14:val="tx1"/>
            </w14:solidFill>
          </w14:textFill>
        </w:rPr>
        <w:t>，</w:t>
      </w:r>
      <w:r>
        <w:rPr>
          <w:rFonts w:hint="eastAsia" w:ascii="仿宋" w:hAnsi="仿宋" w:eastAsia="仿宋" w:cs="仿宋"/>
          <w:color w:val="auto"/>
          <w:kern w:val="2"/>
          <w:sz w:val="32"/>
          <w:szCs w:val="32"/>
          <w:highlight w:val="none"/>
          <w:lang w:val="en-US" w:eastAsia="zh-CN" w:bidi="ar"/>
        </w:rPr>
        <w:t>所以各项数据为0。</w:t>
      </w:r>
      <w:r>
        <w:rPr>
          <w:rFonts w:hint="eastAsia" w:ascii="仿宋" w:hAnsi="仿宋" w:eastAsia="仿宋" w:cs="仿宋"/>
          <w:color w:val="000000" w:themeColor="text1"/>
          <w:sz w:val="32"/>
          <w:szCs w:val="32"/>
          <w:highlight w:val="none"/>
          <w14:textFill>
            <w14:solidFill>
              <w14:schemeClr w14:val="tx1"/>
            </w14:solidFill>
          </w14:textFill>
        </w:rPr>
        <w:t>国内公务接待批次</w:t>
      </w:r>
      <w:r>
        <w:rPr>
          <w:rFonts w:ascii="仿宋" w:hAnsi="仿宋" w:eastAsia="仿宋" w:cs="仿宋"/>
          <w:color w:val="000000" w:themeColor="text1"/>
          <w:sz w:val="32"/>
          <w:szCs w:val="32"/>
          <w:highlight w:val="none"/>
          <w14:textFill>
            <w14:solidFill>
              <w14:schemeClr w14:val="tx1"/>
            </w14:solidFill>
          </w14:textFill>
        </w:rPr>
        <w:t>0</w:t>
      </w:r>
      <w:r>
        <w:rPr>
          <w:rFonts w:hint="eastAsia" w:ascii="仿宋" w:hAnsi="仿宋" w:eastAsia="仿宋" w:cs="仿宋"/>
          <w:sz w:val="32"/>
          <w:szCs w:val="32"/>
          <w:highlight w:val="none"/>
        </w:rPr>
        <w:t>次，人次</w:t>
      </w:r>
      <w:r>
        <w:rPr>
          <w:rFonts w:ascii="仿宋" w:hAnsi="仿宋" w:eastAsia="仿宋" w:cs="仿宋"/>
          <w:sz w:val="32"/>
          <w:szCs w:val="32"/>
          <w:highlight w:val="none"/>
        </w:rPr>
        <w:t>0</w:t>
      </w:r>
      <w:r>
        <w:rPr>
          <w:rFonts w:hint="eastAsia" w:ascii="仿宋" w:hAnsi="仿宋" w:eastAsia="仿宋" w:cs="仿宋"/>
          <w:sz w:val="32"/>
          <w:szCs w:val="32"/>
          <w:highlight w:val="none"/>
        </w:rPr>
        <w:t>次，国（境）外公务接待批次</w:t>
      </w:r>
      <w:r>
        <w:rPr>
          <w:rFonts w:ascii="仿宋" w:hAnsi="仿宋" w:eastAsia="仿宋" w:cs="仿宋"/>
          <w:sz w:val="32"/>
          <w:szCs w:val="32"/>
          <w:highlight w:val="none"/>
        </w:rPr>
        <w:t>0</w:t>
      </w:r>
      <w:r>
        <w:rPr>
          <w:rFonts w:hint="eastAsia" w:ascii="仿宋" w:hAnsi="仿宋" w:eastAsia="仿宋" w:cs="仿宋"/>
          <w:sz w:val="32"/>
          <w:szCs w:val="32"/>
          <w:highlight w:val="none"/>
        </w:rPr>
        <w:t>次，人次</w:t>
      </w:r>
      <w:r>
        <w:rPr>
          <w:rFonts w:ascii="仿宋" w:hAnsi="仿宋" w:eastAsia="仿宋" w:cs="仿宋"/>
          <w:sz w:val="32"/>
          <w:szCs w:val="32"/>
          <w:highlight w:val="none"/>
        </w:rPr>
        <w:t>0</w:t>
      </w:r>
      <w:r>
        <w:rPr>
          <w:rFonts w:hint="eastAsia" w:ascii="仿宋" w:hAnsi="仿宋" w:eastAsia="仿宋" w:cs="仿宋"/>
          <w:sz w:val="32"/>
          <w:szCs w:val="32"/>
          <w:highlight w:val="none"/>
        </w:rPr>
        <w:t>次。</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七、其他重要事项情况说明</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（一） 机关运行经费支出情况说明</w:t>
      </w:r>
    </w:p>
    <w:p>
      <w:pPr>
        <w:ind w:firstLine="640" w:firstLineChars="200"/>
        <w:jc w:val="left"/>
        <w:rPr>
          <w:rFonts w:hint="eastAsia" w:ascii="仿宋" w:hAnsi="仿宋" w:eastAsia="仿宋" w:cs="仿宋"/>
          <w:color w:val="FF0000"/>
          <w:sz w:val="32"/>
          <w:szCs w:val="32"/>
          <w:highlight w:val="none"/>
        </w:rPr>
      </w:pPr>
      <w:r>
        <w:rPr>
          <w:rFonts w:hint="eastAsia" w:ascii="仿宋" w:hAnsi="仿宋" w:eastAsia="仿宋" w:cs="仿宋"/>
          <w:sz w:val="32"/>
          <w:szCs w:val="32"/>
          <w:highlight w:val="none"/>
        </w:rPr>
        <w:t>本部门2022年度机关运行经费支出</w:t>
      </w:r>
      <w:r>
        <w:rPr>
          <w:rFonts w:ascii="仿宋" w:hAnsi="仿宋" w:eastAsia="仿宋" w:cs="仿宋"/>
          <w:sz w:val="32"/>
          <w:szCs w:val="32"/>
          <w:highlight w:val="none"/>
        </w:rPr>
        <w:t>0.00</w:t>
      </w:r>
      <w:r>
        <w:rPr>
          <w:rFonts w:hint="eastAsia" w:ascii="仿宋" w:hAnsi="仿宋" w:eastAsia="仿宋" w:cs="仿宋"/>
          <w:sz w:val="32"/>
          <w:szCs w:val="32"/>
          <w:highlight w:val="none"/>
        </w:rPr>
        <w:t>万元，比年初预算数</w:t>
      </w:r>
      <w:r>
        <w:rPr>
          <w:rFonts w:ascii="仿宋" w:hAnsi="仿宋" w:eastAsia="仿宋" w:cs="仿宋"/>
          <w:sz w:val="32"/>
          <w:szCs w:val="32"/>
          <w:highlight w:val="none"/>
        </w:rPr>
        <w:t>减少23.17</w:t>
      </w:r>
      <w:r>
        <w:rPr>
          <w:rFonts w:hint="eastAsia" w:ascii="仿宋" w:hAnsi="仿宋" w:eastAsia="仿宋" w:cs="仿宋"/>
          <w:sz w:val="32"/>
          <w:szCs w:val="32"/>
          <w:highlight w:val="none"/>
        </w:rPr>
        <w:t>万元，</w:t>
      </w:r>
      <w:r>
        <w:rPr>
          <w:rFonts w:ascii="仿宋" w:hAnsi="仿宋" w:eastAsia="仿宋" w:cs="仿宋"/>
          <w:sz w:val="32"/>
          <w:szCs w:val="32"/>
          <w:highlight w:val="none"/>
        </w:rPr>
        <w:t>下降100%</w:t>
      </w:r>
      <w:r>
        <w:rPr>
          <w:rFonts w:hint="eastAsia" w:ascii="仿宋" w:hAnsi="仿宋" w:eastAsia="仿宋" w:cs="仿宋"/>
          <w:sz w:val="32"/>
          <w:szCs w:val="32"/>
          <w:highlight w:val="none"/>
        </w:rPr>
        <w:t>，比上年决算数</w:t>
      </w:r>
      <w:r>
        <w:rPr>
          <w:rFonts w:ascii="仿宋" w:hAnsi="仿宋" w:eastAsia="仿宋" w:cs="仿宋"/>
          <w:sz w:val="32"/>
          <w:szCs w:val="32"/>
          <w:highlight w:val="none"/>
        </w:rPr>
        <w:t>增加0.00</w:t>
      </w:r>
      <w:r>
        <w:rPr>
          <w:rFonts w:hint="eastAsia" w:ascii="仿宋" w:hAnsi="仿宋" w:eastAsia="仿宋" w:cs="仿宋"/>
          <w:sz w:val="32"/>
          <w:szCs w:val="32"/>
          <w:highlight w:val="none"/>
        </w:rPr>
        <w:t>万元，</w:t>
      </w:r>
      <w:r>
        <w:rPr>
          <w:rFonts w:ascii="仿宋" w:hAnsi="仿宋" w:eastAsia="仿宋" w:cs="仿宋"/>
          <w:sz w:val="32"/>
          <w:szCs w:val="32"/>
          <w:highlight w:val="none"/>
        </w:rPr>
        <w:t>增长0%</w:t>
      </w:r>
      <w:r>
        <w:rPr>
          <w:rFonts w:hint="eastAsia" w:ascii="仿宋" w:hAnsi="仿宋" w:eastAsia="仿宋" w:cs="仿宋"/>
          <w:sz w:val="32"/>
          <w:szCs w:val="32"/>
          <w:highlight w:val="none"/>
        </w:rPr>
        <w:t>。</w:t>
      </w:r>
      <w:r>
        <w:rPr>
          <w:rFonts w:hint="eastAsia" w:ascii="仿宋" w:hAnsi="仿宋" w:eastAsia="仿宋" w:cs="仿宋"/>
          <w:color w:val="auto"/>
          <w:sz w:val="32"/>
          <w:szCs w:val="32"/>
          <w:highlight w:val="none"/>
        </w:rPr>
        <w:t>原因是：</w:t>
      </w:r>
      <w:r>
        <w:rPr>
          <w:rFonts w:hint="default" w:ascii="Times New Roman" w:hAnsi="Times New Roman" w:eastAsia="仿宋_GB2312" w:cs="Times New Roman"/>
          <w:b w:val="0"/>
          <w:bCs w:val="0"/>
          <w:kern w:val="0"/>
          <w:sz w:val="32"/>
          <w:szCs w:val="32"/>
        </w:rPr>
        <w:t>办公设施设备购置经费</w:t>
      </w:r>
      <w:r>
        <w:rPr>
          <w:rFonts w:hint="eastAsia" w:ascii="Times New Roman" w:hAnsi="Times New Roman" w:eastAsia="仿宋_GB2312" w:cs="Times New Roman"/>
          <w:b w:val="0"/>
          <w:bCs w:val="0"/>
          <w:kern w:val="0"/>
          <w:sz w:val="32"/>
          <w:szCs w:val="32"/>
          <w:lang w:eastAsia="zh-CN"/>
        </w:rPr>
        <w:t>减少</w:t>
      </w:r>
      <w:r>
        <w:rPr>
          <w:rFonts w:hint="default" w:ascii="Times New Roman" w:hAnsi="Times New Roman" w:eastAsia="仿宋_GB2312" w:cs="Times New Roman"/>
          <w:b w:val="0"/>
          <w:bCs w:val="0"/>
          <w:kern w:val="0"/>
          <w:sz w:val="32"/>
          <w:szCs w:val="32"/>
        </w:rPr>
        <w:t>、资产运行维护支出</w:t>
      </w:r>
      <w:r>
        <w:rPr>
          <w:rFonts w:hint="eastAsia" w:ascii="Times New Roman" w:hAnsi="Times New Roman" w:eastAsia="仿宋_GB2312" w:cs="Times New Roman"/>
          <w:b w:val="0"/>
          <w:bCs w:val="0"/>
          <w:kern w:val="0"/>
          <w:sz w:val="32"/>
          <w:szCs w:val="32"/>
          <w:lang w:eastAsia="zh-CN"/>
        </w:rPr>
        <w:t>减少</w:t>
      </w:r>
      <w:r>
        <w:rPr>
          <w:rFonts w:hint="default" w:ascii="Times New Roman" w:hAnsi="Times New Roman" w:eastAsia="仿宋_GB2312" w:cs="Times New Roman"/>
          <w:b w:val="0"/>
          <w:bCs w:val="0"/>
          <w:kern w:val="0"/>
          <w:sz w:val="32"/>
          <w:szCs w:val="32"/>
        </w:rPr>
        <w:t>、信息系统运行维护支出</w:t>
      </w:r>
      <w:r>
        <w:rPr>
          <w:rFonts w:hint="eastAsia" w:ascii="Times New Roman" w:hAnsi="Times New Roman" w:eastAsia="仿宋_GB2312" w:cs="Times New Roman"/>
          <w:b w:val="0"/>
          <w:bCs w:val="0"/>
          <w:kern w:val="0"/>
          <w:sz w:val="32"/>
          <w:szCs w:val="32"/>
          <w:lang w:eastAsia="zh-CN"/>
        </w:rPr>
        <w:t>减少</w:t>
      </w:r>
      <w:r>
        <w:rPr>
          <w:rFonts w:hint="default" w:ascii="Times New Roman" w:hAnsi="Times New Roman" w:eastAsia="仿宋_GB2312" w:cs="Times New Roman"/>
          <w:b w:val="0"/>
          <w:bCs w:val="0"/>
          <w:kern w:val="0"/>
          <w:sz w:val="32"/>
          <w:szCs w:val="32"/>
        </w:rPr>
        <w:t>、人员编制数量增加、</w:t>
      </w:r>
      <w:r>
        <w:rPr>
          <w:rFonts w:hint="eastAsia" w:ascii="Times New Roman" w:hAnsi="Times New Roman" w:eastAsia="仿宋_GB2312" w:cs="Times New Roman"/>
          <w:b w:val="0"/>
          <w:bCs w:val="0"/>
          <w:kern w:val="0"/>
          <w:sz w:val="32"/>
          <w:szCs w:val="32"/>
          <w:lang w:eastAsia="zh-CN"/>
        </w:rPr>
        <w:t>劳务费减少</w:t>
      </w:r>
      <w:r>
        <w:rPr>
          <w:rFonts w:hint="default" w:ascii="Times New Roman" w:hAnsi="Times New Roman" w:eastAsia="仿宋_GB2312" w:cs="Times New Roman"/>
          <w:b w:val="0"/>
          <w:bCs w:val="0"/>
          <w:kern w:val="0"/>
          <w:sz w:val="32"/>
          <w:szCs w:val="32"/>
        </w:rPr>
        <w:t>等</w:t>
      </w:r>
      <w:r>
        <w:rPr>
          <w:rFonts w:hint="eastAsia" w:ascii="Times New Roman" w:hAnsi="Times New Roman" w:eastAsia="仿宋_GB2312" w:cs="Times New Roman"/>
          <w:b w:val="0"/>
          <w:bCs w:val="0"/>
          <w:kern w:val="0"/>
          <w:sz w:val="32"/>
          <w:szCs w:val="32"/>
          <w:lang w:eastAsia="zh-CN"/>
        </w:rPr>
        <w:t>。</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（二）政府采购支出情况说明</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本部门2022年度政府采购支出总额</w:t>
      </w:r>
      <w:r>
        <w:rPr>
          <w:rFonts w:ascii="仿宋" w:hAnsi="仿宋" w:eastAsia="仿宋" w:cs="仿宋"/>
          <w:sz w:val="32"/>
          <w:szCs w:val="32"/>
          <w:highlight w:val="none"/>
        </w:rPr>
        <w:t>0.00</w:t>
      </w:r>
      <w:r>
        <w:rPr>
          <w:rFonts w:hint="eastAsia" w:ascii="仿宋" w:hAnsi="仿宋" w:eastAsia="仿宋" w:cs="仿宋"/>
          <w:sz w:val="32"/>
          <w:szCs w:val="32"/>
          <w:highlight w:val="none"/>
        </w:rPr>
        <w:t>万元，其中：政府采购货物支出</w:t>
      </w:r>
      <w:r>
        <w:rPr>
          <w:rFonts w:ascii="仿宋" w:hAnsi="仿宋" w:eastAsia="仿宋" w:cs="仿宋"/>
          <w:sz w:val="32"/>
          <w:szCs w:val="32"/>
          <w:highlight w:val="none"/>
        </w:rPr>
        <w:t>0.00</w:t>
      </w:r>
      <w:r>
        <w:rPr>
          <w:rFonts w:hint="eastAsia" w:ascii="仿宋" w:hAnsi="仿宋" w:eastAsia="仿宋" w:cs="仿宋"/>
          <w:sz w:val="32"/>
          <w:szCs w:val="32"/>
          <w:highlight w:val="none"/>
        </w:rPr>
        <w:t>万元、政府采购工程支出</w:t>
      </w:r>
      <w:r>
        <w:rPr>
          <w:rFonts w:ascii="仿宋" w:hAnsi="仿宋" w:eastAsia="仿宋" w:cs="仿宋"/>
          <w:sz w:val="32"/>
          <w:szCs w:val="32"/>
          <w:highlight w:val="none"/>
        </w:rPr>
        <w:t>0.00</w:t>
      </w:r>
      <w:r>
        <w:rPr>
          <w:rFonts w:hint="eastAsia" w:ascii="仿宋" w:hAnsi="仿宋" w:eastAsia="仿宋" w:cs="仿宋"/>
          <w:sz w:val="32"/>
          <w:szCs w:val="32"/>
          <w:highlight w:val="none"/>
        </w:rPr>
        <w:t>万元、政府采购服务支出</w:t>
      </w:r>
      <w:r>
        <w:rPr>
          <w:rFonts w:ascii="仿宋" w:hAnsi="仿宋" w:eastAsia="仿宋" w:cs="仿宋"/>
          <w:sz w:val="32"/>
          <w:szCs w:val="32"/>
          <w:highlight w:val="none"/>
        </w:rPr>
        <w:t>0.00</w:t>
      </w:r>
      <w:r>
        <w:rPr>
          <w:rFonts w:hint="eastAsia" w:ascii="仿宋" w:hAnsi="仿宋" w:eastAsia="仿宋" w:cs="仿宋"/>
          <w:sz w:val="32"/>
          <w:szCs w:val="32"/>
          <w:highlight w:val="none"/>
        </w:rPr>
        <w:t>万元。授予中小企业合同金额</w:t>
      </w:r>
      <w:r>
        <w:rPr>
          <w:rFonts w:ascii="仿宋" w:hAnsi="仿宋" w:eastAsia="仿宋" w:cs="仿宋"/>
          <w:sz w:val="32"/>
          <w:szCs w:val="32"/>
          <w:highlight w:val="none"/>
        </w:rPr>
        <w:t>0.00</w:t>
      </w:r>
      <w:r>
        <w:rPr>
          <w:rFonts w:hint="eastAsia" w:ascii="仿宋" w:hAnsi="仿宋" w:eastAsia="仿宋" w:cs="仿宋"/>
          <w:sz w:val="32"/>
          <w:szCs w:val="32"/>
          <w:highlight w:val="none"/>
        </w:rPr>
        <w:t>万元，占政府采购支出总额的</w:t>
      </w:r>
      <w:r>
        <w:rPr>
          <w:rFonts w:ascii="仿宋" w:hAnsi="仿宋" w:eastAsia="仿宋" w:cs="仿宋"/>
          <w:sz w:val="32"/>
          <w:szCs w:val="32"/>
          <w:highlight w:val="none"/>
        </w:rPr>
        <w:t>0%</w:t>
      </w:r>
      <w:r>
        <w:rPr>
          <w:rFonts w:hint="eastAsia" w:ascii="仿宋" w:hAnsi="仿宋" w:eastAsia="仿宋" w:cs="仿宋"/>
          <w:sz w:val="32"/>
          <w:szCs w:val="32"/>
          <w:highlight w:val="none"/>
        </w:rPr>
        <w:t>，其中：授予小微企业合同金额</w:t>
      </w:r>
      <w:r>
        <w:rPr>
          <w:rFonts w:ascii="仿宋" w:hAnsi="仿宋" w:eastAsia="仿宋" w:cs="仿宋"/>
          <w:sz w:val="32"/>
          <w:szCs w:val="32"/>
          <w:highlight w:val="none"/>
        </w:rPr>
        <w:t>0.00</w:t>
      </w:r>
      <w:r>
        <w:rPr>
          <w:rFonts w:hint="eastAsia" w:ascii="仿宋" w:hAnsi="仿宋" w:eastAsia="仿宋" w:cs="仿宋"/>
          <w:sz w:val="32"/>
          <w:szCs w:val="32"/>
          <w:highlight w:val="none"/>
        </w:rPr>
        <w:t>万元，占授予中小企业合同金额的</w:t>
      </w:r>
      <w:r>
        <w:rPr>
          <w:rFonts w:ascii="仿宋" w:hAnsi="仿宋" w:eastAsia="仿宋" w:cs="仿宋"/>
          <w:sz w:val="32"/>
          <w:szCs w:val="32"/>
          <w:highlight w:val="none"/>
        </w:rPr>
        <w:t>0%</w:t>
      </w:r>
      <w:r>
        <w:rPr>
          <w:rFonts w:hint="eastAsia" w:ascii="仿宋" w:hAnsi="仿宋" w:eastAsia="仿宋" w:cs="仿宋"/>
          <w:sz w:val="32"/>
          <w:szCs w:val="32"/>
          <w:highlight w:val="none"/>
        </w:rPr>
        <w:t>。</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（三）国有资产占用情况说明</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截至2022年12月31日，本部门共有车辆</w:t>
      </w:r>
      <w:r>
        <w:rPr>
          <w:rFonts w:ascii="仿宋" w:hAnsi="仿宋" w:eastAsia="仿宋" w:cs="仿宋"/>
          <w:sz w:val="32"/>
          <w:szCs w:val="32"/>
          <w:highlight w:val="none"/>
        </w:rPr>
        <w:t>0</w:t>
      </w:r>
      <w:r>
        <w:rPr>
          <w:rFonts w:hint="eastAsia" w:ascii="仿宋" w:hAnsi="仿宋" w:eastAsia="仿宋" w:cs="仿宋"/>
          <w:sz w:val="32"/>
          <w:szCs w:val="32"/>
          <w:highlight w:val="none"/>
        </w:rPr>
        <w:t>辆，其中：副部（省）级领导干部用车</w:t>
      </w:r>
      <w:r>
        <w:rPr>
          <w:rFonts w:ascii="仿宋" w:hAnsi="仿宋" w:eastAsia="仿宋" w:cs="仿宋"/>
          <w:sz w:val="32"/>
          <w:szCs w:val="32"/>
          <w:highlight w:val="none"/>
        </w:rPr>
        <w:t>0</w:t>
      </w:r>
      <w:r>
        <w:rPr>
          <w:rFonts w:hint="eastAsia" w:ascii="仿宋" w:hAnsi="仿宋" w:eastAsia="仿宋" w:cs="仿宋"/>
          <w:sz w:val="32"/>
          <w:szCs w:val="32"/>
          <w:highlight w:val="none"/>
        </w:rPr>
        <w:t>辆、机要通信用车</w:t>
      </w:r>
      <w:r>
        <w:rPr>
          <w:rFonts w:ascii="仿宋" w:hAnsi="仿宋" w:eastAsia="仿宋" w:cs="仿宋"/>
          <w:sz w:val="32"/>
          <w:szCs w:val="32"/>
          <w:highlight w:val="none"/>
        </w:rPr>
        <w:t>0</w:t>
      </w:r>
      <w:r>
        <w:rPr>
          <w:rFonts w:hint="eastAsia" w:ascii="仿宋" w:hAnsi="仿宋" w:eastAsia="仿宋" w:cs="仿宋"/>
          <w:sz w:val="32"/>
          <w:szCs w:val="32"/>
          <w:highlight w:val="none"/>
        </w:rPr>
        <w:t>辆、应急保障用车</w:t>
      </w:r>
      <w:r>
        <w:rPr>
          <w:rFonts w:ascii="仿宋" w:hAnsi="仿宋" w:eastAsia="仿宋" w:cs="仿宋"/>
          <w:sz w:val="32"/>
          <w:szCs w:val="32"/>
          <w:highlight w:val="none"/>
        </w:rPr>
        <w:t>0</w:t>
      </w:r>
      <w:r>
        <w:rPr>
          <w:rFonts w:hint="eastAsia" w:ascii="仿宋" w:hAnsi="仿宋" w:eastAsia="仿宋" w:cs="仿宋"/>
          <w:sz w:val="32"/>
          <w:szCs w:val="32"/>
          <w:highlight w:val="none"/>
        </w:rPr>
        <w:t>辆、执法执勤用车</w:t>
      </w:r>
      <w:r>
        <w:rPr>
          <w:rFonts w:ascii="仿宋" w:hAnsi="仿宋" w:eastAsia="仿宋" w:cs="仿宋"/>
          <w:sz w:val="32"/>
          <w:szCs w:val="32"/>
          <w:highlight w:val="none"/>
        </w:rPr>
        <w:t>0</w:t>
      </w:r>
      <w:r>
        <w:rPr>
          <w:rFonts w:hint="eastAsia" w:ascii="仿宋" w:hAnsi="仿宋" w:eastAsia="仿宋" w:cs="仿宋"/>
          <w:sz w:val="32"/>
          <w:szCs w:val="32"/>
          <w:highlight w:val="none"/>
        </w:rPr>
        <w:t>辆、特种专业技术用车</w:t>
      </w:r>
      <w:r>
        <w:rPr>
          <w:rFonts w:ascii="仿宋" w:hAnsi="仿宋" w:eastAsia="仿宋" w:cs="仿宋"/>
          <w:sz w:val="32"/>
          <w:szCs w:val="32"/>
          <w:highlight w:val="none"/>
        </w:rPr>
        <w:t>0</w:t>
      </w:r>
      <w:r>
        <w:rPr>
          <w:rFonts w:hint="eastAsia" w:ascii="仿宋" w:hAnsi="仿宋" w:eastAsia="仿宋" w:cs="仿宋"/>
          <w:sz w:val="32"/>
          <w:szCs w:val="32"/>
          <w:highlight w:val="none"/>
        </w:rPr>
        <w:t>辆、其他用车</w:t>
      </w:r>
      <w:r>
        <w:rPr>
          <w:rFonts w:ascii="仿宋" w:hAnsi="仿宋" w:eastAsia="仿宋" w:cs="仿宋"/>
          <w:sz w:val="32"/>
          <w:szCs w:val="32"/>
          <w:highlight w:val="none"/>
        </w:rPr>
        <w:t>0</w:t>
      </w:r>
      <w:r>
        <w:rPr>
          <w:rFonts w:hint="eastAsia" w:ascii="仿宋" w:hAnsi="仿宋" w:eastAsia="仿宋" w:cs="仿宋"/>
          <w:sz w:val="32"/>
          <w:szCs w:val="32"/>
          <w:highlight w:val="none"/>
        </w:rPr>
        <w:t>辆；单位价值50万元以上通用设备</w:t>
      </w:r>
      <w:r>
        <w:rPr>
          <w:rFonts w:ascii="仿宋" w:hAnsi="仿宋" w:eastAsia="仿宋" w:cs="仿宋"/>
          <w:sz w:val="32"/>
          <w:szCs w:val="32"/>
          <w:highlight w:val="none"/>
        </w:rPr>
        <w:t>0</w:t>
      </w:r>
      <w:r>
        <w:rPr>
          <w:rFonts w:hint="eastAsia" w:ascii="仿宋" w:hAnsi="仿宋" w:eastAsia="仿宋" w:cs="仿宋"/>
          <w:sz w:val="32"/>
          <w:szCs w:val="32"/>
          <w:highlight w:val="none"/>
        </w:rPr>
        <w:t>台（套）；单位价值</w:t>
      </w:r>
      <w:r>
        <w:rPr>
          <w:rFonts w:hint="eastAsia" w:ascii="仿宋" w:hAnsi="仿宋" w:eastAsia="仿宋" w:cs="仿宋"/>
          <w:sz w:val="32"/>
          <w:szCs w:val="32"/>
          <w:highlight w:val="none"/>
          <w:lang w:val="en-US" w:eastAsia="zh-CN"/>
        </w:rPr>
        <w:t>100万</w:t>
      </w:r>
      <w:r>
        <w:rPr>
          <w:rFonts w:hint="eastAsia" w:ascii="仿宋" w:hAnsi="仿宋" w:eastAsia="仿宋" w:cs="仿宋"/>
          <w:sz w:val="32"/>
          <w:szCs w:val="32"/>
          <w:highlight w:val="none"/>
        </w:rPr>
        <w:t>元以上专用设备台（套）。</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（四）预算绩效管理工作开展情况</w:t>
      </w:r>
    </w:p>
    <w:p>
      <w:p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1.绩效管理工作开展情况。</w:t>
      </w:r>
    </w:p>
    <w:p>
      <w:p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根据财政预算管理要求，本部门组织对</w:t>
      </w:r>
      <w:r>
        <w:rPr>
          <w:rFonts w:hint="eastAsia" w:ascii="仿宋" w:hAnsi="仿宋" w:eastAsia="仿宋" w:cs="仿宋"/>
          <w:color w:val="000000" w:themeColor="text1"/>
          <w:sz w:val="32"/>
          <w:szCs w:val="32"/>
          <w:lang w:eastAsia="zh-CN"/>
          <w14:textFill>
            <w14:solidFill>
              <w14:schemeClr w14:val="tx1"/>
            </w14:solidFill>
          </w14:textFill>
        </w:rPr>
        <w:t>2022年</w:t>
      </w:r>
      <w:r>
        <w:rPr>
          <w:rFonts w:hint="eastAsia" w:ascii="仿宋" w:hAnsi="仿宋" w:eastAsia="仿宋" w:cs="仿宋"/>
          <w:color w:val="000000" w:themeColor="text1"/>
          <w:sz w:val="32"/>
          <w:szCs w:val="32"/>
          <w14:textFill>
            <w14:solidFill>
              <w14:schemeClr w14:val="tx1"/>
            </w14:solidFill>
          </w14:textFill>
        </w:rPr>
        <w:t>度一般公共预算项目支出全面开展绩效自评。其中，一</w:t>
      </w:r>
      <w:r>
        <w:rPr>
          <w:rFonts w:hint="eastAsia" w:ascii="仿宋" w:hAnsi="仿宋" w:eastAsia="仿宋" w:cs="仿宋"/>
          <w:color w:val="000000" w:themeColor="text1"/>
          <w:sz w:val="32"/>
          <w:szCs w:val="32"/>
          <w:lang w:val="en-US" w:eastAsia="zh-CN"/>
          <w14:textFill>
            <w14:solidFill>
              <w14:schemeClr w14:val="tx1"/>
            </w14:solidFill>
          </w14:textFill>
        </w:rPr>
        <w:t>等</w:t>
      </w:r>
      <w:r>
        <w:rPr>
          <w:rFonts w:hint="eastAsia" w:ascii="仿宋" w:hAnsi="仿宋" w:eastAsia="仿宋" w:cs="仿宋"/>
          <w:color w:val="000000" w:themeColor="text1"/>
          <w:sz w:val="32"/>
          <w:szCs w:val="32"/>
          <w14:textFill>
            <w14:solidFill>
              <w14:schemeClr w14:val="tx1"/>
            </w14:solidFill>
          </w14:textFill>
        </w:rPr>
        <w:t>项目</w:t>
      </w:r>
      <w:r>
        <w:rPr>
          <w:rFonts w:hint="eastAsia" w:ascii="仿宋" w:hAnsi="仿宋" w:eastAsia="仿宋" w:cs="仿宋"/>
          <w:color w:val="000000" w:themeColor="text1"/>
          <w:sz w:val="32"/>
          <w:szCs w:val="32"/>
          <w:lang w:val="en-US" w:eastAsia="zh-CN"/>
          <w14:textFill>
            <w14:solidFill>
              <w14:schemeClr w14:val="tx1"/>
            </w14:solidFill>
          </w14:textFill>
        </w:rPr>
        <w:t>22</w:t>
      </w:r>
      <w:r>
        <w:rPr>
          <w:rFonts w:hint="eastAsia" w:ascii="仿宋" w:hAnsi="仿宋" w:eastAsia="仿宋" w:cs="仿宋"/>
          <w:color w:val="000000" w:themeColor="text1"/>
          <w:sz w:val="32"/>
          <w:szCs w:val="32"/>
          <w14:textFill>
            <w14:solidFill>
              <w14:schemeClr w14:val="tx1"/>
            </w14:solidFill>
          </w14:textFill>
        </w:rPr>
        <w:t>个，二</w:t>
      </w:r>
      <w:r>
        <w:rPr>
          <w:rFonts w:hint="eastAsia" w:ascii="仿宋" w:hAnsi="仿宋" w:eastAsia="仿宋" w:cs="仿宋"/>
          <w:color w:val="000000" w:themeColor="text1"/>
          <w:sz w:val="32"/>
          <w:szCs w:val="32"/>
          <w:lang w:val="en-US" w:eastAsia="zh-CN"/>
          <w14:textFill>
            <w14:solidFill>
              <w14:schemeClr w14:val="tx1"/>
            </w14:solidFill>
          </w14:textFill>
        </w:rPr>
        <w:t>等</w:t>
      </w:r>
      <w:r>
        <w:rPr>
          <w:rFonts w:hint="eastAsia" w:ascii="仿宋" w:hAnsi="仿宋" w:eastAsia="仿宋" w:cs="仿宋"/>
          <w:color w:val="000000" w:themeColor="text1"/>
          <w:sz w:val="32"/>
          <w:szCs w:val="32"/>
          <w14:textFill>
            <w14:solidFill>
              <w14:schemeClr w14:val="tx1"/>
            </w14:solidFill>
          </w14:textFill>
        </w:rPr>
        <w:t>项目</w:t>
      </w:r>
      <w:r>
        <w:rPr>
          <w:rFonts w:hint="eastAsia" w:ascii="仿宋" w:hAnsi="仿宋" w:eastAsia="仿宋" w:cs="仿宋"/>
          <w:color w:val="000000" w:themeColor="text1"/>
          <w:sz w:val="32"/>
          <w:szCs w:val="32"/>
          <w:lang w:val="en-US" w:eastAsia="zh-CN"/>
          <w14:textFill>
            <w14:solidFill>
              <w14:schemeClr w14:val="tx1"/>
            </w14:solidFill>
          </w14:textFill>
        </w:rPr>
        <w:t>6</w:t>
      </w:r>
      <w:r>
        <w:rPr>
          <w:rFonts w:hint="eastAsia" w:ascii="仿宋" w:hAnsi="仿宋" w:eastAsia="仿宋" w:cs="仿宋"/>
          <w:color w:val="000000" w:themeColor="text1"/>
          <w:sz w:val="32"/>
          <w:szCs w:val="32"/>
          <w14:textFill>
            <w14:solidFill>
              <w14:schemeClr w14:val="tx1"/>
            </w14:solidFill>
          </w14:textFill>
        </w:rPr>
        <w:t>个，共涉及资金</w:t>
      </w:r>
      <w:r>
        <w:rPr>
          <w:rFonts w:hint="eastAsia" w:ascii="仿宋" w:hAnsi="仿宋" w:eastAsia="仿宋" w:cs="仿宋"/>
          <w:color w:val="000000" w:themeColor="text1"/>
          <w:sz w:val="32"/>
          <w:szCs w:val="32"/>
          <w:lang w:val="en-US" w:eastAsia="zh-CN"/>
          <w14:textFill>
            <w14:solidFill>
              <w14:schemeClr w14:val="tx1"/>
            </w14:solidFill>
          </w14:textFill>
        </w:rPr>
        <w:t>1238</w:t>
      </w:r>
      <w:r>
        <w:rPr>
          <w:rFonts w:hint="eastAsia" w:ascii="仿宋" w:hAnsi="仿宋" w:eastAsia="仿宋" w:cs="仿宋"/>
          <w:color w:val="000000" w:themeColor="text1"/>
          <w:sz w:val="32"/>
          <w:szCs w:val="32"/>
          <w14:textFill>
            <w14:solidFill>
              <w14:schemeClr w14:val="tx1"/>
            </w14:solidFill>
          </w14:textFill>
        </w:rPr>
        <w:t>万元，占一般公共预算项目支出总额的</w:t>
      </w:r>
      <w:r>
        <w:rPr>
          <w:rFonts w:hint="eastAsia" w:ascii="仿宋" w:hAnsi="仿宋" w:eastAsia="仿宋" w:cs="仿宋"/>
          <w:color w:val="000000" w:themeColor="text1"/>
          <w:sz w:val="32"/>
          <w:szCs w:val="32"/>
          <w:lang w:val="en-US" w:eastAsia="zh-CN"/>
          <w14:textFill>
            <w14:solidFill>
              <w14:schemeClr w14:val="tx1"/>
            </w14:solidFill>
          </w14:textFill>
        </w:rPr>
        <w:t>34.55</w:t>
      </w:r>
      <w:r>
        <w:rPr>
          <w:rFonts w:hint="eastAsia" w:ascii="仿宋" w:hAnsi="仿宋" w:eastAsia="仿宋" w:cs="仿宋"/>
          <w:color w:val="000000" w:themeColor="text1"/>
          <w:sz w:val="32"/>
          <w:szCs w:val="32"/>
          <w14:textFill>
            <w14:solidFill>
              <w14:schemeClr w14:val="tx1"/>
            </w14:solidFill>
          </w14:textFill>
        </w:rPr>
        <w:t>%。组织对</w:t>
      </w:r>
      <w:r>
        <w:rPr>
          <w:rFonts w:hint="eastAsia" w:ascii="仿宋" w:hAnsi="仿宋" w:eastAsia="仿宋" w:cs="仿宋"/>
          <w:color w:val="000000" w:themeColor="text1"/>
          <w:sz w:val="32"/>
          <w:szCs w:val="32"/>
          <w:lang w:eastAsia="zh-CN"/>
          <w14:textFill>
            <w14:solidFill>
              <w14:schemeClr w14:val="tx1"/>
            </w14:solidFill>
          </w14:textFill>
        </w:rPr>
        <w:t>2022年</w:t>
      </w:r>
      <w:r>
        <w:rPr>
          <w:rFonts w:hint="eastAsia" w:ascii="仿宋" w:hAnsi="仿宋" w:eastAsia="仿宋" w:cs="仿宋"/>
          <w:color w:val="000000" w:themeColor="text1"/>
          <w:sz w:val="32"/>
          <w:szCs w:val="32"/>
          <w14:textFill>
            <w14:solidFill>
              <w14:schemeClr w14:val="tx1"/>
            </w14:solidFill>
          </w14:textFill>
        </w:rPr>
        <w:t>度</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个政府性基金</w:t>
      </w:r>
      <w:r>
        <w:rPr>
          <w:rFonts w:hint="eastAsia" w:ascii="仿宋" w:hAnsi="仿宋" w:eastAsia="仿宋" w:cs="仿宋"/>
          <w:color w:val="000000" w:themeColor="text1"/>
          <w:sz w:val="32"/>
          <w:szCs w:val="32"/>
          <w:lang w:eastAsia="zh-CN"/>
          <w14:textFill>
            <w14:solidFill>
              <w14:schemeClr w14:val="tx1"/>
            </w14:solidFill>
          </w14:textFill>
        </w:rPr>
        <w:t>（本单位本年度没有</w:t>
      </w:r>
      <w:r>
        <w:rPr>
          <w:rFonts w:hint="eastAsia" w:ascii="仿宋" w:hAnsi="仿宋" w:eastAsia="仿宋" w:cs="仿宋"/>
          <w:color w:val="000000" w:themeColor="text1"/>
          <w:sz w:val="32"/>
          <w:szCs w:val="32"/>
          <w14:textFill>
            <w14:solidFill>
              <w14:schemeClr w14:val="tx1"/>
            </w14:solidFill>
          </w14:textFill>
        </w:rPr>
        <w:t>政府性基金</w:t>
      </w:r>
      <w:r>
        <w:rPr>
          <w:rFonts w:hint="eastAsia" w:ascii="仿宋" w:hAnsi="仿宋" w:eastAsia="仿宋" w:cs="仿宋"/>
          <w:color w:val="000000" w:themeColor="text1"/>
          <w:sz w:val="32"/>
          <w:szCs w:val="32"/>
          <w:lang w:eastAsia="zh-CN"/>
          <w14:textFill>
            <w14:solidFill>
              <w14:schemeClr w14:val="tx1"/>
            </w14:solidFill>
          </w14:textFill>
        </w:rPr>
        <w:t>收入和支出）</w:t>
      </w:r>
      <w:r>
        <w:rPr>
          <w:rFonts w:hint="eastAsia" w:ascii="仿宋" w:hAnsi="仿宋" w:eastAsia="仿宋" w:cs="仿宋"/>
          <w:color w:val="000000" w:themeColor="text1"/>
          <w:sz w:val="32"/>
          <w:szCs w:val="32"/>
          <w14:textFill>
            <w14:solidFill>
              <w14:schemeClr w14:val="tx1"/>
            </w14:solidFill>
          </w14:textFill>
        </w:rPr>
        <w:t>预算项目支出开展绩效自评，共涉及资金</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万元，占政府性基金预算项目支出总额的</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%。组织对</w:t>
      </w:r>
      <w:r>
        <w:rPr>
          <w:rFonts w:hint="eastAsia" w:ascii="仿宋" w:hAnsi="仿宋" w:eastAsia="仿宋" w:cs="仿宋"/>
          <w:color w:val="000000" w:themeColor="text1"/>
          <w:sz w:val="32"/>
          <w:szCs w:val="32"/>
          <w:lang w:eastAsia="zh-CN"/>
          <w14:textFill>
            <w14:solidFill>
              <w14:schemeClr w14:val="tx1"/>
            </w14:solidFill>
          </w14:textFill>
        </w:rPr>
        <w:t>2022年</w:t>
      </w:r>
      <w:r>
        <w:rPr>
          <w:rFonts w:hint="eastAsia" w:ascii="仿宋" w:hAnsi="仿宋" w:eastAsia="仿宋" w:cs="仿宋"/>
          <w:color w:val="000000" w:themeColor="text1"/>
          <w:sz w:val="32"/>
          <w:szCs w:val="32"/>
          <w14:textFill>
            <w14:solidFill>
              <w14:schemeClr w14:val="tx1"/>
            </w14:solidFill>
          </w14:textFill>
        </w:rPr>
        <w:t>度</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个国有资本经营</w:t>
      </w:r>
      <w:r>
        <w:rPr>
          <w:rFonts w:hint="eastAsia" w:ascii="仿宋" w:hAnsi="仿宋" w:eastAsia="仿宋" w:cs="仿宋"/>
          <w:color w:val="000000" w:themeColor="text1"/>
          <w:sz w:val="32"/>
          <w:szCs w:val="32"/>
          <w:lang w:eastAsia="zh-CN"/>
          <w14:textFill>
            <w14:solidFill>
              <w14:schemeClr w14:val="tx1"/>
            </w14:solidFill>
          </w14:textFill>
        </w:rPr>
        <w:t>（本单位本年度没有</w:t>
      </w:r>
      <w:r>
        <w:rPr>
          <w:rFonts w:hint="eastAsia" w:ascii="仿宋" w:hAnsi="仿宋" w:eastAsia="仿宋" w:cs="仿宋"/>
          <w:color w:val="000000" w:themeColor="text1"/>
          <w:sz w:val="32"/>
          <w:szCs w:val="32"/>
          <w14:textFill>
            <w14:solidFill>
              <w14:schemeClr w14:val="tx1"/>
            </w14:solidFill>
          </w14:textFill>
        </w:rPr>
        <w:t>国有资本经营</w:t>
      </w:r>
      <w:r>
        <w:rPr>
          <w:rFonts w:hint="eastAsia" w:ascii="仿宋" w:hAnsi="仿宋" w:eastAsia="仿宋" w:cs="仿宋"/>
          <w:color w:val="000000" w:themeColor="text1"/>
          <w:sz w:val="32"/>
          <w:szCs w:val="32"/>
          <w:lang w:eastAsia="zh-CN"/>
          <w14:textFill>
            <w14:solidFill>
              <w14:schemeClr w14:val="tx1"/>
            </w14:solidFill>
          </w14:textFill>
        </w:rPr>
        <w:t>收入和支出）</w:t>
      </w:r>
      <w:r>
        <w:rPr>
          <w:rFonts w:hint="eastAsia" w:ascii="仿宋" w:hAnsi="仿宋" w:eastAsia="仿宋" w:cs="仿宋"/>
          <w:color w:val="000000" w:themeColor="text1"/>
          <w:sz w:val="32"/>
          <w:szCs w:val="32"/>
          <w14:textFill>
            <w14:solidFill>
              <w14:schemeClr w14:val="tx1"/>
            </w14:solidFill>
          </w14:textFill>
        </w:rPr>
        <w:t>预算项目支出开展绩效自评，共涉及资金</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万元，占国有资本经营预算项目支出总额的</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w:t>
      </w:r>
    </w:p>
    <w:p>
      <w:pPr>
        <w:ind w:firstLine="640" w:firstLineChars="200"/>
        <w:jc w:val="left"/>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组织对“现代职业教育质量提升计划经费”等</w:t>
      </w:r>
      <w:r>
        <w:rPr>
          <w:rFonts w:hint="eastAsia" w:ascii="仿宋" w:hAnsi="仿宋" w:eastAsia="仿宋" w:cs="仿宋"/>
          <w:color w:val="000000" w:themeColor="text1"/>
          <w:sz w:val="32"/>
          <w:szCs w:val="32"/>
          <w:lang w:val="en-US" w:eastAsia="zh-CN"/>
          <w14:textFill>
            <w14:solidFill>
              <w14:schemeClr w14:val="tx1"/>
            </w14:solidFill>
          </w14:textFill>
        </w:rPr>
        <w:t>28</w:t>
      </w:r>
      <w:r>
        <w:rPr>
          <w:rFonts w:hint="eastAsia" w:ascii="仿宋" w:hAnsi="仿宋" w:eastAsia="仿宋" w:cs="仿宋"/>
          <w:color w:val="000000" w:themeColor="text1"/>
          <w:sz w:val="32"/>
          <w:szCs w:val="32"/>
          <w14:textFill>
            <w14:solidFill>
              <w14:schemeClr w14:val="tx1"/>
            </w14:solidFill>
          </w14:textFill>
        </w:rPr>
        <w:t>个项目进行了部门评价，涉及一般公共预算支出</w:t>
      </w:r>
      <w:r>
        <w:rPr>
          <w:rFonts w:hint="eastAsia" w:ascii="仿宋" w:hAnsi="仿宋" w:eastAsia="仿宋" w:cs="仿宋"/>
          <w:color w:val="000000" w:themeColor="text1"/>
          <w:sz w:val="32"/>
          <w:szCs w:val="32"/>
          <w:lang w:val="en-US" w:eastAsia="zh-CN"/>
          <w14:textFill>
            <w14:solidFill>
              <w14:schemeClr w14:val="tx1"/>
            </w14:solidFill>
          </w14:textFill>
        </w:rPr>
        <w:t>1238</w:t>
      </w:r>
      <w:r>
        <w:rPr>
          <w:rFonts w:hint="eastAsia" w:ascii="仿宋" w:hAnsi="仿宋" w:eastAsia="仿宋" w:cs="仿宋"/>
          <w:color w:val="000000" w:themeColor="text1"/>
          <w:sz w:val="32"/>
          <w:szCs w:val="32"/>
          <w14:textFill>
            <w14:solidFill>
              <w14:schemeClr w14:val="tx1"/>
            </w14:solidFill>
          </w14:textFill>
        </w:rPr>
        <w:t>万元，政府性基金预算支出</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万元，国有资本经营预算支出</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万元。从评价情况来看</w:t>
      </w:r>
      <w:r>
        <w:rPr>
          <w:rFonts w:hint="eastAsia" w:ascii="华文仿宋" w:hAnsi="华文仿宋" w:eastAsia="华文仿宋" w:cs="华文仿宋"/>
          <w:color w:val="auto"/>
          <w:kern w:val="0"/>
          <w:sz w:val="32"/>
          <w:szCs w:val="32"/>
        </w:rPr>
        <w:t>达到预期绩效目标</w:t>
      </w:r>
      <w:r>
        <w:rPr>
          <w:rFonts w:hint="eastAsia" w:ascii="华文仿宋" w:hAnsi="华文仿宋" w:eastAsia="华文仿宋" w:cs="华文仿宋"/>
          <w:color w:val="auto"/>
          <w:kern w:val="0"/>
          <w:sz w:val="32"/>
          <w:szCs w:val="32"/>
          <w:lang w:eastAsia="zh-CN"/>
        </w:rPr>
        <w:t>，</w:t>
      </w:r>
      <w:r>
        <w:rPr>
          <w:rFonts w:hint="eastAsia" w:ascii="仿宋" w:hAnsi="仿宋" w:eastAsia="仿宋" w:cs="仿宋"/>
          <w:color w:val="000000" w:themeColor="text1"/>
          <w:sz w:val="32"/>
          <w:szCs w:val="32"/>
          <w:lang w:eastAsia="zh-CN"/>
          <w14:textFill>
            <w14:solidFill>
              <w14:schemeClr w14:val="tx1"/>
            </w14:solidFill>
          </w14:textFill>
        </w:rPr>
        <w:t>取得了良好成果，具体如下：</w:t>
      </w:r>
    </w:p>
    <w:p>
      <w:p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预算执行效果显著：</w:t>
      </w:r>
      <w:r>
        <w:rPr>
          <w:rFonts w:hint="eastAsia" w:ascii="仿宋" w:hAnsi="仿宋" w:eastAsia="仿宋" w:cs="仿宋"/>
          <w:color w:val="000000" w:themeColor="text1"/>
          <w:sz w:val="32"/>
          <w:szCs w:val="32"/>
          <w:lang w:eastAsia="zh-CN"/>
          <w14:textFill>
            <w14:solidFill>
              <w14:schemeClr w14:val="tx1"/>
            </w14:solidFill>
          </w14:textFill>
        </w:rPr>
        <w:t>本</w:t>
      </w:r>
      <w:r>
        <w:rPr>
          <w:rFonts w:hint="eastAsia" w:ascii="仿宋" w:hAnsi="仿宋" w:eastAsia="仿宋" w:cs="仿宋"/>
          <w:color w:val="000000" w:themeColor="text1"/>
          <w:sz w:val="32"/>
          <w:szCs w:val="32"/>
          <w14:textFill>
            <w14:solidFill>
              <w14:schemeClr w14:val="tx1"/>
            </w14:solidFill>
          </w14:textFill>
        </w:rPr>
        <w:t>单位在预算执行过程中，严格按照预算目标和计划进行，取得了显著的经济效益和社会效益，为单位的发展提供了有力保障。</w:t>
      </w:r>
    </w:p>
    <w:p>
      <w:p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预算管理规范有序：</w:t>
      </w:r>
      <w:r>
        <w:rPr>
          <w:rFonts w:hint="eastAsia" w:ascii="仿宋" w:hAnsi="仿宋" w:eastAsia="仿宋" w:cs="仿宋"/>
          <w:color w:val="000000" w:themeColor="text1"/>
          <w:sz w:val="32"/>
          <w:szCs w:val="32"/>
          <w:lang w:eastAsia="zh-CN"/>
          <w14:textFill>
            <w14:solidFill>
              <w14:schemeClr w14:val="tx1"/>
            </w14:solidFill>
          </w14:textFill>
        </w:rPr>
        <w:t>本</w:t>
      </w:r>
      <w:r>
        <w:rPr>
          <w:rFonts w:hint="eastAsia" w:ascii="仿宋" w:hAnsi="仿宋" w:eastAsia="仿宋" w:cs="仿宋"/>
          <w:color w:val="000000" w:themeColor="text1"/>
          <w:sz w:val="32"/>
          <w:szCs w:val="32"/>
          <w14:textFill>
            <w14:solidFill>
              <w14:schemeClr w14:val="tx1"/>
            </w14:solidFill>
          </w14:textFill>
        </w:rPr>
        <w:t>单位在预算编制、执行、监控和调整等环节，遵循了相关法规和制度要求，管理规范有序，为预算绩效评价提供了良好的基础。</w:t>
      </w:r>
    </w:p>
    <w:p>
      <w:p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14:textFill>
            <w14:solidFill>
              <w14:schemeClr w14:val="tx1"/>
            </w14:solidFill>
          </w14:textFill>
        </w:rPr>
        <w:t>资源利用效率较高：</w:t>
      </w:r>
      <w:r>
        <w:rPr>
          <w:rFonts w:hint="eastAsia" w:ascii="仿宋" w:hAnsi="仿宋" w:eastAsia="仿宋" w:cs="仿宋"/>
          <w:color w:val="000000" w:themeColor="text1"/>
          <w:sz w:val="32"/>
          <w:szCs w:val="32"/>
          <w:lang w:eastAsia="zh-CN"/>
          <w14:textFill>
            <w14:solidFill>
              <w14:schemeClr w14:val="tx1"/>
            </w14:solidFill>
          </w14:textFill>
        </w:rPr>
        <w:t>本</w:t>
      </w:r>
      <w:r>
        <w:rPr>
          <w:rFonts w:hint="eastAsia" w:ascii="仿宋" w:hAnsi="仿宋" w:eastAsia="仿宋" w:cs="仿宋"/>
          <w:color w:val="000000" w:themeColor="text1"/>
          <w:sz w:val="32"/>
          <w:szCs w:val="32"/>
          <w14:textFill>
            <w14:solidFill>
              <w14:schemeClr w14:val="tx1"/>
            </w14:solidFill>
          </w14:textFill>
        </w:rPr>
        <w:t>单位在预算执行过程中，注重提高资源利用效率，合理分配和使用各类资源，有效降低了成本，提高了经济效益。</w:t>
      </w:r>
    </w:p>
    <w:p>
      <w:p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4、</w:t>
      </w:r>
      <w:r>
        <w:rPr>
          <w:rFonts w:hint="eastAsia" w:ascii="仿宋" w:hAnsi="仿宋" w:eastAsia="仿宋" w:cs="仿宋"/>
          <w:color w:val="000000" w:themeColor="text1"/>
          <w:sz w:val="32"/>
          <w:szCs w:val="32"/>
          <w14:textFill>
            <w14:solidFill>
              <w14:schemeClr w14:val="tx1"/>
            </w14:solidFill>
          </w14:textFill>
        </w:rPr>
        <w:t>服务质量稳步提升：</w:t>
      </w:r>
      <w:r>
        <w:rPr>
          <w:rFonts w:hint="eastAsia" w:ascii="仿宋" w:hAnsi="仿宋" w:eastAsia="仿宋" w:cs="仿宋"/>
          <w:color w:val="000000" w:themeColor="text1"/>
          <w:sz w:val="32"/>
          <w:szCs w:val="32"/>
          <w:lang w:eastAsia="zh-CN"/>
          <w14:textFill>
            <w14:solidFill>
              <w14:schemeClr w14:val="tx1"/>
            </w14:solidFill>
          </w14:textFill>
        </w:rPr>
        <w:t>本</w:t>
      </w:r>
      <w:r>
        <w:rPr>
          <w:rFonts w:hint="eastAsia" w:ascii="仿宋" w:hAnsi="仿宋" w:eastAsia="仿宋" w:cs="仿宋"/>
          <w:color w:val="000000" w:themeColor="text1"/>
          <w:sz w:val="32"/>
          <w:szCs w:val="32"/>
          <w14:textFill>
            <w14:solidFill>
              <w14:schemeClr w14:val="tx1"/>
            </w14:solidFill>
          </w14:textFill>
        </w:rPr>
        <w:t>单位在提供公共服务过程中，不断优化服务流程，提高服务质量，得到了</w:t>
      </w:r>
      <w:r>
        <w:rPr>
          <w:rFonts w:hint="eastAsia" w:ascii="仿宋" w:hAnsi="仿宋" w:eastAsia="仿宋" w:cs="仿宋"/>
          <w:color w:val="000000" w:themeColor="text1"/>
          <w:sz w:val="32"/>
          <w:szCs w:val="32"/>
          <w:lang w:eastAsia="zh-CN"/>
          <w14:textFill>
            <w14:solidFill>
              <w14:schemeClr w14:val="tx1"/>
            </w14:solidFill>
          </w14:textFill>
        </w:rPr>
        <w:t>师生、家长和社会</w:t>
      </w:r>
      <w:r>
        <w:rPr>
          <w:rFonts w:hint="eastAsia" w:ascii="仿宋" w:hAnsi="仿宋" w:eastAsia="仿宋" w:cs="仿宋"/>
          <w:color w:val="000000" w:themeColor="text1"/>
          <w:sz w:val="32"/>
          <w:szCs w:val="32"/>
          <w14:textFill>
            <w14:solidFill>
              <w14:schemeClr w14:val="tx1"/>
            </w14:solidFill>
          </w14:textFill>
        </w:rPr>
        <w:t>广泛好评，提升了单位的声誉。</w:t>
      </w:r>
    </w:p>
    <w:p>
      <w:p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5、</w:t>
      </w:r>
      <w:r>
        <w:rPr>
          <w:rFonts w:hint="eastAsia" w:ascii="仿宋" w:hAnsi="仿宋" w:eastAsia="仿宋" w:cs="仿宋"/>
          <w:color w:val="000000" w:themeColor="text1"/>
          <w:sz w:val="32"/>
          <w:szCs w:val="32"/>
          <w14:textFill>
            <w14:solidFill>
              <w14:schemeClr w14:val="tx1"/>
            </w14:solidFill>
          </w14:textFill>
        </w:rPr>
        <w:t>预算风险控制得当：</w:t>
      </w:r>
      <w:r>
        <w:rPr>
          <w:rFonts w:hint="eastAsia" w:ascii="仿宋" w:hAnsi="仿宋" w:eastAsia="仿宋" w:cs="仿宋"/>
          <w:color w:val="000000" w:themeColor="text1"/>
          <w:sz w:val="32"/>
          <w:szCs w:val="32"/>
          <w:lang w:eastAsia="zh-CN"/>
          <w14:textFill>
            <w14:solidFill>
              <w14:schemeClr w14:val="tx1"/>
            </w14:solidFill>
          </w14:textFill>
        </w:rPr>
        <w:t>本</w:t>
      </w:r>
      <w:r>
        <w:rPr>
          <w:rFonts w:hint="eastAsia" w:ascii="仿宋" w:hAnsi="仿宋" w:eastAsia="仿宋" w:cs="仿宋"/>
          <w:color w:val="000000" w:themeColor="text1"/>
          <w:sz w:val="32"/>
          <w:szCs w:val="32"/>
          <w14:textFill>
            <w14:solidFill>
              <w14:schemeClr w14:val="tx1"/>
            </w14:solidFill>
          </w14:textFill>
        </w:rPr>
        <w:t>单位在预算执行过程中，注重风险防范和控制，及时识别和应对潜在风险，确保了预算目标的顺利实现。</w:t>
      </w:r>
    </w:p>
    <w:p>
      <w:p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6、</w:t>
      </w:r>
      <w:r>
        <w:rPr>
          <w:rFonts w:hint="eastAsia" w:ascii="仿宋" w:hAnsi="仿宋" w:eastAsia="仿宋" w:cs="仿宋"/>
          <w:color w:val="000000" w:themeColor="text1"/>
          <w:sz w:val="32"/>
          <w:szCs w:val="32"/>
          <w14:textFill>
            <w14:solidFill>
              <w14:schemeClr w14:val="tx1"/>
            </w14:solidFill>
          </w14:textFill>
        </w:rPr>
        <w:t>创新能力较强：</w:t>
      </w:r>
      <w:r>
        <w:rPr>
          <w:rFonts w:hint="eastAsia" w:ascii="仿宋" w:hAnsi="仿宋" w:eastAsia="仿宋" w:cs="仿宋"/>
          <w:color w:val="000000" w:themeColor="text1"/>
          <w:sz w:val="32"/>
          <w:szCs w:val="32"/>
          <w:lang w:eastAsia="zh-CN"/>
          <w14:textFill>
            <w14:solidFill>
              <w14:schemeClr w14:val="tx1"/>
            </w14:solidFill>
          </w14:textFill>
        </w:rPr>
        <w:t>本</w:t>
      </w:r>
      <w:r>
        <w:rPr>
          <w:rFonts w:hint="eastAsia" w:ascii="仿宋" w:hAnsi="仿宋" w:eastAsia="仿宋" w:cs="仿宋"/>
          <w:color w:val="000000" w:themeColor="text1"/>
          <w:sz w:val="32"/>
          <w:szCs w:val="32"/>
          <w14:textFill>
            <w14:solidFill>
              <w14:schemeClr w14:val="tx1"/>
            </w14:solidFill>
          </w14:textFill>
        </w:rPr>
        <w:t>单位在预算执行过程中，积极探索创新，运用新技术、新方法提高预算管理水平，为提高预算绩效做出了积极贡献。</w:t>
      </w:r>
    </w:p>
    <w:p>
      <w:p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7、</w:t>
      </w:r>
      <w:r>
        <w:rPr>
          <w:rFonts w:hint="eastAsia" w:ascii="仿宋" w:hAnsi="仿宋" w:eastAsia="仿宋" w:cs="仿宋"/>
          <w:color w:val="000000" w:themeColor="text1"/>
          <w:sz w:val="32"/>
          <w:szCs w:val="32"/>
          <w14:textFill>
            <w14:solidFill>
              <w14:schemeClr w14:val="tx1"/>
            </w14:solidFill>
          </w14:textFill>
        </w:rPr>
        <w:t>预算沟通与协调能力突出：</w:t>
      </w:r>
      <w:r>
        <w:rPr>
          <w:rFonts w:hint="eastAsia" w:ascii="仿宋" w:hAnsi="仿宋" w:eastAsia="仿宋" w:cs="仿宋"/>
          <w:color w:val="000000" w:themeColor="text1"/>
          <w:sz w:val="32"/>
          <w:szCs w:val="32"/>
          <w:lang w:eastAsia="zh-CN"/>
          <w14:textFill>
            <w14:solidFill>
              <w14:schemeClr w14:val="tx1"/>
            </w14:solidFill>
          </w14:textFill>
        </w:rPr>
        <w:t>本</w:t>
      </w:r>
      <w:r>
        <w:rPr>
          <w:rFonts w:hint="eastAsia" w:ascii="仿宋" w:hAnsi="仿宋" w:eastAsia="仿宋" w:cs="仿宋"/>
          <w:color w:val="000000" w:themeColor="text1"/>
          <w:sz w:val="32"/>
          <w:szCs w:val="32"/>
          <w14:textFill>
            <w14:solidFill>
              <w14:schemeClr w14:val="tx1"/>
            </w14:solidFill>
          </w14:textFill>
        </w:rPr>
        <w:t>单位在预算执行过程中，注重与相关部门和单位的沟通与协调，形成了良好的工作合力，为预算绩效评价创造了有利条件。</w:t>
      </w:r>
    </w:p>
    <w:p>
      <w:p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8、</w:t>
      </w:r>
      <w:r>
        <w:rPr>
          <w:rFonts w:hint="eastAsia" w:ascii="仿宋" w:hAnsi="仿宋" w:eastAsia="仿宋" w:cs="仿宋"/>
          <w:color w:val="000000" w:themeColor="text1"/>
          <w:sz w:val="32"/>
          <w:szCs w:val="32"/>
          <w14:textFill>
            <w14:solidFill>
              <w14:schemeClr w14:val="tx1"/>
            </w14:solidFill>
          </w14:textFill>
        </w:rPr>
        <w:t>预算绩效评价体系完善：</w:t>
      </w:r>
      <w:r>
        <w:rPr>
          <w:rFonts w:hint="eastAsia" w:ascii="仿宋" w:hAnsi="仿宋" w:eastAsia="仿宋" w:cs="仿宋"/>
          <w:color w:val="000000" w:themeColor="text1"/>
          <w:sz w:val="32"/>
          <w:szCs w:val="32"/>
          <w:lang w:eastAsia="zh-CN"/>
          <w14:textFill>
            <w14:solidFill>
              <w14:schemeClr w14:val="tx1"/>
            </w14:solidFill>
          </w14:textFill>
        </w:rPr>
        <w:t>本</w:t>
      </w:r>
      <w:r>
        <w:rPr>
          <w:rFonts w:hint="eastAsia" w:ascii="仿宋" w:hAnsi="仿宋" w:eastAsia="仿宋" w:cs="仿宋"/>
          <w:color w:val="000000" w:themeColor="text1"/>
          <w:sz w:val="32"/>
          <w:szCs w:val="32"/>
          <w14:textFill>
            <w14:solidFill>
              <w14:schemeClr w14:val="tx1"/>
            </w14:solidFill>
          </w14:textFill>
        </w:rPr>
        <w:t>单位在预算绩效评价方面，建立了完善的评价体系和方法，为提高预算管理水平和预算绩效提供了有力支持。</w:t>
      </w:r>
    </w:p>
    <w:p>
      <w:pPr>
        <w:ind w:firstLine="640" w:firstLineChars="200"/>
        <w:jc w:val="left"/>
        <w:rPr>
          <w:rFonts w:hint="eastAsia" w:ascii="仿宋" w:hAnsi="仿宋" w:eastAsia="仿宋" w:cs="仿宋"/>
          <w:color w:val="000000" w:themeColor="text1"/>
          <w:sz w:val="32"/>
          <w:szCs w:val="32"/>
          <w:lang w:eastAsia="zh-CN"/>
          <w14:textFill>
            <w14:solidFill>
              <w14:schemeClr w14:val="tx1"/>
            </w14:solidFill>
          </w14:textFill>
        </w:rPr>
      </w:pPr>
      <w:r>
        <w:rPr>
          <w:rFonts w:hint="eastAsia" w:ascii="华文仿宋" w:hAnsi="华文仿宋" w:eastAsia="华文仿宋" w:cs="华文仿宋"/>
          <w:color w:val="auto"/>
          <w:kern w:val="0"/>
          <w:sz w:val="32"/>
          <w:szCs w:val="32"/>
          <w:lang w:val="en-US" w:eastAsia="zh-CN"/>
        </w:rPr>
        <w:t>本单位不是预算绩效评价试点单位。</w:t>
      </w:r>
      <w:r>
        <w:rPr>
          <w:rFonts w:hint="eastAsia" w:ascii="仿宋" w:hAnsi="仿宋" w:eastAsia="仿宋" w:cs="仿宋"/>
          <w:color w:val="000000" w:themeColor="text1"/>
          <w:sz w:val="32"/>
          <w:szCs w:val="32"/>
          <w14:textFill>
            <w14:solidFill>
              <w14:schemeClr w14:val="tx1"/>
            </w14:solidFill>
          </w14:textFill>
        </w:rPr>
        <w:t>组织对</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个部门（单位）开展整体支出绩效评价试点，涉及一般公共预算支出</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万元，政府性基金预算支出</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万元</w:t>
      </w:r>
      <w:r>
        <w:rPr>
          <w:rFonts w:hint="eastAsia" w:ascii="仿宋" w:hAnsi="仿宋" w:eastAsia="仿宋" w:cs="仿宋"/>
          <w:color w:val="000000" w:themeColor="text1"/>
          <w:sz w:val="32"/>
          <w:szCs w:val="32"/>
          <w:lang w:eastAsia="zh-CN"/>
          <w14:textFill>
            <w14:solidFill>
              <w14:schemeClr w14:val="tx1"/>
            </w14:solidFill>
          </w14:textFill>
        </w:rPr>
        <w:t>。</w:t>
      </w:r>
    </w:p>
    <w:p>
      <w:pPr>
        <w:ind w:firstLine="640" w:firstLineChars="200"/>
        <w:jc w:val="left"/>
        <w:rPr>
          <w:rFonts w:hint="eastAsia" w:ascii="仿宋" w:hAnsi="仿宋" w:eastAsia="仿宋" w:cs="仿宋"/>
          <w:color w:val="FF0000"/>
          <w:sz w:val="32"/>
          <w:szCs w:val="32"/>
        </w:rPr>
      </w:pPr>
      <w:r>
        <w:rPr>
          <w:rFonts w:hint="eastAsia" w:ascii="仿宋" w:hAnsi="仿宋" w:eastAsia="仿宋" w:cs="仿宋"/>
          <w:color w:val="000000" w:themeColor="text1"/>
          <w:sz w:val="32"/>
          <w:szCs w:val="32"/>
          <w14:textFill>
            <w14:solidFill>
              <w14:schemeClr w14:val="tx1"/>
            </w14:solidFill>
          </w14:textFill>
        </w:rPr>
        <w:t>2.部门决算中项目绩效自评结果</w:t>
      </w:r>
    </w:p>
    <w:p>
      <w:pPr>
        <w:ind w:firstLine="640" w:firstLineChars="200"/>
        <w:jc w:val="left"/>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我部门根据年初设定的绩效目标，</w:t>
      </w:r>
      <w:r>
        <w:rPr>
          <w:rFonts w:hint="eastAsia" w:ascii="仿宋" w:hAnsi="仿宋" w:eastAsia="仿宋" w:cs="仿宋"/>
          <w:color w:val="000000" w:themeColor="text1"/>
          <w:sz w:val="32"/>
          <w:szCs w:val="32"/>
          <w:lang w:val="en-US" w:eastAsia="zh-CN"/>
          <w14:textFill>
            <w14:solidFill>
              <w14:schemeClr w14:val="tx1"/>
            </w14:solidFill>
          </w14:textFill>
        </w:rPr>
        <w:t>2022年度我单位，绩效自评项目总共有28个，</w:t>
      </w:r>
      <w:r>
        <w:rPr>
          <w:rFonts w:hint="eastAsia" w:ascii="仿宋" w:hAnsi="仿宋" w:eastAsia="仿宋" w:cs="仿宋"/>
          <w:color w:val="000000" w:themeColor="text1"/>
          <w:sz w:val="32"/>
          <w:szCs w:val="32"/>
          <w14:textFill>
            <w14:solidFill>
              <w14:schemeClr w14:val="tx1"/>
            </w14:solidFill>
          </w14:textFill>
        </w:rPr>
        <w:t>现代职业教育质量提升计划经费项目</w:t>
      </w:r>
      <w:r>
        <w:rPr>
          <w:rFonts w:hint="eastAsia" w:ascii="仿宋" w:hAnsi="仿宋" w:eastAsia="仿宋" w:cs="仿宋"/>
          <w:color w:val="000000" w:themeColor="text1"/>
          <w:sz w:val="32"/>
          <w:szCs w:val="32"/>
          <w:lang w:eastAsia="zh-CN"/>
          <w14:textFill>
            <w14:solidFill>
              <w14:schemeClr w14:val="tx1"/>
            </w14:solidFill>
          </w14:textFill>
        </w:rPr>
        <w:t>等</w:t>
      </w:r>
      <w:r>
        <w:rPr>
          <w:rFonts w:hint="eastAsia" w:ascii="仿宋" w:hAnsi="仿宋" w:eastAsia="仿宋" w:cs="仿宋"/>
          <w:color w:val="000000" w:themeColor="text1"/>
          <w:sz w:val="32"/>
          <w:szCs w:val="32"/>
          <w:lang w:val="en-US" w:eastAsia="zh-CN"/>
          <w14:textFill>
            <w14:solidFill>
              <w14:schemeClr w14:val="tx1"/>
            </w14:solidFill>
          </w14:textFill>
        </w:rPr>
        <w:t>15个</w:t>
      </w:r>
      <w:r>
        <w:rPr>
          <w:rFonts w:hint="eastAsia" w:ascii="仿宋" w:hAnsi="仿宋" w:eastAsia="仿宋" w:cs="仿宋"/>
          <w:color w:val="000000" w:themeColor="text1"/>
          <w:sz w:val="32"/>
          <w:szCs w:val="32"/>
          <w14:textFill>
            <w14:solidFill>
              <w14:schemeClr w14:val="tx1"/>
            </w14:solidFill>
          </w14:textFill>
        </w:rPr>
        <w:t>自评得分为</w:t>
      </w:r>
      <w:r>
        <w:rPr>
          <w:rFonts w:hint="eastAsia" w:ascii="仿宋" w:hAnsi="仿宋" w:eastAsia="仿宋" w:cs="仿宋"/>
          <w:color w:val="000000" w:themeColor="text1"/>
          <w:sz w:val="32"/>
          <w:szCs w:val="32"/>
          <w:lang w:val="en-US" w:eastAsia="zh-CN"/>
          <w14:textFill>
            <w14:solidFill>
              <w14:schemeClr w14:val="tx1"/>
            </w14:solidFill>
          </w14:textFill>
        </w:rPr>
        <w:t>100</w:t>
      </w:r>
      <w:r>
        <w:rPr>
          <w:rFonts w:hint="eastAsia" w:ascii="仿宋" w:hAnsi="仿宋" w:eastAsia="仿宋" w:cs="仿宋"/>
          <w:color w:val="000000" w:themeColor="text1"/>
          <w:sz w:val="32"/>
          <w:szCs w:val="32"/>
          <w14:textFill>
            <w14:solidFill>
              <w14:schemeClr w14:val="tx1"/>
            </w14:solidFill>
          </w14:textFill>
        </w:rPr>
        <w:t>分</w:t>
      </w:r>
      <w:r>
        <w:rPr>
          <w:rFonts w:hint="eastAsia" w:ascii="仿宋" w:hAnsi="仿宋" w:eastAsia="仿宋" w:cs="仿宋"/>
          <w:color w:val="000000" w:themeColor="text1"/>
          <w:sz w:val="32"/>
          <w:szCs w:val="32"/>
          <w:lang w:eastAsia="zh-CN"/>
          <w14:textFill>
            <w14:solidFill>
              <w14:schemeClr w14:val="tx1"/>
            </w14:solidFill>
          </w14:textFill>
        </w:rPr>
        <w:t>，中等职业教育免学费补助资金等</w:t>
      </w:r>
      <w:r>
        <w:rPr>
          <w:rFonts w:hint="eastAsia" w:ascii="仿宋" w:hAnsi="仿宋" w:eastAsia="仿宋" w:cs="仿宋"/>
          <w:color w:val="000000" w:themeColor="text1"/>
          <w:sz w:val="32"/>
          <w:szCs w:val="32"/>
          <w:lang w:val="en-US" w:eastAsia="zh-CN"/>
          <w14:textFill>
            <w14:solidFill>
              <w14:schemeClr w14:val="tx1"/>
            </w14:solidFill>
          </w14:textFill>
        </w:rPr>
        <w:t>8个项目</w:t>
      </w:r>
      <w:r>
        <w:rPr>
          <w:rFonts w:hint="eastAsia" w:ascii="仿宋" w:hAnsi="仿宋" w:eastAsia="仿宋" w:cs="仿宋"/>
          <w:color w:val="000000" w:themeColor="text1"/>
          <w:sz w:val="32"/>
          <w:szCs w:val="32"/>
          <w14:textFill>
            <w14:solidFill>
              <w14:schemeClr w14:val="tx1"/>
            </w14:solidFill>
          </w14:textFill>
        </w:rPr>
        <w:t>自评得分为</w:t>
      </w:r>
      <w:r>
        <w:rPr>
          <w:rFonts w:hint="eastAsia" w:ascii="仿宋" w:hAnsi="仿宋" w:eastAsia="仿宋" w:cs="仿宋"/>
          <w:color w:val="000000" w:themeColor="text1"/>
          <w:sz w:val="32"/>
          <w:szCs w:val="32"/>
          <w:lang w:val="en-US" w:eastAsia="zh-CN"/>
          <w14:textFill>
            <w14:solidFill>
              <w14:schemeClr w14:val="tx1"/>
            </w14:solidFill>
          </w14:textFill>
        </w:rPr>
        <w:t>90—99分，中等职业学校生均公用经费等5个项目</w:t>
      </w:r>
      <w:r>
        <w:rPr>
          <w:rFonts w:hint="eastAsia" w:ascii="仿宋" w:hAnsi="仿宋" w:eastAsia="仿宋" w:cs="仿宋"/>
          <w:color w:val="000000" w:themeColor="text1"/>
          <w:sz w:val="32"/>
          <w:szCs w:val="32"/>
          <w14:textFill>
            <w14:solidFill>
              <w14:schemeClr w14:val="tx1"/>
            </w14:solidFill>
          </w14:textFill>
        </w:rPr>
        <w:t>自评得分为</w:t>
      </w:r>
      <w:r>
        <w:rPr>
          <w:rFonts w:hint="eastAsia" w:ascii="仿宋" w:hAnsi="仿宋" w:eastAsia="仿宋" w:cs="仿宋"/>
          <w:color w:val="000000" w:themeColor="text1"/>
          <w:sz w:val="32"/>
          <w:szCs w:val="32"/>
          <w:lang w:val="en-US" w:eastAsia="zh-CN"/>
          <w14:textFill>
            <w14:solidFill>
              <w14:schemeClr w14:val="tx1"/>
            </w14:solidFill>
          </w14:textFill>
        </w:rPr>
        <w:t>80—89分，后附自评表。</w:t>
      </w:r>
    </w:p>
    <w:p>
      <w:p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发现的主要问题及原因：</w:t>
      </w:r>
    </w:p>
    <w:p>
      <w:p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目标设定不明确：在绩效自评过程中，发现</w:t>
      </w:r>
      <w:r>
        <w:rPr>
          <w:rFonts w:hint="eastAsia" w:ascii="仿宋" w:hAnsi="仿宋" w:eastAsia="仿宋" w:cs="仿宋"/>
          <w:color w:val="000000" w:themeColor="text1"/>
          <w:sz w:val="32"/>
          <w:szCs w:val="32"/>
          <w:lang w:eastAsia="zh-CN"/>
          <w14:textFill>
            <w14:solidFill>
              <w14:schemeClr w14:val="tx1"/>
            </w14:solidFill>
          </w14:textFill>
        </w:rPr>
        <w:t>一些</w:t>
      </w:r>
      <w:r>
        <w:rPr>
          <w:rFonts w:hint="eastAsia" w:ascii="仿宋" w:hAnsi="仿宋" w:eastAsia="仿宋" w:cs="仿宋"/>
          <w:color w:val="000000" w:themeColor="text1"/>
          <w:sz w:val="32"/>
          <w:szCs w:val="32"/>
          <w14:textFill>
            <w14:solidFill>
              <w14:schemeClr w14:val="tx1"/>
            </w14:solidFill>
          </w14:textFill>
        </w:rPr>
        <w:t>目标设定不够明确，导致工作重点和方向不清晰。原因是目标制定时沟通不足，或者目标过于宽泛、笼统。</w:t>
      </w:r>
    </w:p>
    <w:p>
      <w:p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工作计划不合理：在执行</w:t>
      </w:r>
      <w:r>
        <w:rPr>
          <w:rFonts w:hint="eastAsia" w:ascii="仿宋" w:hAnsi="仿宋" w:eastAsia="仿宋" w:cs="仿宋"/>
          <w:color w:val="000000" w:themeColor="text1"/>
          <w:sz w:val="32"/>
          <w:szCs w:val="32"/>
          <w:lang w:eastAsia="zh-CN"/>
          <w14:textFill>
            <w14:solidFill>
              <w14:schemeClr w14:val="tx1"/>
            </w14:solidFill>
          </w14:textFill>
        </w:rPr>
        <w:t>预算绩效时</w:t>
      </w:r>
      <w:r>
        <w:rPr>
          <w:rFonts w:hint="eastAsia" w:ascii="仿宋" w:hAnsi="仿宋" w:eastAsia="仿宋" w:cs="仿宋"/>
          <w:color w:val="000000" w:themeColor="text1"/>
          <w:sz w:val="32"/>
          <w:szCs w:val="32"/>
          <w14:textFill>
            <w14:solidFill>
              <w14:schemeClr w14:val="tx1"/>
            </w14:solidFill>
          </w14:textFill>
        </w:rPr>
        <w:t>时，发现自己的工作计划不合理，导致工作效率低下。原因是计划制定时没有充分考虑实际情况，或者计划过于严格、缺乏灵活性。</w:t>
      </w:r>
    </w:p>
    <w:p>
      <w:p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14:textFill>
            <w14:solidFill>
              <w14:schemeClr w14:val="tx1"/>
            </w14:solidFill>
          </w14:textFill>
        </w:rPr>
        <w:t>时间管理不佳：在绩效自评过程中，发现自己的时间管理能力有待提高，导致工作进度滞后。原因是没有合理安排工作时间，或者容易受到干扰、分心。</w:t>
      </w:r>
    </w:p>
    <w:p>
      <w:p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4、</w:t>
      </w:r>
      <w:r>
        <w:rPr>
          <w:rFonts w:hint="eastAsia" w:ascii="仿宋" w:hAnsi="仿宋" w:eastAsia="仿宋" w:cs="仿宋"/>
          <w:color w:val="000000" w:themeColor="text1"/>
          <w:sz w:val="32"/>
          <w:szCs w:val="32"/>
          <w14:textFill>
            <w14:solidFill>
              <w14:schemeClr w14:val="tx1"/>
            </w14:solidFill>
          </w14:textFill>
        </w:rPr>
        <w:t>技能不足：在完成</w:t>
      </w:r>
      <w:r>
        <w:rPr>
          <w:rFonts w:hint="eastAsia" w:ascii="仿宋" w:hAnsi="仿宋" w:eastAsia="仿宋" w:cs="仿宋"/>
          <w:color w:val="000000" w:themeColor="text1"/>
          <w:sz w:val="32"/>
          <w:szCs w:val="32"/>
          <w:lang w:eastAsia="zh-CN"/>
          <w14:textFill>
            <w14:solidFill>
              <w14:schemeClr w14:val="tx1"/>
            </w14:solidFill>
          </w14:textFill>
        </w:rPr>
        <w:t>预算绩效</w:t>
      </w:r>
      <w:r>
        <w:rPr>
          <w:rFonts w:hint="eastAsia" w:ascii="仿宋" w:hAnsi="仿宋" w:eastAsia="仿宋" w:cs="仿宋"/>
          <w:color w:val="000000" w:themeColor="text1"/>
          <w:sz w:val="32"/>
          <w:szCs w:val="32"/>
          <w14:textFill>
            <w14:solidFill>
              <w14:schemeClr w14:val="tx1"/>
            </w14:solidFill>
          </w14:textFill>
        </w:rPr>
        <w:t>任务时，发现自己的技能不足，导致工作质量不高。原因可能是没有及时学习和提升自己的技能，或者缺乏实践经验。</w:t>
      </w:r>
    </w:p>
    <w:p>
      <w:p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5、</w:t>
      </w:r>
      <w:r>
        <w:rPr>
          <w:rFonts w:hint="eastAsia" w:ascii="仿宋" w:hAnsi="仿宋" w:eastAsia="仿宋" w:cs="仿宋"/>
          <w:color w:val="000000" w:themeColor="text1"/>
          <w:sz w:val="32"/>
          <w:szCs w:val="32"/>
          <w14:textFill>
            <w14:solidFill>
              <w14:schemeClr w14:val="tx1"/>
            </w14:solidFill>
          </w14:textFill>
        </w:rPr>
        <w:t>沟通协作能力差：在绩效自评过程中，可能会发现自己的沟通协作能力有待提高，导致工作效果不佳。原因是沟通能力不强，或者缺乏团队合作精神。</w:t>
      </w:r>
    </w:p>
    <w:p>
      <w:p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6、</w:t>
      </w:r>
      <w:r>
        <w:rPr>
          <w:rFonts w:hint="eastAsia" w:ascii="仿宋" w:hAnsi="仿宋" w:eastAsia="仿宋" w:cs="仿宋"/>
          <w:color w:val="000000" w:themeColor="text1"/>
          <w:sz w:val="32"/>
          <w:szCs w:val="32"/>
          <w14:textFill>
            <w14:solidFill>
              <w14:schemeClr w14:val="tx1"/>
            </w14:solidFill>
          </w14:textFill>
        </w:rPr>
        <w:t>自我激励不足：在完成</w:t>
      </w:r>
      <w:r>
        <w:rPr>
          <w:rFonts w:hint="eastAsia" w:ascii="仿宋" w:hAnsi="仿宋" w:eastAsia="仿宋" w:cs="仿宋"/>
          <w:color w:val="000000" w:themeColor="text1"/>
          <w:sz w:val="32"/>
          <w:szCs w:val="32"/>
          <w:lang w:eastAsia="zh-CN"/>
          <w14:textFill>
            <w14:solidFill>
              <w14:schemeClr w14:val="tx1"/>
            </w14:solidFill>
          </w14:textFill>
        </w:rPr>
        <w:t>预算绩效</w:t>
      </w:r>
      <w:r>
        <w:rPr>
          <w:rFonts w:hint="eastAsia" w:ascii="仿宋" w:hAnsi="仿宋" w:eastAsia="仿宋" w:cs="仿宋"/>
          <w:color w:val="000000" w:themeColor="text1"/>
          <w:sz w:val="32"/>
          <w:szCs w:val="32"/>
          <w14:textFill>
            <w14:solidFill>
              <w14:schemeClr w14:val="tx1"/>
            </w14:solidFill>
          </w14:textFill>
        </w:rPr>
        <w:t>时，发现自己的自我激励能力不足，导致工作积极性不高。原因是缺乏明确的职业规划和发展目标，或者对工作缺乏热情和动力。</w:t>
      </w:r>
    </w:p>
    <w:p>
      <w:p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7、</w:t>
      </w:r>
      <w:r>
        <w:rPr>
          <w:rFonts w:hint="eastAsia" w:ascii="仿宋" w:hAnsi="仿宋" w:eastAsia="仿宋" w:cs="仿宋"/>
          <w:color w:val="000000" w:themeColor="text1"/>
          <w:sz w:val="32"/>
          <w:szCs w:val="32"/>
          <w14:textFill>
            <w14:solidFill>
              <w14:schemeClr w14:val="tx1"/>
            </w14:solidFill>
          </w14:textFill>
        </w:rPr>
        <w:t>反馈与改进不及时：在绩效自评过程中，发现自己在反馈和改进方面做得不够及时，导致问题无法及时发现和解决。原因是缺乏有效的反馈机制，或者对自身问题的认识不够深刻。</w:t>
      </w:r>
    </w:p>
    <w:p>
      <w:p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8、</w:t>
      </w:r>
      <w:r>
        <w:rPr>
          <w:rFonts w:hint="eastAsia" w:ascii="仿宋" w:hAnsi="仿宋" w:eastAsia="仿宋" w:cs="仿宋"/>
          <w:color w:val="000000" w:themeColor="text1"/>
          <w:sz w:val="32"/>
          <w:szCs w:val="32"/>
          <w14:textFill>
            <w14:solidFill>
              <w14:schemeClr w14:val="tx1"/>
            </w14:solidFill>
          </w14:textFill>
        </w:rPr>
        <w:t>工作压力过大：在完成</w:t>
      </w:r>
      <w:r>
        <w:rPr>
          <w:rFonts w:hint="eastAsia" w:ascii="仿宋" w:hAnsi="仿宋" w:eastAsia="仿宋" w:cs="仿宋"/>
          <w:color w:val="000000" w:themeColor="text1"/>
          <w:sz w:val="32"/>
          <w:szCs w:val="32"/>
          <w:lang w:eastAsia="zh-CN"/>
          <w14:textFill>
            <w14:solidFill>
              <w14:schemeClr w14:val="tx1"/>
            </w14:solidFill>
          </w14:textFill>
        </w:rPr>
        <w:t>预算绩效</w:t>
      </w:r>
      <w:r>
        <w:rPr>
          <w:rFonts w:hint="eastAsia" w:ascii="仿宋" w:hAnsi="仿宋" w:eastAsia="仿宋" w:cs="仿宋"/>
          <w:color w:val="000000" w:themeColor="text1"/>
          <w:sz w:val="32"/>
          <w:szCs w:val="32"/>
          <w14:textFill>
            <w14:solidFill>
              <w14:schemeClr w14:val="tx1"/>
            </w14:solidFill>
          </w14:textFill>
        </w:rPr>
        <w:t>时，可能会发现自己承受的工作压力过大，导致工作效率降低。原因是工作量过大，或者工作环境不佳。</w:t>
      </w:r>
    </w:p>
    <w:p>
      <w:p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下一步改进措施：</w:t>
      </w:r>
    </w:p>
    <w:p>
      <w:p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明确目标和责任：确保每个部门和</w:t>
      </w:r>
      <w:r>
        <w:rPr>
          <w:rFonts w:hint="eastAsia" w:ascii="仿宋" w:hAnsi="仿宋" w:eastAsia="仿宋" w:cs="仿宋"/>
          <w:color w:val="000000" w:themeColor="text1"/>
          <w:sz w:val="32"/>
          <w:szCs w:val="32"/>
          <w:lang w:eastAsia="zh-CN"/>
          <w14:textFill>
            <w14:solidFill>
              <w14:schemeClr w14:val="tx1"/>
            </w14:solidFill>
          </w14:textFill>
        </w:rPr>
        <w:t>部门人员</w:t>
      </w:r>
      <w:r>
        <w:rPr>
          <w:rFonts w:hint="eastAsia" w:ascii="仿宋" w:hAnsi="仿宋" w:eastAsia="仿宋" w:cs="仿宋"/>
          <w:color w:val="000000" w:themeColor="text1"/>
          <w:sz w:val="32"/>
          <w:szCs w:val="32"/>
          <w14:textFill>
            <w14:solidFill>
              <w14:schemeClr w14:val="tx1"/>
            </w14:solidFill>
          </w14:textFill>
        </w:rPr>
        <w:t>都清楚自己的预算目标和责任，以便更好地实现绩效目标。</w:t>
      </w:r>
    </w:p>
    <w:p>
      <w:p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加强预算编制和执行过程的监督：加强对预算编制和执行过程的监督，确保预算的合理性和有效性。</w:t>
      </w:r>
    </w:p>
    <w:p>
      <w:p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14:textFill>
            <w14:solidFill>
              <w14:schemeClr w14:val="tx1"/>
            </w14:solidFill>
          </w14:textFill>
        </w:rPr>
        <w:t>提高预算编制的准确性：通过加强数据分析和预测，提高预算编制的准确性，以便更好地指导实际工作。</w:t>
      </w:r>
    </w:p>
    <w:p>
      <w:p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4、</w:t>
      </w:r>
      <w:r>
        <w:rPr>
          <w:rFonts w:hint="eastAsia" w:ascii="仿宋" w:hAnsi="仿宋" w:eastAsia="仿宋" w:cs="仿宋"/>
          <w:color w:val="000000" w:themeColor="text1"/>
          <w:sz w:val="32"/>
          <w:szCs w:val="32"/>
          <w14:textFill>
            <w14:solidFill>
              <w14:schemeClr w14:val="tx1"/>
            </w14:solidFill>
          </w14:textFill>
        </w:rPr>
        <w:t>建立绩效考核体系：建立科学、合理的绩效考核体系，将预算绩效与</w:t>
      </w:r>
      <w:r>
        <w:rPr>
          <w:rFonts w:hint="eastAsia" w:ascii="仿宋" w:hAnsi="仿宋" w:eastAsia="仿宋" w:cs="仿宋"/>
          <w:color w:val="000000" w:themeColor="text1"/>
          <w:sz w:val="32"/>
          <w:szCs w:val="32"/>
          <w:lang w:eastAsia="zh-CN"/>
          <w14:textFill>
            <w14:solidFill>
              <w14:schemeClr w14:val="tx1"/>
            </w14:solidFill>
          </w14:textFill>
        </w:rPr>
        <w:t>项目负责人</w:t>
      </w:r>
      <w:r>
        <w:rPr>
          <w:rFonts w:hint="eastAsia" w:ascii="仿宋" w:hAnsi="仿宋" w:eastAsia="仿宋" w:cs="仿宋"/>
          <w:color w:val="000000" w:themeColor="text1"/>
          <w:sz w:val="32"/>
          <w:szCs w:val="32"/>
          <w14:textFill>
            <w14:solidFill>
              <w14:schemeClr w14:val="tx1"/>
            </w14:solidFill>
          </w14:textFill>
        </w:rPr>
        <w:t>的奖惩挂钩，激励</w:t>
      </w:r>
      <w:r>
        <w:rPr>
          <w:rFonts w:hint="eastAsia" w:ascii="仿宋" w:hAnsi="仿宋" w:eastAsia="仿宋" w:cs="仿宋"/>
          <w:color w:val="000000" w:themeColor="text1"/>
          <w:sz w:val="32"/>
          <w:szCs w:val="32"/>
          <w:lang w:eastAsia="zh-CN"/>
          <w14:textFill>
            <w14:solidFill>
              <w14:schemeClr w14:val="tx1"/>
            </w14:solidFill>
          </w14:textFill>
        </w:rPr>
        <w:t>项目负责人</w:t>
      </w:r>
      <w:r>
        <w:rPr>
          <w:rFonts w:hint="eastAsia" w:ascii="仿宋" w:hAnsi="仿宋" w:eastAsia="仿宋" w:cs="仿宋"/>
          <w:color w:val="000000" w:themeColor="text1"/>
          <w:sz w:val="32"/>
          <w:szCs w:val="32"/>
          <w14:textFill>
            <w14:solidFill>
              <w14:schemeClr w14:val="tx1"/>
            </w14:solidFill>
          </w14:textFill>
        </w:rPr>
        <w:t>提高工作效率。</w:t>
      </w:r>
    </w:p>
    <w:p>
      <w:p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5、</w:t>
      </w:r>
      <w:r>
        <w:rPr>
          <w:rFonts w:hint="eastAsia" w:ascii="仿宋" w:hAnsi="仿宋" w:eastAsia="仿宋" w:cs="仿宋"/>
          <w:color w:val="000000" w:themeColor="text1"/>
          <w:sz w:val="32"/>
          <w:szCs w:val="32"/>
          <w14:textFill>
            <w14:solidFill>
              <w14:schemeClr w14:val="tx1"/>
            </w14:solidFill>
          </w14:textFill>
        </w:rPr>
        <w:t>加强培训和沟通：加强</w:t>
      </w:r>
      <w:r>
        <w:rPr>
          <w:rFonts w:hint="eastAsia" w:ascii="仿宋" w:hAnsi="仿宋" w:eastAsia="仿宋" w:cs="仿宋"/>
          <w:color w:val="000000" w:themeColor="text1"/>
          <w:sz w:val="32"/>
          <w:szCs w:val="32"/>
          <w:lang w:eastAsia="zh-CN"/>
          <w14:textFill>
            <w14:solidFill>
              <w14:schemeClr w14:val="tx1"/>
            </w14:solidFill>
          </w14:textFill>
        </w:rPr>
        <w:t>教职工</w:t>
      </w:r>
      <w:r>
        <w:rPr>
          <w:rFonts w:hint="eastAsia" w:ascii="仿宋" w:hAnsi="仿宋" w:eastAsia="仿宋" w:cs="仿宋"/>
          <w:color w:val="000000" w:themeColor="text1"/>
          <w:sz w:val="32"/>
          <w:szCs w:val="32"/>
          <w14:textFill>
            <w14:solidFill>
              <w14:schemeClr w14:val="tx1"/>
            </w14:solidFill>
          </w14:textFill>
        </w:rPr>
        <w:t>培训，提高</w:t>
      </w:r>
      <w:r>
        <w:rPr>
          <w:rFonts w:hint="eastAsia" w:ascii="仿宋" w:hAnsi="仿宋" w:eastAsia="仿宋" w:cs="仿宋"/>
          <w:color w:val="000000" w:themeColor="text1"/>
          <w:sz w:val="32"/>
          <w:szCs w:val="32"/>
          <w:lang w:eastAsia="zh-CN"/>
          <w14:textFill>
            <w14:solidFill>
              <w14:schemeClr w14:val="tx1"/>
            </w14:solidFill>
          </w14:textFill>
        </w:rPr>
        <w:t>项目负责人</w:t>
      </w:r>
      <w:r>
        <w:rPr>
          <w:rFonts w:hint="eastAsia" w:ascii="仿宋" w:hAnsi="仿宋" w:eastAsia="仿宋" w:cs="仿宋"/>
          <w:color w:val="000000" w:themeColor="text1"/>
          <w:sz w:val="32"/>
          <w:szCs w:val="32"/>
          <w14:textFill>
            <w14:solidFill>
              <w14:schemeClr w14:val="tx1"/>
            </w14:solidFill>
          </w14:textFill>
        </w:rPr>
        <w:t>的业务能力和预算管理水平；加强部门之间的沟通，确保预算信息的及时传递和共享。</w:t>
      </w:r>
    </w:p>
    <w:p>
      <w:p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6、</w:t>
      </w:r>
      <w:r>
        <w:rPr>
          <w:rFonts w:hint="eastAsia" w:ascii="仿宋" w:hAnsi="仿宋" w:eastAsia="仿宋" w:cs="仿宋"/>
          <w:color w:val="000000" w:themeColor="text1"/>
          <w:sz w:val="32"/>
          <w:szCs w:val="32"/>
          <w14:textFill>
            <w14:solidFill>
              <w14:schemeClr w14:val="tx1"/>
            </w14:solidFill>
          </w14:textFill>
        </w:rPr>
        <w:t>定期评估和调整预算：定期对预算进行评估和调整，确保预算与实际情况相适应，提高预算执行效果。</w:t>
      </w:r>
    </w:p>
    <w:p>
      <w:p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7、</w:t>
      </w:r>
      <w:r>
        <w:rPr>
          <w:rFonts w:hint="eastAsia" w:ascii="仿宋" w:hAnsi="仿宋" w:eastAsia="仿宋" w:cs="仿宋"/>
          <w:color w:val="000000" w:themeColor="text1"/>
          <w:sz w:val="32"/>
          <w:szCs w:val="32"/>
          <w14:textFill>
            <w14:solidFill>
              <w14:schemeClr w14:val="tx1"/>
            </w14:solidFill>
          </w14:textFill>
        </w:rPr>
        <w:t>强化风险管理：加强对预算风险的识别、评估和控制，降低预算执行过程中的风险。</w:t>
      </w:r>
    </w:p>
    <w:p>
      <w:p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8、</w:t>
      </w:r>
      <w:r>
        <w:rPr>
          <w:rFonts w:hint="eastAsia" w:ascii="仿宋" w:hAnsi="仿宋" w:eastAsia="仿宋" w:cs="仿宋"/>
          <w:color w:val="000000" w:themeColor="text1"/>
          <w:sz w:val="32"/>
          <w:szCs w:val="32"/>
          <w14:textFill>
            <w14:solidFill>
              <w14:schemeClr w14:val="tx1"/>
            </w14:solidFill>
          </w14:textFill>
        </w:rPr>
        <w:t>优化资源配置：合理配置资源，确保预算资金的有效利用，提高单位整体绩效。</w:t>
      </w:r>
    </w:p>
    <w:p>
      <w:p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9、</w:t>
      </w:r>
      <w:r>
        <w:rPr>
          <w:rFonts w:hint="eastAsia" w:ascii="仿宋" w:hAnsi="仿宋" w:eastAsia="仿宋" w:cs="仿宋"/>
          <w:color w:val="000000" w:themeColor="text1"/>
          <w:sz w:val="32"/>
          <w:szCs w:val="32"/>
          <w14:textFill>
            <w14:solidFill>
              <w14:schemeClr w14:val="tx1"/>
            </w14:solidFill>
          </w14:textFill>
        </w:rPr>
        <w:t>引入信息技术支持：利用信息技术手段，提高预算管理的效率和准确性，为预算绩效改进提供技术支持。</w:t>
      </w:r>
    </w:p>
    <w:p>
      <w:p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10、</w:t>
      </w:r>
      <w:r>
        <w:rPr>
          <w:rFonts w:hint="eastAsia" w:ascii="仿宋" w:hAnsi="仿宋" w:eastAsia="仿宋" w:cs="仿宋"/>
          <w:color w:val="000000" w:themeColor="text1"/>
          <w:sz w:val="32"/>
          <w:szCs w:val="32"/>
          <w14:textFill>
            <w14:solidFill>
              <w14:schemeClr w14:val="tx1"/>
            </w14:solidFill>
          </w14:textFill>
        </w:rPr>
        <w:t>建立激励机制：建立与预算绩效挂钩的激励机制，鼓励</w:t>
      </w:r>
      <w:r>
        <w:rPr>
          <w:rFonts w:hint="eastAsia" w:ascii="仿宋" w:hAnsi="仿宋" w:eastAsia="仿宋" w:cs="仿宋"/>
          <w:color w:val="000000" w:themeColor="text1"/>
          <w:sz w:val="32"/>
          <w:szCs w:val="32"/>
          <w:lang w:eastAsia="zh-CN"/>
          <w14:textFill>
            <w14:solidFill>
              <w14:schemeClr w14:val="tx1"/>
            </w14:solidFill>
          </w14:textFill>
        </w:rPr>
        <w:t>教职工</w:t>
      </w:r>
      <w:r>
        <w:rPr>
          <w:rFonts w:hint="eastAsia" w:ascii="仿宋" w:hAnsi="仿宋" w:eastAsia="仿宋" w:cs="仿宋"/>
          <w:color w:val="000000" w:themeColor="text1"/>
          <w:sz w:val="32"/>
          <w:szCs w:val="32"/>
          <w14:textFill>
            <w14:solidFill>
              <w14:schemeClr w14:val="tx1"/>
            </w14:solidFill>
          </w14:textFill>
        </w:rPr>
        <w:t>积极参与预算管理工作，提高预算绩效。</w:t>
      </w:r>
    </w:p>
    <w:p>
      <w:pPr>
        <w:jc w:val="left"/>
        <w:rPr>
          <w:rFonts w:hint="eastAsia" w:ascii="仿宋" w:hAnsi="仿宋" w:eastAsia="仿宋" w:cs="仿宋"/>
          <w:sz w:val="32"/>
          <w:szCs w:val="32"/>
          <w:highlight w:val="none"/>
        </w:rPr>
      </w:pPr>
    </w:p>
    <w:p>
      <w:pPr>
        <w:jc w:val="center"/>
        <w:rPr>
          <w:rFonts w:ascii="黑体" w:hAnsi="黑体" w:eastAsia="黑体" w:cs="黑体"/>
          <w:sz w:val="32"/>
          <w:szCs w:val="32"/>
          <w:highlight w:val="none"/>
        </w:rPr>
      </w:pPr>
      <w:r>
        <w:rPr>
          <w:rFonts w:hint="eastAsia" w:ascii="黑体" w:hAnsi="黑体" w:eastAsia="黑体" w:cs="黑体"/>
          <w:sz w:val="32"/>
          <w:szCs w:val="32"/>
          <w:highlight w:val="none"/>
        </w:rPr>
        <w:t>第四部分  名词解释</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一、财政拨款收入：指</w:t>
      </w:r>
      <w:r>
        <w:rPr>
          <w:rFonts w:ascii="仿宋" w:hAnsi="仿宋" w:eastAsia="仿宋" w:cs="仿宋"/>
          <w:sz w:val="32"/>
          <w:u w:color="auto"/>
        </w:rPr>
        <w:t>环江毛南族自治县财政部门当年拨付的资金。</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二、事业收入：指事业单位开展专业业务活动及辅助活动所取得的收入。</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三、经营收入：指事业单位在专业业务活动及其辅助活动之外开展非独立核算经营活动取得的收入。</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四、其他收入：指除上述“财政拨款收入”“事业收入”“经营收入”等以外的收入。</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五、用事业基金弥补收支差额指事业单位在当年的“财政拨款收入”“事业收入”“经营收入”“其他收入”不足以安排当年支出的情况下，使用非财政拨款结余弥补本年度收支缺口的资金。 </w:t>
      </w:r>
    </w:p>
    <w:p>
      <w:pPr>
        <w:ind w:firstLine="640" w:firstLineChars="200"/>
        <w:jc w:val="left"/>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六、年初结转和结余：指以前年度尚未完成、结转到本年 按有关规定继续使用的资金</w:t>
      </w:r>
      <w:r>
        <w:rPr>
          <w:rFonts w:hint="eastAsia" w:ascii="仿宋" w:hAnsi="仿宋" w:eastAsia="仿宋" w:cs="仿宋"/>
          <w:sz w:val="32"/>
          <w:szCs w:val="32"/>
          <w:highlight w:val="none"/>
          <w:lang w:eastAsia="zh-CN"/>
        </w:rPr>
        <w:t>。</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七、结余分配：指事业单位按规定提取的职工福利基金、事业基金和缴纳的所得税，以及建设单位按规定应交回的基本建设竣工项目结余资金。 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八、年末结转和结余：指本年度或以前年度预算安排、因客观条件发生变化无法按原计划实施，需要延迟到以后年度按有关规定继续使用的资金。 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九、基本支出：指为保障机构正常运转、完成日常工作任务而发生的人员支出和公用支出。 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十、项目支出：指在基本支出之外为完成特定行政任务和事业发展目标所发生的支出。 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十一、经营支出：指事业单位在专业业务活动及其辅助活动之外开展非独立核算经营活动发生的支出。</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十二、“三公”经费：纳入</w:t>
      </w:r>
      <w:r>
        <w:rPr>
          <w:rFonts w:ascii="仿宋" w:hAnsi="仿宋" w:eastAsia="仿宋" w:cs="仿宋"/>
          <w:sz w:val="32"/>
          <w:u w:color="auto"/>
        </w:rPr>
        <w:t>环江毛南族自治县财政预决算管理的“三公”经费，是指环江毛南族自治县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decorative"/>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F86D39"/>
    <w:multiLevelType w:val="singleLevel"/>
    <w:tmpl w:val="9BF86D39"/>
    <w:lvl w:ilvl="0" w:tentative="0">
      <w:start w:val="1"/>
      <w:numFmt w:val="chineseCounting"/>
      <w:suff w:val="nothing"/>
      <w:lvlText w:val="（%1）"/>
      <w:lvlJc w:val="left"/>
      <w:pPr>
        <w:ind w:left="0" w:firstLine="420"/>
      </w:pPr>
      <w:rPr>
        <w:rFonts w:hint="eastAsia"/>
        <w:color w:val="auto"/>
        <w:sz w:val="32"/>
        <w:szCs w:val="32"/>
      </w:rPr>
    </w:lvl>
  </w:abstractNum>
  <w:abstractNum w:abstractNumId="1">
    <w:nsid w:val="DB743884"/>
    <w:multiLevelType w:val="singleLevel"/>
    <w:tmpl w:val="DB743884"/>
    <w:lvl w:ilvl="0" w:tentative="0">
      <w:start w:val="1"/>
      <w:numFmt w:val="chineseCounting"/>
      <w:suff w:val="nothing"/>
      <w:lvlText w:val="（%1）"/>
      <w:lvlJc w:val="left"/>
      <w:pPr>
        <w:ind w:left="0" w:firstLine="420"/>
      </w:pPr>
      <w:rPr>
        <w:rFonts w:hint="eastAsia"/>
        <w:color w:val="auto"/>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U1MWUwNGE2MmIxYzE1NzJhOGRlZmRlMDUzN2NjOWQifQ=="/>
  </w:docVars>
  <w:rsids>
    <w:rsidRoot w:val="637D7558"/>
    <w:rsid w:val="00002C84"/>
    <w:rsid w:val="00022149"/>
    <w:rsid w:val="00047F6C"/>
    <w:rsid w:val="00093C26"/>
    <w:rsid w:val="00094B91"/>
    <w:rsid w:val="000B06D8"/>
    <w:rsid w:val="000E5855"/>
    <w:rsid w:val="001418A5"/>
    <w:rsid w:val="00147D40"/>
    <w:rsid w:val="00156EF2"/>
    <w:rsid w:val="001D7B97"/>
    <w:rsid w:val="00210E20"/>
    <w:rsid w:val="00223F38"/>
    <w:rsid w:val="00233613"/>
    <w:rsid w:val="00254DBE"/>
    <w:rsid w:val="00275CAB"/>
    <w:rsid w:val="0028709C"/>
    <w:rsid w:val="0029328F"/>
    <w:rsid w:val="002B2731"/>
    <w:rsid w:val="00382867"/>
    <w:rsid w:val="003A4973"/>
    <w:rsid w:val="003C1C96"/>
    <w:rsid w:val="003C69F8"/>
    <w:rsid w:val="003E40BA"/>
    <w:rsid w:val="003E7165"/>
    <w:rsid w:val="0041579D"/>
    <w:rsid w:val="00427074"/>
    <w:rsid w:val="00434D04"/>
    <w:rsid w:val="004C4D73"/>
    <w:rsid w:val="004D7D0E"/>
    <w:rsid w:val="005234F5"/>
    <w:rsid w:val="00531745"/>
    <w:rsid w:val="00574196"/>
    <w:rsid w:val="006123AD"/>
    <w:rsid w:val="00645B83"/>
    <w:rsid w:val="0066173C"/>
    <w:rsid w:val="006D677A"/>
    <w:rsid w:val="007640BB"/>
    <w:rsid w:val="00771953"/>
    <w:rsid w:val="00776E0B"/>
    <w:rsid w:val="007A0641"/>
    <w:rsid w:val="007C52E7"/>
    <w:rsid w:val="007C54EA"/>
    <w:rsid w:val="007C776D"/>
    <w:rsid w:val="007D7CE3"/>
    <w:rsid w:val="007E2F6C"/>
    <w:rsid w:val="00817C69"/>
    <w:rsid w:val="00823A94"/>
    <w:rsid w:val="00824151"/>
    <w:rsid w:val="008315A9"/>
    <w:rsid w:val="00834354"/>
    <w:rsid w:val="008F1B95"/>
    <w:rsid w:val="008F4AE2"/>
    <w:rsid w:val="008F6882"/>
    <w:rsid w:val="00934C72"/>
    <w:rsid w:val="00946CCF"/>
    <w:rsid w:val="0097721B"/>
    <w:rsid w:val="009831F8"/>
    <w:rsid w:val="009B3E00"/>
    <w:rsid w:val="009D1667"/>
    <w:rsid w:val="00A07CCE"/>
    <w:rsid w:val="00A27624"/>
    <w:rsid w:val="00A358E6"/>
    <w:rsid w:val="00AA78EE"/>
    <w:rsid w:val="00AB53E1"/>
    <w:rsid w:val="00AE5F66"/>
    <w:rsid w:val="00B07A0B"/>
    <w:rsid w:val="00B22F28"/>
    <w:rsid w:val="00B37453"/>
    <w:rsid w:val="00B45479"/>
    <w:rsid w:val="00B60171"/>
    <w:rsid w:val="00B837AC"/>
    <w:rsid w:val="00BB4FB8"/>
    <w:rsid w:val="00BD315D"/>
    <w:rsid w:val="00C3279E"/>
    <w:rsid w:val="00C34857"/>
    <w:rsid w:val="00CA2E26"/>
    <w:rsid w:val="00D00918"/>
    <w:rsid w:val="00D14326"/>
    <w:rsid w:val="00D772CC"/>
    <w:rsid w:val="00D84F30"/>
    <w:rsid w:val="00D878A6"/>
    <w:rsid w:val="00DE74BD"/>
    <w:rsid w:val="00DE7D07"/>
    <w:rsid w:val="00EB7822"/>
    <w:rsid w:val="00EC50A9"/>
    <w:rsid w:val="00ED04DB"/>
    <w:rsid w:val="00F21455"/>
    <w:rsid w:val="00F5354B"/>
    <w:rsid w:val="00F95135"/>
    <w:rsid w:val="00F9658C"/>
    <w:rsid w:val="00F978FD"/>
    <w:rsid w:val="00FA738E"/>
    <w:rsid w:val="00FC438B"/>
    <w:rsid w:val="01234E98"/>
    <w:rsid w:val="015F1951"/>
    <w:rsid w:val="01BF5575"/>
    <w:rsid w:val="020C171D"/>
    <w:rsid w:val="0216715F"/>
    <w:rsid w:val="02E0291A"/>
    <w:rsid w:val="02EA149A"/>
    <w:rsid w:val="04E54546"/>
    <w:rsid w:val="054A15F9"/>
    <w:rsid w:val="05992762"/>
    <w:rsid w:val="07B0770E"/>
    <w:rsid w:val="08386081"/>
    <w:rsid w:val="0942143F"/>
    <w:rsid w:val="0D100297"/>
    <w:rsid w:val="0D202B45"/>
    <w:rsid w:val="0D7A2D67"/>
    <w:rsid w:val="0E3B7FF1"/>
    <w:rsid w:val="0F8D4C87"/>
    <w:rsid w:val="10505FAA"/>
    <w:rsid w:val="105C6685"/>
    <w:rsid w:val="105F7E7E"/>
    <w:rsid w:val="11812E78"/>
    <w:rsid w:val="11E56B5B"/>
    <w:rsid w:val="125C77AB"/>
    <w:rsid w:val="14CB726E"/>
    <w:rsid w:val="1674297A"/>
    <w:rsid w:val="16757273"/>
    <w:rsid w:val="17A353B8"/>
    <w:rsid w:val="17E92249"/>
    <w:rsid w:val="1821268E"/>
    <w:rsid w:val="18D304F1"/>
    <w:rsid w:val="19F32577"/>
    <w:rsid w:val="19F45B80"/>
    <w:rsid w:val="1AED3683"/>
    <w:rsid w:val="1B0C078D"/>
    <w:rsid w:val="1B2B31E2"/>
    <w:rsid w:val="1B305137"/>
    <w:rsid w:val="1B4C295A"/>
    <w:rsid w:val="1B973C63"/>
    <w:rsid w:val="1BA1001E"/>
    <w:rsid w:val="1BE834C2"/>
    <w:rsid w:val="1D317259"/>
    <w:rsid w:val="1DB05E6E"/>
    <w:rsid w:val="1E664F5B"/>
    <w:rsid w:val="1EAF4F1C"/>
    <w:rsid w:val="1EB34BE1"/>
    <w:rsid w:val="1F8F36C1"/>
    <w:rsid w:val="215E639F"/>
    <w:rsid w:val="21EC3183"/>
    <w:rsid w:val="225E72CD"/>
    <w:rsid w:val="246E2F77"/>
    <w:rsid w:val="254B4E2B"/>
    <w:rsid w:val="263C68E5"/>
    <w:rsid w:val="268274CE"/>
    <w:rsid w:val="283D7C94"/>
    <w:rsid w:val="28677AEB"/>
    <w:rsid w:val="29480E03"/>
    <w:rsid w:val="2983634D"/>
    <w:rsid w:val="2BB02055"/>
    <w:rsid w:val="2C575A56"/>
    <w:rsid w:val="2CFD3C05"/>
    <w:rsid w:val="2F257714"/>
    <w:rsid w:val="2F2942A2"/>
    <w:rsid w:val="2F3275E5"/>
    <w:rsid w:val="2F7A0DB2"/>
    <w:rsid w:val="3076564F"/>
    <w:rsid w:val="30AA08EF"/>
    <w:rsid w:val="30D23D1C"/>
    <w:rsid w:val="31221CF5"/>
    <w:rsid w:val="31400178"/>
    <w:rsid w:val="31C679AA"/>
    <w:rsid w:val="321E3342"/>
    <w:rsid w:val="3227669B"/>
    <w:rsid w:val="327759C8"/>
    <w:rsid w:val="33185FE3"/>
    <w:rsid w:val="34B32468"/>
    <w:rsid w:val="34EE2E36"/>
    <w:rsid w:val="36463152"/>
    <w:rsid w:val="36777241"/>
    <w:rsid w:val="371E78D5"/>
    <w:rsid w:val="37616C3A"/>
    <w:rsid w:val="38A951DB"/>
    <w:rsid w:val="38B31605"/>
    <w:rsid w:val="39003F4F"/>
    <w:rsid w:val="3B000A3A"/>
    <w:rsid w:val="3B5C320A"/>
    <w:rsid w:val="3B7D2E6E"/>
    <w:rsid w:val="3C07002B"/>
    <w:rsid w:val="3D0D152A"/>
    <w:rsid w:val="3D307C72"/>
    <w:rsid w:val="3DF62756"/>
    <w:rsid w:val="3F1B7587"/>
    <w:rsid w:val="41E57B4F"/>
    <w:rsid w:val="425D1C65"/>
    <w:rsid w:val="432F26F6"/>
    <w:rsid w:val="43880F63"/>
    <w:rsid w:val="43CF6B92"/>
    <w:rsid w:val="441C5A6F"/>
    <w:rsid w:val="44C44FCC"/>
    <w:rsid w:val="44CC7369"/>
    <w:rsid w:val="457F5108"/>
    <w:rsid w:val="46951B6B"/>
    <w:rsid w:val="46C43BD3"/>
    <w:rsid w:val="49A34401"/>
    <w:rsid w:val="4A3E30AB"/>
    <w:rsid w:val="4A803743"/>
    <w:rsid w:val="4AC14DAC"/>
    <w:rsid w:val="4BBB61B2"/>
    <w:rsid w:val="4D154C85"/>
    <w:rsid w:val="4DAD4799"/>
    <w:rsid w:val="4EB35ECE"/>
    <w:rsid w:val="508F4E24"/>
    <w:rsid w:val="51461E90"/>
    <w:rsid w:val="51463753"/>
    <w:rsid w:val="51645EC4"/>
    <w:rsid w:val="52553A93"/>
    <w:rsid w:val="53521F8B"/>
    <w:rsid w:val="53E22F47"/>
    <w:rsid w:val="54522FF8"/>
    <w:rsid w:val="547A122F"/>
    <w:rsid w:val="55450629"/>
    <w:rsid w:val="56692963"/>
    <w:rsid w:val="568B0F48"/>
    <w:rsid w:val="570325FA"/>
    <w:rsid w:val="5786217B"/>
    <w:rsid w:val="583351C4"/>
    <w:rsid w:val="59337A15"/>
    <w:rsid w:val="59810274"/>
    <w:rsid w:val="59B43532"/>
    <w:rsid w:val="5CA96A00"/>
    <w:rsid w:val="5CF730BC"/>
    <w:rsid w:val="5E5F0DCE"/>
    <w:rsid w:val="5FA40A7B"/>
    <w:rsid w:val="5FD56D29"/>
    <w:rsid w:val="5FEC7F3F"/>
    <w:rsid w:val="60F74BC3"/>
    <w:rsid w:val="617D3BF8"/>
    <w:rsid w:val="61841F6A"/>
    <w:rsid w:val="61DE34F3"/>
    <w:rsid w:val="623007A9"/>
    <w:rsid w:val="637D7558"/>
    <w:rsid w:val="644F19AC"/>
    <w:rsid w:val="64F023CA"/>
    <w:rsid w:val="65AA4920"/>
    <w:rsid w:val="65E31D0B"/>
    <w:rsid w:val="67380C66"/>
    <w:rsid w:val="67694F1E"/>
    <w:rsid w:val="69597934"/>
    <w:rsid w:val="6A8B096C"/>
    <w:rsid w:val="6B964DDC"/>
    <w:rsid w:val="6C783074"/>
    <w:rsid w:val="6CFA6A3B"/>
    <w:rsid w:val="6D9E65C6"/>
    <w:rsid w:val="6DA81947"/>
    <w:rsid w:val="6EB66DE2"/>
    <w:rsid w:val="6EBA0956"/>
    <w:rsid w:val="6ED3075F"/>
    <w:rsid w:val="6F2A2D4B"/>
    <w:rsid w:val="6F6C348A"/>
    <w:rsid w:val="6F8A0C1E"/>
    <w:rsid w:val="6F8F0E00"/>
    <w:rsid w:val="703F45D4"/>
    <w:rsid w:val="70763D6E"/>
    <w:rsid w:val="715D6546"/>
    <w:rsid w:val="71BE069E"/>
    <w:rsid w:val="73433EF0"/>
    <w:rsid w:val="73953409"/>
    <w:rsid w:val="73E069A3"/>
    <w:rsid w:val="73F52D10"/>
    <w:rsid w:val="78104AA8"/>
    <w:rsid w:val="78E257C5"/>
    <w:rsid w:val="794B35BE"/>
    <w:rsid w:val="7B0A3A31"/>
    <w:rsid w:val="7B3360ED"/>
    <w:rsid w:val="7BDF037E"/>
    <w:rsid w:val="7BF50948"/>
    <w:rsid w:val="7CE66A78"/>
    <w:rsid w:val="7D23564C"/>
    <w:rsid w:val="7D2F491B"/>
    <w:rsid w:val="7D5E062D"/>
    <w:rsid w:val="7DF76CD8"/>
    <w:rsid w:val="7F695C26"/>
    <w:rsid w:val="7FCF62D3"/>
    <w:rsid w:val="EEF984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Emphasis"/>
    <w:basedOn w:val="7"/>
    <w:qFormat/>
    <w:uiPriority w:val="0"/>
    <w:rPr>
      <w:i/>
    </w:rPr>
  </w:style>
  <w:style w:type="character" w:customStyle="1" w:styleId="9">
    <w:name w:val="页眉 Char"/>
    <w:basedOn w:val="7"/>
    <w:link w:val="4"/>
    <w:qFormat/>
    <w:uiPriority w:val="0"/>
    <w:rPr>
      <w:rFonts w:asciiTheme="minorHAnsi" w:hAnsiTheme="minorHAnsi" w:eastAsiaTheme="minorEastAsia" w:cstheme="minorBidi"/>
      <w:kern w:val="2"/>
      <w:sz w:val="18"/>
      <w:szCs w:val="18"/>
    </w:rPr>
  </w:style>
  <w:style w:type="character" w:customStyle="1" w:styleId="10">
    <w:name w:val="页脚 Char"/>
    <w:basedOn w:val="7"/>
    <w:link w:val="3"/>
    <w:qFormat/>
    <w:uiPriority w:val="0"/>
    <w:rPr>
      <w:rFonts w:asciiTheme="minorHAnsi" w:hAnsiTheme="minorHAnsi" w:eastAsiaTheme="minorEastAsia" w:cstheme="minorBidi"/>
      <w:kern w:val="2"/>
      <w:sz w:val="18"/>
      <w:szCs w:val="18"/>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hart" Target="charts/chart13.xml"/><Relationship Id="rId17" Type="http://schemas.openxmlformats.org/officeDocument/2006/relationships/chart" Target="charts/chart12.xml"/><Relationship Id="rId16" Type="http://schemas.openxmlformats.org/officeDocument/2006/relationships/chart" Target="charts/chart11.xml"/><Relationship Id="rId15" Type="http://schemas.openxmlformats.org/officeDocument/2006/relationships/chart" Target="charts/chart10.xml"/><Relationship Id="rId14" Type="http://schemas.openxmlformats.org/officeDocument/2006/relationships/chart" Target="charts/chart9.xml"/><Relationship Id="rId13" Type="http://schemas.openxmlformats.org/officeDocument/2006/relationships/chart" Target="charts/chart8.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4.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Workbook13.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Workbook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Workbook10.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Workbook12.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5.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7.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8.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9.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8.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9.xml.rels><?xml version="1.0" encoding="UTF-8" standalone="yes"?>
<Relationships xmlns="http://schemas.openxmlformats.org/package/2006/relationships"><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决算收入支出图表</a:t>
            </a:r>
            <a:endParaRPr lang="zh-CN" altLang="en-US"/>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elete val="1"/>
          </c:dLbls>
          <c:cat>
            <c:strRef>
              <c:f>Sheet1!$A$2:$A$3</c:f>
              <c:strCache>
                <c:ptCount val="2"/>
                <c:pt idx="0">
                  <c:v>一般公共预算财政拨款收入</c:v>
                </c:pt>
                <c:pt idx="1">
                  <c:v>事业收入</c:v>
                </c:pt>
              </c:strCache>
            </c:strRef>
          </c:cat>
          <c:val>
            <c:numRef>
              <c:f>Sheet1!$B$2:$B$3</c:f>
              <c:numCache>
                <c:formatCode>General</c:formatCode>
                <c:ptCount val="2"/>
                <c:pt idx="0">
                  <c:v>3511.22</c:v>
                </c:pt>
                <c:pt idx="1">
                  <c:v>71.5</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对个人和家庭的补助</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Sheet1!$A$2:$A$13</c:f>
              <c:numCache>
                <c:formatCode>General</c:formatCode>
                <c:ptCount val="12"/>
                <c:pt idx="0">
                  <c:v>30301</c:v>
                </c:pt>
                <c:pt idx="1">
                  <c:v>30302</c:v>
                </c:pt>
                <c:pt idx="2">
                  <c:v>30303</c:v>
                </c:pt>
                <c:pt idx="3">
                  <c:v>30304</c:v>
                </c:pt>
                <c:pt idx="4">
                  <c:v>30305</c:v>
                </c:pt>
                <c:pt idx="5">
                  <c:v>30306</c:v>
                </c:pt>
                <c:pt idx="6">
                  <c:v>30307</c:v>
                </c:pt>
                <c:pt idx="7">
                  <c:v>30308</c:v>
                </c:pt>
                <c:pt idx="8">
                  <c:v>30309</c:v>
                </c:pt>
                <c:pt idx="9">
                  <c:v>30310</c:v>
                </c:pt>
                <c:pt idx="10">
                  <c:v>30311</c:v>
                </c:pt>
                <c:pt idx="11">
                  <c:v>30399</c:v>
                </c:pt>
              </c:numCache>
            </c:numRef>
          </c:cat>
          <c:val>
            <c:numRef>
              <c:f>Sheet1!$B$2:$B$13</c:f>
              <c:numCache>
                <c:formatCode>General</c:formatCode>
                <c:ptCount val="12"/>
                <c:pt idx="0">
                  <c:v>0</c:v>
                </c:pt>
                <c:pt idx="1">
                  <c:v>0</c:v>
                </c:pt>
                <c:pt idx="2">
                  <c:v>0</c:v>
                </c:pt>
                <c:pt idx="3">
                  <c:v>37.19</c:v>
                </c:pt>
                <c:pt idx="4">
                  <c:v>57.35</c:v>
                </c:pt>
                <c:pt idx="5">
                  <c:v>0</c:v>
                </c:pt>
                <c:pt idx="6">
                  <c:v>0</c:v>
                </c:pt>
                <c:pt idx="7">
                  <c:v>0.2</c:v>
                </c:pt>
                <c:pt idx="8">
                  <c:v>0</c:v>
                </c:pt>
                <c:pt idx="9">
                  <c:v>0</c:v>
                </c:pt>
                <c:pt idx="10">
                  <c:v>0</c:v>
                </c:pt>
                <c:pt idx="11">
                  <c:v>0.1</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债务利息及费用支出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Sheet1!$A$2:$A$3</c:f>
              <c:numCache>
                <c:formatCode>General</c:formatCode>
                <c:ptCount val="2"/>
                <c:pt idx="0">
                  <c:v>30701</c:v>
                </c:pt>
                <c:pt idx="1">
                  <c:v>30702</c:v>
                </c:pt>
              </c:numCache>
            </c:numRef>
          </c:cat>
          <c:val>
            <c:numRef>
              <c:f>Sheet1!$B$2:$B$3</c:f>
              <c:numCache>
                <c:formatCode>General</c:formatCode>
                <c:ptCount val="2"/>
                <c:pt idx="0">
                  <c:v>0</c:v>
                </c:pt>
                <c:pt idx="1">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资本性支出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Sheet1!$A$2:$A$17</c:f>
              <c:numCache>
                <c:formatCode>General</c:formatCode>
                <c:ptCount val="16"/>
                <c:pt idx="0">
                  <c:v>31001</c:v>
                </c:pt>
                <c:pt idx="1">
                  <c:v>31002</c:v>
                </c:pt>
                <c:pt idx="2">
                  <c:v>31003</c:v>
                </c:pt>
                <c:pt idx="3">
                  <c:v>31005</c:v>
                </c:pt>
                <c:pt idx="4">
                  <c:v>31006</c:v>
                </c:pt>
                <c:pt idx="5">
                  <c:v>31007</c:v>
                </c:pt>
                <c:pt idx="6">
                  <c:v>31008</c:v>
                </c:pt>
                <c:pt idx="7">
                  <c:v>31009</c:v>
                </c:pt>
                <c:pt idx="8">
                  <c:v>31010</c:v>
                </c:pt>
                <c:pt idx="9">
                  <c:v>31011</c:v>
                </c:pt>
                <c:pt idx="10">
                  <c:v>31012</c:v>
                </c:pt>
                <c:pt idx="11">
                  <c:v>31013</c:v>
                </c:pt>
                <c:pt idx="12">
                  <c:v>31019</c:v>
                </c:pt>
                <c:pt idx="13">
                  <c:v>31021</c:v>
                </c:pt>
                <c:pt idx="14">
                  <c:v>31022</c:v>
                </c:pt>
                <c:pt idx="15">
                  <c:v>31099</c:v>
                </c:pt>
              </c:numCache>
            </c:numRef>
          </c:cat>
          <c:val>
            <c:numRef>
              <c:f>Sheet1!$B$2:$B$17</c:f>
              <c:numCache>
                <c:formatCode>General</c:formatCode>
                <c:ptCount val="16"/>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其他支出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Sheet1!$A$2:$A$6</c:f>
              <c:numCache>
                <c:formatCode>General</c:formatCode>
                <c:ptCount val="5"/>
                <c:pt idx="0">
                  <c:v>39907</c:v>
                </c:pt>
                <c:pt idx="1">
                  <c:v>39908</c:v>
                </c:pt>
                <c:pt idx="2">
                  <c:v>39909</c:v>
                </c:pt>
                <c:pt idx="3">
                  <c:v>39910</c:v>
                </c:pt>
                <c:pt idx="4">
                  <c:v>39999</c:v>
                </c:pt>
              </c:numCache>
            </c:numRef>
          </c:cat>
          <c:val>
            <c:numRef>
              <c:f>Sheet1!$B$2:$B$6</c:f>
              <c:numCache>
                <c:formatCode>General</c:formatCode>
                <c:ptCount val="5"/>
                <c:pt idx="0">
                  <c:v>0</c:v>
                </c:pt>
                <c:pt idx="1">
                  <c:v>0</c:v>
                </c:pt>
                <c:pt idx="2">
                  <c:v>0</c:v>
                </c:pt>
                <c:pt idx="3">
                  <c:v>0</c:v>
                </c:pt>
                <c:pt idx="4">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支出决算图表</a:t>
            </a:r>
            <a:endParaRPr lang="zh-CN" altLang="en-US"/>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2021年</c:v>
                </c:pt>
              </c:strCache>
            </c:strRef>
          </c:tx>
          <c:spPr>
            <a:solidFill>
              <a:schemeClr val="accent1"/>
            </a:solidFill>
            <a:ln>
              <a:noFill/>
            </a:ln>
            <a:effectLst/>
          </c:spPr>
          <c:invertIfNegative val="0"/>
          <c:dLbls>
            <c:delete val="1"/>
          </c:dLbls>
          <c:cat>
            <c:strRef>
              <c:f>Sheet1!$A$2:$A$6</c:f>
              <c:strCache>
                <c:ptCount val="5"/>
                <c:pt idx="0">
                  <c:v>一般公共服务支出</c:v>
                </c:pt>
                <c:pt idx="1">
                  <c:v>教育支出</c:v>
                </c:pt>
                <c:pt idx="2">
                  <c:v>社会保障和就业支出</c:v>
                </c:pt>
                <c:pt idx="3">
                  <c:v>住房保障支出</c:v>
                </c:pt>
                <c:pt idx="4">
                  <c:v>其他支出</c:v>
                </c:pt>
              </c:strCache>
            </c:strRef>
          </c:cat>
          <c:val>
            <c:numRef>
              <c:f>Sheet1!$B$2:$B$6</c:f>
              <c:numCache>
                <c:formatCode>General</c:formatCode>
                <c:ptCount val="5"/>
                <c:pt idx="0">
                  <c:v>0</c:v>
                </c:pt>
                <c:pt idx="1">
                  <c:v>3046.58</c:v>
                </c:pt>
                <c:pt idx="2">
                  <c:v>237.07</c:v>
                </c:pt>
                <c:pt idx="3">
                  <c:v>61.76</c:v>
                </c:pt>
                <c:pt idx="4">
                  <c:v>205.86</c:v>
                </c:pt>
              </c:numCache>
            </c:numRef>
          </c:val>
        </c:ser>
        <c:ser>
          <c:idx val="1"/>
          <c:order val="1"/>
          <c:tx>
            <c:strRef>
              <c:f>Sheet1!$C$1</c:f>
              <c:strCache>
                <c:ptCount val="1"/>
                <c:pt idx="0">
                  <c:v>2022年</c:v>
                </c:pt>
              </c:strCache>
            </c:strRef>
          </c:tx>
          <c:spPr>
            <a:solidFill>
              <a:schemeClr val="accent2"/>
            </a:solidFill>
            <a:ln>
              <a:noFill/>
            </a:ln>
            <a:effectLst/>
          </c:spPr>
          <c:invertIfNegative val="0"/>
          <c:dLbls>
            <c:delete val="1"/>
          </c:dLbls>
          <c:cat>
            <c:strRef>
              <c:f>Sheet1!$A$2:$A$6</c:f>
              <c:strCache>
                <c:ptCount val="5"/>
                <c:pt idx="0">
                  <c:v>一般公共服务支出</c:v>
                </c:pt>
                <c:pt idx="1">
                  <c:v>教育支出</c:v>
                </c:pt>
                <c:pt idx="2">
                  <c:v>社会保障和就业支出</c:v>
                </c:pt>
                <c:pt idx="3">
                  <c:v>住房保障支出</c:v>
                </c:pt>
                <c:pt idx="4">
                  <c:v>其他支出</c:v>
                </c:pt>
              </c:strCache>
            </c:strRef>
          </c:cat>
          <c:val>
            <c:numRef>
              <c:f>Sheet1!$C$2:$C$6</c:f>
              <c:numCache>
                <c:formatCode>General</c:formatCode>
                <c:ptCount val="5"/>
                <c:pt idx="0">
                  <c:v>32.81</c:v>
                </c:pt>
                <c:pt idx="1">
                  <c:v>2740.26</c:v>
                </c:pt>
                <c:pt idx="2">
                  <c:v>241.55</c:v>
                </c:pt>
                <c:pt idx="3">
                  <c:v>179.89</c:v>
                </c:pt>
                <c:pt idx="4">
                  <c:v>388.21</c:v>
                </c:pt>
              </c:numCache>
            </c:numRef>
          </c:val>
        </c:ser>
        <c:dLbls>
          <c:showLegendKey val="0"/>
          <c:showVal val="0"/>
          <c:showCatName val="0"/>
          <c:showSerName val="0"/>
          <c:showPercent val="0"/>
          <c:showBubbleSize val="0"/>
        </c:dLbls>
        <c:gapWidth val="219"/>
        <c:overlap val="-27"/>
        <c:axId val="-172443552"/>
        <c:axId val="-172442464"/>
      </c:barChart>
      <c:catAx>
        <c:axId val="-17244355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2464"/>
        <c:crosses val="autoZero"/>
        <c:auto val="1"/>
        <c:lblAlgn val="ctr"/>
        <c:lblOffset val="100"/>
        <c:noMultiLvlLbl val="0"/>
      </c:catAx>
      <c:valAx>
        <c:axId val="-1724424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55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一般公共服务支出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2012999</c:v>
                </c:pt>
                <c:pt idx="1">
                  <c:v>201x</c:v>
                </c:pt>
              </c:strCache>
            </c:strRef>
          </c:cat>
          <c:val>
            <c:numRef>
              <c:f>Sheet1!$B$2:$B$3</c:f>
              <c:numCache>
                <c:formatCode>General</c:formatCode>
                <c:ptCount val="2"/>
                <c:pt idx="0">
                  <c:v>32.81</c:v>
                </c:pt>
                <c:pt idx="1">
                  <c:v>32.81</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教育支出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Sheet1!$A$2:$A$6</c:f>
              <c:strCache>
                <c:ptCount val="5"/>
                <c:pt idx="0">
                  <c:v>2050204</c:v>
                </c:pt>
                <c:pt idx="1">
                  <c:v>2050299</c:v>
                </c:pt>
                <c:pt idx="2">
                  <c:v>2050302</c:v>
                </c:pt>
                <c:pt idx="3">
                  <c:v>2050999</c:v>
                </c:pt>
                <c:pt idx="4">
                  <c:v>205x</c:v>
                </c:pt>
              </c:strCache>
            </c:strRef>
          </c:cat>
          <c:val>
            <c:numRef>
              <c:f>Sheet1!$B$2:$B$6</c:f>
              <c:numCache>
                <c:formatCode>General</c:formatCode>
                <c:ptCount val="5"/>
                <c:pt idx="0">
                  <c:v>1688.61</c:v>
                </c:pt>
                <c:pt idx="1">
                  <c:v>276.38</c:v>
                </c:pt>
                <c:pt idx="2">
                  <c:v>697.61</c:v>
                </c:pt>
                <c:pt idx="3">
                  <c:v>6.17</c:v>
                </c:pt>
                <c:pt idx="4">
                  <c:v>2668.76</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社会保障和就业支出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2080505</c:v>
                </c:pt>
                <c:pt idx="1">
                  <c:v>208x</c:v>
                </c:pt>
              </c:strCache>
            </c:strRef>
          </c:cat>
          <c:val>
            <c:numRef>
              <c:f>Sheet1!$B$2:$B$3</c:f>
              <c:numCache>
                <c:formatCode>General</c:formatCode>
                <c:ptCount val="2"/>
                <c:pt idx="0">
                  <c:v>241.55</c:v>
                </c:pt>
                <c:pt idx="1">
                  <c:v>241.55</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住房保障支出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2210201</c:v>
                </c:pt>
                <c:pt idx="1">
                  <c:v>221x</c:v>
                </c:pt>
              </c:strCache>
            </c:strRef>
          </c:cat>
          <c:val>
            <c:numRef>
              <c:f>Sheet1!$B$2:$B$3</c:f>
              <c:numCache>
                <c:formatCode>General</c:formatCode>
                <c:ptCount val="2"/>
                <c:pt idx="0">
                  <c:v>179.89</c:v>
                </c:pt>
                <c:pt idx="1">
                  <c:v>179.89</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其他支出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2299999</c:v>
                </c:pt>
                <c:pt idx="1">
                  <c:v>229x</c:v>
                </c:pt>
              </c:strCache>
            </c:strRef>
          </c:cat>
          <c:val>
            <c:numRef>
              <c:f>Sheet1!$B$2:$B$3</c:f>
              <c:numCache>
                <c:formatCode>General</c:formatCode>
                <c:ptCount val="2"/>
                <c:pt idx="0">
                  <c:v>388.21</c:v>
                </c:pt>
                <c:pt idx="1">
                  <c:v>388.21</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工资福利支出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Sheet1!$A$2:$A$14</c:f>
              <c:numCache>
                <c:formatCode>General</c:formatCode>
                <c:ptCount val="13"/>
                <c:pt idx="0">
                  <c:v>30101</c:v>
                </c:pt>
                <c:pt idx="1">
                  <c:v>30102</c:v>
                </c:pt>
                <c:pt idx="2">
                  <c:v>30103</c:v>
                </c:pt>
                <c:pt idx="3">
                  <c:v>30106</c:v>
                </c:pt>
                <c:pt idx="4">
                  <c:v>30107</c:v>
                </c:pt>
                <c:pt idx="5">
                  <c:v>30108</c:v>
                </c:pt>
                <c:pt idx="6">
                  <c:v>30109</c:v>
                </c:pt>
                <c:pt idx="7">
                  <c:v>30110</c:v>
                </c:pt>
                <c:pt idx="8">
                  <c:v>30111</c:v>
                </c:pt>
                <c:pt idx="9">
                  <c:v>30112</c:v>
                </c:pt>
                <c:pt idx="10">
                  <c:v>30113</c:v>
                </c:pt>
                <c:pt idx="11">
                  <c:v>30114</c:v>
                </c:pt>
                <c:pt idx="12">
                  <c:v>30199</c:v>
                </c:pt>
              </c:numCache>
            </c:numRef>
          </c:cat>
          <c:val>
            <c:numRef>
              <c:f>Sheet1!$B$2:$B$14</c:f>
              <c:numCache>
                <c:formatCode>General</c:formatCode>
                <c:ptCount val="13"/>
                <c:pt idx="0">
                  <c:v>886.53</c:v>
                </c:pt>
                <c:pt idx="1">
                  <c:v>69.28</c:v>
                </c:pt>
                <c:pt idx="2">
                  <c:v>405.52</c:v>
                </c:pt>
                <c:pt idx="3">
                  <c:v>0</c:v>
                </c:pt>
                <c:pt idx="4">
                  <c:v>375.54</c:v>
                </c:pt>
                <c:pt idx="5">
                  <c:v>241.55</c:v>
                </c:pt>
                <c:pt idx="6">
                  <c:v>0</c:v>
                </c:pt>
                <c:pt idx="7">
                  <c:v>114.98</c:v>
                </c:pt>
                <c:pt idx="8">
                  <c:v>0</c:v>
                </c:pt>
                <c:pt idx="9">
                  <c:v>13.58</c:v>
                </c:pt>
                <c:pt idx="10">
                  <c:v>179.89</c:v>
                </c:pt>
                <c:pt idx="11">
                  <c:v>0</c:v>
                </c:pt>
                <c:pt idx="12">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商品和服务支出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Sheet1!$A$2:$A$28</c:f>
              <c:numCache>
                <c:formatCode>General</c:formatCode>
                <c:ptCount val="27"/>
                <c:pt idx="0">
                  <c:v>30201</c:v>
                </c:pt>
                <c:pt idx="1">
                  <c:v>30202</c:v>
                </c:pt>
                <c:pt idx="2">
                  <c:v>30203</c:v>
                </c:pt>
                <c:pt idx="3">
                  <c:v>30204</c:v>
                </c:pt>
                <c:pt idx="4">
                  <c:v>30205</c:v>
                </c:pt>
                <c:pt idx="5">
                  <c:v>30206</c:v>
                </c:pt>
                <c:pt idx="6">
                  <c:v>30207</c:v>
                </c:pt>
                <c:pt idx="7">
                  <c:v>30208</c:v>
                </c:pt>
                <c:pt idx="8">
                  <c:v>30209</c:v>
                </c:pt>
                <c:pt idx="9">
                  <c:v>30211</c:v>
                </c:pt>
                <c:pt idx="10">
                  <c:v>30212</c:v>
                </c:pt>
                <c:pt idx="11">
                  <c:v>30213</c:v>
                </c:pt>
                <c:pt idx="12">
                  <c:v>30214</c:v>
                </c:pt>
                <c:pt idx="13">
                  <c:v>30215</c:v>
                </c:pt>
                <c:pt idx="14">
                  <c:v>30216</c:v>
                </c:pt>
                <c:pt idx="15">
                  <c:v>30217</c:v>
                </c:pt>
                <c:pt idx="16">
                  <c:v>30218</c:v>
                </c:pt>
                <c:pt idx="17">
                  <c:v>30224</c:v>
                </c:pt>
                <c:pt idx="18">
                  <c:v>30225</c:v>
                </c:pt>
                <c:pt idx="19">
                  <c:v>30226</c:v>
                </c:pt>
                <c:pt idx="20">
                  <c:v>30227</c:v>
                </c:pt>
                <c:pt idx="21">
                  <c:v>30228</c:v>
                </c:pt>
                <c:pt idx="22">
                  <c:v>30229</c:v>
                </c:pt>
                <c:pt idx="23">
                  <c:v>30231</c:v>
                </c:pt>
                <c:pt idx="24">
                  <c:v>30239</c:v>
                </c:pt>
                <c:pt idx="25">
                  <c:v>30240</c:v>
                </c:pt>
                <c:pt idx="26">
                  <c:v>30299</c:v>
                </c:pt>
              </c:numCache>
            </c:numRef>
          </c:cat>
          <c:val>
            <c:numRef>
              <c:f>Sheet1!$B$2:$B$28</c:f>
              <c:numCache>
                <c:formatCode>General</c:formatCode>
                <c:ptCount val="27"/>
                <c:pt idx="0">
                  <c:v>1.49</c:v>
                </c:pt>
                <c:pt idx="1">
                  <c:v>0</c:v>
                </c:pt>
                <c:pt idx="2">
                  <c:v>0</c:v>
                </c:pt>
                <c:pt idx="3">
                  <c:v>0</c:v>
                </c:pt>
                <c:pt idx="4">
                  <c:v>4.22</c:v>
                </c:pt>
                <c:pt idx="5">
                  <c:v>0</c:v>
                </c:pt>
                <c:pt idx="6">
                  <c:v>0</c:v>
                </c:pt>
                <c:pt idx="7">
                  <c:v>0</c:v>
                </c:pt>
                <c:pt idx="8">
                  <c:v>0.3</c:v>
                </c:pt>
                <c:pt idx="9">
                  <c:v>0</c:v>
                </c:pt>
                <c:pt idx="10">
                  <c:v>0</c:v>
                </c:pt>
                <c:pt idx="11">
                  <c:v>0.97</c:v>
                </c:pt>
                <c:pt idx="12">
                  <c:v>0</c:v>
                </c:pt>
                <c:pt idx="13">
                  <c:v>0</c:v>
                </c:pt>
                <c:pt idx="14">
                  <c:v>0</c:v>
                </c:pt>
                <c:pt idx="15">
                  <c:v>0</c:v>
                </c:pt>
                <c:pt idx="16">
                  <c:v>0</c:v>
                </c:pt>
                <c:pt idx="17">
                  <c:v>0</c:v>
                </c:pt>
                <c:pt idx="18">
                  <c:v>0</c:v>
                </c:pt>
                <c:pt idx="19">
                  <c:v>0</c:v>
                </c:pt>
                <c:pt idx="20">
                  <c:v>0</c:v>
                </c:pt>
                <c:pt idx="21">
                  <c:v>32.81</c:v>
                </c:pt>
                <c:pt idx="22">
                  <c:v>0</c:v>
                </c:pt>
                <c:pt idx="23">
                  <c:v>0</c:v>
                </c:pt>
                <c:pt idx="24">
                  <c:v>0</c:v>
                </c:pt>
                <c:pt idx="25">
                  <c:v>0</c:v>
                </c:pt>
                <c:pt idx="26">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30</Pages>
  <Words>6615</Words>
  <Characters>13844</Characters>
  <Lines>90</Lines>
  <Paragraphs>25</Paragraphs>
  <TotalTime>5</TotalTime>
  <ScaleCrop>false</ScaleCrop>
  <LinksUpToDate>false</LinksUpToDate>
  <CharactersWithSpaces>13937</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2023-08-17T10:06:00Z</dcterms:created>
  <dc:creator>C D D</dc:creator>
  <cp:lastModifiedBy>Administrator</cp:lastModifiedBy>
  <dcterms:modified xsi:type="dcterms:W3CDTF">2023-11-28T07:45:20Z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8C194C18805A4324961882FA2D352577_13</vt:lpwstr>
  </property>
</Properties>
</file>