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方正小标宋简体" w:hAnsi="方正小标宋简体" w:eastAsia="方正小标宋简体" w:cs="方正小标宋简体"/>
          <w:b w:val="0"/>
          <w:bCs w:val="0"/>
          <w:sz w:val="52"/>
          <w:szCs w:val="52"/>
          <w:highlight w:val="none"/>
        </w:rPr>
      </w:pPr>
      <w:r>
        <w:rPr>
          <w:rFonts w:hint="eastAsia" w:ascii="方正小标宋简体" w:hAnsi="方正小标宋简体" w:eastAsia="方正小标宋简体" w:cs="方正小标宋简体"/>
          <w:b w:val="0"/>
          <w:bCs w:val="0"/>
          <w:sz w:val="52"/>
          <w:szCs w:val="52"/>
          <w:highlight w:val="none"/>
          <w:lang w:val="en-US" w:eastAsia="zh-CN"/>
        </w:rPr>
        <w:t>中共环江毛南族自治县委员会宣传部</w:t>
      </w:r>
      <w:r>
        <w:rPr>
          <w:rFonts w:hint="eastAsia" w:ascii="方正小标宋简体" w:hAnsi="方正小标宋简体" w:eastAsia="方正小标宋简体" w:cs="方正小标宋简体"/>
          <w:b w:val="0"/>
          <w:bCs w:val="0"/>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eastAsia="zh-CN"/>
        </w:rPr>
        <w:t>单位</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单位</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单位</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b/>
          <w:bCs/>
          <w:sz w:val="36"/>
          <w:szCs w:val="36"/>
          <w:highlight w:val="none"/>
        </w:rPr>
        <w:t>第一部分：</w:t>
      </w:r>
      <w:r>
        <w:rPr>
          <w:rFonts w:hint="eastAsia" w:ascii="方正小标宋简体" w:hAnsi="方正小标宋简体" w:eastAsia="方正小标宋简体" w:cs="方正小标宋简体"/>
          <w:b/>
          <w:sz w:val="36"/>
          <w:szCs w:val="36"/>
          <w:u w:color="auto"/>
          <w:lang w:eastAsia="zh-CN"/>
        </w:rPr>
        <w:t>单位</w:t>
      </w:r>
      <w:r>
        <w:rPr>
          <w:rFonts w:hint="eastAsia" w:ascii="方正小标宋简体" w:hAnsi="方正小标宋简体" w:eastAsia="方正小标宋简体" w:cs="方正小标宋简体"/>
          <w:b/>
          <w:bCs/>
          <w:sz w:val="36"/>
          <w:szCs w:val="36"/>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3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（一）负责指导全县理论学习、理论研究、理论宣传和哲学社会科学规划工作，并在理论研究、理论宣传政策等方面实施指导。联系县社科联，并在工作上实施指导。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3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（二）负责对党的路线、方针、政策和上级党委重大决策的宣传及社会宣传工作。引导社会舆论，协调新闻、出版等部门的工作。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3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（三）负责从宏观上指导文化艺术和精神产品生产的管理工作，并在政治方向和方针、政策方面实施指导。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3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四）负责规划、部署全县的宣传思想工作、国防教育以及社会主义精神文明建设工作；督促检查各乡（镇）、各部门贯彻落实中央、自治区党委、市委和自治县党委关于加强和改进未成年人思想道德建设工作情况；组织协调全县各有关部门做好未成年人思想道德建设工作；推荐、宣传先进典型，会同有关部门研究和改进思想政治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3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（五）制订培训规划，并组织对乡镇宣传干部和有关宣传文化系统干部的培训；联系宣传文化系统的知识分子，配合有关部门做好人才培养工作。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3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（六）负责管理、组织、协调、指导全县对外宣传、互联网络新闻宣传和新闻发布工作，负责制订全县对外宣传工作以及互联网络新闻宣传工作政策和工作部署。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3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（七）贯彻宣传文化事业发展的指导方针；指导、协调全县新闻出版广播影视业和宣传文化事业改革和发展工作；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3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（八）负责指导、审查宣传口各专业技术职务的评定工作，负责全县政工专业技术职务的评定。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3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rPr>
        <w:t>（九）负责组织全县重点党报党刊的征订发行工作。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55" w:lineRule="atLeast"/>
        <w:ind w:left="0" w:right="0" w:firstLine="640" w:firstLineChars="200"/>
        <w:rPr>
          <w:rFonts w:hint="eastAsia" w:ascii="仿宋_GB2312" w:hAnsi="仿宋_GB2312" w:eastAsia="仿宋_GB2312" w:cs="仿宋_GB2312"/>
          <w:i w:val="0"/>
          <w:iCs w:val="0"/>
          <w:caps w:val="0"/>
          <w:color w:val="auto"/>
          <w:spacing w:val="0"/>
          <w:sz w:val="32"/>
          <w:szCs w:val="32"/>
          <w:lang w:eastAsia="zh-CN"/>
        </w:rPr>
      </w:pPr>
      <w:r>
        <w:rPr>
          <w:rFonts w:hint="eastAsia" w:ascii="仿宋_GB2312" w:hAnsi="仿宋_GB2312" w:eastAsia="仿宋_GB2312" w:cs="仿宋_GB2312"/>
          <w:i w:val="0"/>
          <w:iCs w:val="0"/>
          <w:caps w:val="0"/>
          <w:color w:val="auto"/>
          <w:spacing w:val="0"/>
          <w:sz w:val="32"/>
          <w:szCs w:val="32"/>
          <w:shd w:val="clear" w:color="auto" w:fill="FFFFFF"/>
        </w:rPr>
        <w:t>（十）承办自治县党委和市委宣传部交办的其他任务</w:t>
      </w:r>
      <w:r>
        <w:rPr>
          <w:rFonts w:hint="eastAsia" w:ascii="仿宋_GB2312" w:hAnsi="仿宋_GB2312" w:eastAsia="仿宋_GB2312" w:cs="仿宋_GB2312"/>
          <w:i w:val="0"/>
          <w:iCs w:val="0"/>
          <w:caps w:val="0"/>
          <w:color w:val="auto"/>
          <w:spacing w:val="0"/>
          <w:sz w:val="32"/>
          <w:szCs w:val="32"/>
          <w:shd w:val="clear" w:color="auto" w:fill="FFFFFF"/>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spacing w:line="560" w:lineRule="exact"/>
        <w:ind w:firstLine="640" w:firstLineChars="20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本单位下设8个股室，</w:t>
      </w:r>
      <w:r>
        <w:rPr>
          <w:rFonts w:hint="eastAsia" w:ascii="仿宋_GB2312" w:hAnsi="仿宋_GB2312" w:eastAsia="仿宋_GB2312" w:cs="仿宋_GB2312"/>
          <w:sz w:val="32"/>
          <w:szCs w:val="32"/>
        </w:rPr>
        <w:t>实有财政供养人数</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val="en-US" w:eastAsia="zh-CN"/>
        </w:rPr>
        <w:t>其中在职在编人员</w:t>
      </w:r>
      <w:r>
        <w:rPr>
          <w:rFonts w:hint="eastAsia" w:ascii="仿宋_GB2312" w:hAnsi="仿宋_GB2312" w:eastAsia="仿宋_GB2312" w:cs="仿宋_GB2312"/>
          <w:sz w:val="32"/>
          <w:szCs w:val="32"/>
        </w:rPr>
        <w:t>总数为</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人，离退休人员</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人（其中离休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另有</w:t>
      </w:r>
      <w:r>
        <w:rPr>
          <w:rFonts w:hint="eastAsia" w:ascii="仿宋_GB2312" w:hAnsi="仿宋_GB2312" w:eastAsia="仿宋_GB2312" w:cs="仿宋_GB2312"/>
          <w:sz w:val="32"/>
          <w:szCs w:val="32"/>
        </w:rPr>
        <w:t>编外</w:t>
      </w:r>
      <w:r>
        <w:rPr>
          <w:rFonts w:hint="eastAsia" w:ascii="仿宋_GB2312" w:hAnsi="仿宋_GB2312" w:eastAsia="仿宋_GB2312" w:cs="仿宋_GB2312"/>
          <w:sz w:val="32"/>
          <w:szCs w:val="32"/>
          <w:lang w:val="en-US" w:eastAsia="zh-CN"/>
        </w:rPr>
        <w:t>在岗6</w:t>
      </w:r>
      <w:r>
        <w:rPr>
          <w:rFonts w:hint="eastAsia" w:ascii="仿宋_GB2312" w:hAnsi="仿宋_GB2312" w:eastAsia="仿宋_GB2312" w:cs="仿宋_GB2312"/>
          <w:sz w:val="32"/>
          <w:szCs w:val="32"/>
        </w:rPr>
        <w:t>人。</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按照部门决算编报要求，单独编制本部门决算。</w:t>
      </w:r>
    </w:p>
    <w:p>
      <w:pPr>
        <w:jc w:val="center"/>
        <w:rPr>
          <w:rFonts w:hint="eastAsia" w:ascii="仿宋_GB2312" w:hAnsi="仿宋_GB2312" w:eastAsia="仿宋_GB2312" w:cs="仿宋_GB2312"/>
          <w:sz w:val="32"/>
          <w:szCs w:val="32"/>
          <w:highlight w:val="none"/>
          <w:lang w:val="en-US" w:eastAsia="zh-CN"/>
        </w:rPr>
      </w:pPr>
    </w:p>
    <w:p>
      <w:pPr>
        <w:jc w:val="center"/>
        <w:rPr>
          <w:rFonts w:hint="eastAsia" w:ascii="仿宋_GB2312" w:hAnsi="仿宋_GB2312" w:eastAsia="仿宋_GB2312" w:cs="仿宋_GB2312"/>
          <w:sz w:val="32"/>
          <w:szCs w:val="32"/>
          <w:highlight w:val="none"/>
          <w:lang w:val="en-US" w:eastAsia="zh-CN"/>
        </w:rPr>
      </w:pPr>
    </w:p>
    <w:p>
      <w:pPr>
        <w:jc w:val="center"/>
        <w:rPr>
          <w:rFonts w:hint="eastAsia" w:ascii="仿宋_GB2312" w:hAnsi="仿宋_GB2312" w:eastAsia="仿宋_GB2312" w:cs="仿宋_GB2312"/>
          <w:sz w:val="32"/>
          <w:szCs w:val="32"/>
          <w:highlight w:val="none"/>
          <w:lang w:val="en-US" w:eastAsia="zh-CN"/>
        </w:rPr>
      </w:pPr>
    </w:p>
    <w:p>
      <w:pPr>
        <w:jc w:val="center"/>
        <w:rPr>
          <w:rFonts w:hint="eastAsia" w:ascii="黑体" w:hAnsi="黑体" w:eastAsia="黑体" w:cs="黑体"/>
          <w:sz w:val="32"/>
          <w:szCs w:val="32"/>
          <w:highlight w:val="none"/>
          <w:lang w:val="en-US" w:eastAsia="zh-CN"/>
        </w:rPr>
        <w:sectPr>
          <w:footerReference r:id="rId5" w:type="default"/>
          <w:pgSz w:w="11906" w:h="16838"/>
          <w:pgMar w:top="1984" w:right="1531" w:bottom="1417" w:left="1531" w:header="851" w:footer="992" w:gutter="0"/>
          <w:pgNumType w:fmt="decimal"/>
          <w:cols w:space="425" w:num="1"/>
          <w:docGrid w:type="lines" w:linePitch="312" w:charSpace="0"/>
        </w:sectPr>
      </w:pPr>
    </w:p>
    <w:p>
      <w:pPr>
        <w:ind w:firstLine="1080" w:firstLineChars="300"/>
        <w:jc w:val="both"/>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第二部分：</w:t>
      </w:r>
      <w:r>
        <w:rPr>
          <w:rFonts w:hint="eastAsia" w:ascii="方正小标宋简体" w:hAnsi="方正小标宋简体" w:eastAsia="方正小标宋简体" w:cs="方正小标宋简体"/>
          <w:sz w:val="36"/>
          <w:szCs w:val="36"/>
          <w:highlight w:val="none"/>
          <w:lang w:val="en-US" w:eastAsia="zh-CN"/>
        </w:rPr>
        <w:t>中共环江毛南族自治县委员会宣传部</w:t>
      </w:r>
      <w:r>
        <w:rPr>
          <w:rFonts w:hint="eastAsia" w:ascii="方正小标宋简体" w:hAnsi="方正小标宋简体" w:eastAsia="方正小标宋简体" w:cs="方正小标宋简体"/>
          <w:sz w:val="36"/>
          <w:szCs w:val="36"/>
          <w:highlight w:val="none"/>
        </w:rPr>
        <w:t>2022年度部门决算报表</w:t>
      </w:r>
    </w:p>
    <w:tbl>
      <w:tblPr>
        <w:tblStyle w:val="6"/>
        <w:tblW w:w="140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890"/>
        <w:gridCol w:w="799"/>
        <w:gridCol w:w="1334"/>
        <w:gridCol w:w="4281"/>
        <w:gridCol w:w="799"/>
        <w:gridCol w:w="19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14070" w:type="dxa"/>
            <w:gridSpan w:val="6"/>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both"/>
              <w:textAlignment w:val="bottom"/>
              <w:rPr>
                <w:rFonts w:hint="eastAsia"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表一：收支决算总表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部门：广西河池市环江毛南族自治县宣传部</w:t>
            </w: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1,121.60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1,124.60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1,124.60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1,124.60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rPr>
          <w:rFonts w:ascii="宋体" w:hAnsi="宋体" w:eastAsia="宋体" w:cs="宋体"/>
          <w:color w:val="000000"/>
          <w:kern w:val="0"/>
          <w:sz w:val="30"/>
          <w:szCs w:val="30"/>
          <w:highlight w:val="none"/>
          <w:lang w:bidi="ar"/>
        </w:rPr>
      </w:pPr>
    </w:p>
    <w:p>
      <w:pPr>
        <w:rPr>
          <w:rFonts w:ascii="宋体" w:hAnsi="宋体" w:eastAsia="宋体" w:cs="宋体"/>
          <w:color w:val="000000"/>
          <w:kern w:val="0"/>
          <w:sz w:val="30"/>
          <w:szCs w:val="30"/>
          <w:highlight w:val="none"/>
          <w:lang w:bidi="ar"/>
        </w:rPr>
      </w:pPr>
    </w:p>
    <w:p>
      <w:pPr>
        <w:rPr>
          <w:rFonts w:ascii="宋体" w:hAnsi="宋体" w:eastAsia="宋体" w:cs="宋体"/>
          <w:color w:val="000000"/>
          <w:kern w:val="0"/>
          <w:sz w:val="30"/>
          <w:szCs w:val="30"/>
          <w:highlight w:val="none"/>
          <w:lang w:bidi="ar"/>
        </w:rPr>
      </w:pPr>
    </w:p>
    <w:p>
      <w:pPr>
        <w:rPr>
          <w:rFonts w:ascii="宋体" w:hAnsi="宋体" w:eastAsia="宋体" w:cs="宋体"/>
          <w:color w:val="000000"/>
          <w:kern w:val="0"/>
          <w:sz w:val="30"/>
          <w:szCs w:val="30"/>
          <w:highlight w:val="none"/>
          <w:lang w:bidi="ar"/>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802"/>
        <w:gridCol w:w="222"/>
        <w:gridCol w:w="222"/>
        <w:gridCol w:w="3745"/>
        <w:gridCol w:w="1053"/>
        <w:gridCol w:w="1053"/>
        <w:gridCol w:w="635"/>
        <w:gridCol w:w="635"/>
        <w:gridCol w:w="635"/>
        <w:gridCol w:w="635"/>
        <w:gridCol w:w="15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both"/>
              <w:textAlignment w:val="bottom"/>
              <w:rPr>
                <w:rFonts w:hint="default" w:ascii="仿宋_GB2312" w:hAnsi="仿宋_GB2312" w:eastAsia="仿宋_GB2312" w:cs="仿宋_GB2312"/>
                <w:i w:val="0"/>
                <w:iCs w:val="0"/>
                <w:color w:val="000000"/>
                <w:kern w:val="0"/>
                <w:sz w:val="24"/>
                <w:szCs w:val="24"/>
                <w:u w:val="none"/>
                <w:lang w:val="en-US" w:eastAsia="zh-CN" w:bidi="ar"/>
              </w:rPr>
            </w:pPr>
            <w:r>
              <w:rPr>
                <w:rFonts w:hint="eastAsia" w:ascii="仿宋_GB2312" w:hAnsi="仿宋_GB2312" w:eastAsia="仿宋_GB2312" w:cs="仿宋_GB2312"/>
                <w:i w:val="0"/>
                <w:iCs w:val="0"/>
                <w:color w:val="000000"/>
                <w:kern w:val="0"/>
                <w:sz w:val="24"/>
                <w:szCs w:val="24"/>
                <w:u w:val="none"/>
                <w:lang w:val="en-US" w:eastAsia="zh-CN" w:bidi="ar"/>
              </w:rPr>
              <w:t>表二：收入决算表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13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2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4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4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1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137"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部门：广西河池市环江毛南族自治县宣传部</w:t>
            </w:r>
          </w:p>
        </w:tc>
        <w:tc>
          <w:tcPr>
            <w:tcW w:w="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2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4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4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1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5"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4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44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29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29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29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29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51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4"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121"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42"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42"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7"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7"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7"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7"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12"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4"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21"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42"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42"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7"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7"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7"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7"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12"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4"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21"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42"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42"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7"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7"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7"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7"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12"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5"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4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4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9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1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415"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1,124.60</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1,124.60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880.01</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880.01</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宣传事务</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875.83</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875.83</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2013301</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510.12</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510.12</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2013399</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365.71</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365.71</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12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132.32</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132.32</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39.32</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39.32</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39.32</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39.32</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20707</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国家电影事业发展专项资金安排的支出</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2070799</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其他国家电影事业发展专项资金支出</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30.26</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30.26</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30.26</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30.26</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30.26</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30.26</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22.81</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22.81</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22.81</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22.81</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22.81</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22.81</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9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w:t>
            </w:r>
          </w:p>
        </w:tc>
        <w:tc>
          <w:tcPr>
            <w:tcW w:w="44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1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rPr>
          <w:rFonts w:hint="eastAsia" w:ascii="仿宋" w:hAnsi="仿宋" w:eastAsia="仿宋" w:cs="仿宋"/>
          <w:sz w:val="24"/>
          <w:highlight w:val="none"/>
        </w:rPr>
      </w:pPr>
      <w:r>
        <w:rPr>
          <w:rFonts w:ascii="仿宋" w:hAnsi="仿宋" w:eastAsia="仿宋" w:cs="仿宋"/>
          <w:sz w:val="24"/>
          <w:highlight w:val="none"/>
        </w:rPr>
        <w:br w:type="page"/>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001"/>
        <w:gridCol w:w="222"/>
        <w:gridCol w:w="222"/>
        <w:gridCol w:w="3942"/>
        <w:gridCol w:w="1100"/>
        <w:gridCol w:w="880"/>
        <w:gridCol w:w="880"/>
        <w:gridCol w:w="658"/>
        <w:gridCol w:w="658"/>
        <w:gridCol w:w="1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0"/>
                <w:sz w:val="30"/>
                <w:szCs w:val="30"/>
                <w:u w:val="none"/>
                <w:lang w:val="en-US" w:eastAsia="zh-CN" w:bidi="ar"/>
              </w:rPr>
            </w:pPr>
            <w:r>
              <w:rPr>
                <w:rFonts w:hint="eastAsia" w:ascii="仿宋" w:hAnsi="仿宋" w:eastAsia="仿宋" w:cs="仿宋"/>
                <w:sz w:val="24"/>
                <w:highlight w:val="none"/>
              </w:rPr>
              <w:t>表三：支出决算表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27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5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4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8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8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2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部门：广西河池市环江毛南族自治县宣传部</w:t>
            </w:r>
          </w:p>
        </w:tc>
        <w:tc>
          <w:tcPr>
            <w:tcW w:w="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25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4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8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8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82"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41"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36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364"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28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28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572"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9"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253"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41"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4"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4"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87"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87"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72"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9"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53"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41"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4"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4"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87"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87"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72"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9"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253"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41"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4"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4"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87"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87"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72"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8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4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36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8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87"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72"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82"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1,124.60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344.14</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780.46</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880.01</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231.87</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648.14</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宣传事务</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875.83</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227.69</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648.14</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2013301</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510.12</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218.14</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291.97</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2013399</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365.71</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9.54</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356.17</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132.32</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132.32</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39.32</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39.32</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39.32</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39.32</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20707</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国家电影事业发展专项资金安排的支出</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2070799</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其他国家电影事业发展专项资金支出</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14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30.26</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30.26</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30.26</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30.26</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30.26</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30.26</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22.81</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22.81</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22.81</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22.81</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08" w:hRule="atLeast"/>
        </w:trPr>
        <w:tc>
          <w:tcPr>
            <w:tcW w:w="14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22.81</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22.81</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429"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12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44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7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p>
      <w:pPr>
        <w:jc w:val="center"/>
        <w:rPr>
          <w:rFonts w:ascii="仿宋" w:hAnsi="仿宋" w:eastAsia="仿宋" w:cs="仿宋"/>
          <w:sz w:val="24"/>
          <w:highlight w:val="none"/>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93"/>
        <w:gridCol w:w="482"/>
        <w:gridCol w:w="1379"/>
        <w:gridCol w:w="3149"/>
        <w:gridCol w:w="482"/>
        <w:gridCol w:w="998"/>
        <w:gridCol w:w="1379"/>
        <w:gridCol w:w="1252"/>
        <w:gridCol w:w="1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9"/>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0"/>
                <w:sz w:val="30"/>
                <w:szCs w:val="30"/>
                <w:u w:val="none"/>
                <w:lang w:val="en-US" w:eastAsia="zh-CN" w:bidi="ar"/>
              </w:rPr>
            </w:pPr>
            <w:r>
              <w:rPr>
                <w:rFonts w:hint="eastAsia" w:ascii="仿宋" w:hAnsi="仿宋" w:eastAsia="仿宋" w:cs="仿宋"/>
                <w:sz w:val="24"/>
                <w:highlight w:val="none"/>
              </w:rPr>
              <w:t>表四：财政拨款收入支出决算总表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21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17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0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3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0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5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44"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210"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部门：广西河池市环江毛南族自治县宣传部</w:t>
            </w:r>
          </w:p>
        </w:tc>
        <w:tc>
          <w:tcPr>
            <w:tcW w:w="17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0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7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3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0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5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44"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87"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     入</w:t>
            </w:r>
          </w:p>
        </w:tc>
        <w:tc>
          <w:tcPr>
            <w:tcW w:w="3112"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2" w:hRule="atLeast"/>
        </w:trPr>
        <w:tc>
          <w:tcPr>
            <w:tcW w:w="1210"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50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1102"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7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330"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50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一般公共预算财政拨款</w:t>
            </w:r>
          </w:p>
        </w:tc>
        <w:tc>
          <w:tcPr>
            <w:tcW w:w="45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政府性基金预算财政拨款</w:t>
            </w:r>
          </w:p>
        </w:tc>
        <w:tc>
          <w:tcPr>
            <w:tcW w:w="54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1210" w:type="pct"/>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1"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6"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102"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71"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30"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6"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7"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44"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3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0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5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44"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1,121.60</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880.01</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880.01</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132.32</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129.32</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30.26</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30.26</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22.81</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22.81</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24</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25</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26</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1,124.60</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1,124.60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1,121.60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年初财政拨款结转和结余</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年末财政拨款结转和结余</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一般公共预算财政拨款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政府性基金预算财政拨款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国有资本经营预算财政拨款</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210"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1,124.60</w:t>
            </w:r>
          </w:p>
        </w:tc>
        <w:tc>
          <w:tcPr>
            <w:tcW w:w="1102"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17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w:t>
            </w:r>
          </w:p>
        </w:tc>
        <w:tc>
          <w:tcPr>
            <w:tcW w:w="3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1,124.60</w:t>
            </w:r>
          </w:p>
        </w:tc>
        <w:tc>
          <w:tcPr>
            <w:tcW w:w="50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1,121.60</w:t>
            </w:r>
          </w:p>
        </w:tc>
        <w:tc>
          <w:tcPr>
            <w:tcW w:w="45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5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455" w:type="pct"/>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注：本表反映部门本年度一般公共预算财政拨款、政府性基金预算财政拨款和国有资本经营预算财政拨款的总收支和年末结转结余情况。</w:t>
            </w:r>
          </w:p>
        </w:tc>
        <w:tc>
          <w:tcPr>
            <w:tcW w:w="544" w:type="pct"/>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r>
    </w:tbl>
    <w:p>
      <w:pPr>
        <w:rPr>
          <w:rFonts w:hint="eastAsia" w:ascii="仿宋" w:hAnsi="仿宋" w:eastAsia="仿宋" w:cs="仿宋"/>
          <w:sz w:val="24"/>
          <w:highlight w:val="none"/>
        </w:rPr>
      </w:pPr>
      <w:r>
        <w:rPr>
          <w:rFonts w:ascii="仿宋" w:hAnsi="仿宋" w:eastAsia="仿宋" w:cs="仿宋"/>
          <w:sz w:val="24"/>
          <w:highlight w:val="none"/>
        </w:rPr>
        <w:br w:type="page"/>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734"/>
        <w:gridCol w:w="261"/>
        <w:gridCol w:w="261"/>
        <w:gridCol w:w="4666"/>
        <w:gridCol w:w="1298"/>
        <w:gridCol w:w="1038"/>
        <w:gridCol w:w="19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宋体" w:hAnsi="宋体" w:eastAsia="宋体" w:cs="宋体"/>
                <w:b/>
                <w:bCs/>
                <w:i w:val="0"/>
                <w:iCs w:val="0"/>
                <w:color w:val="000000"/>
                <w:kern w:val="0"/>
                <w:sz w:val="30"/>
                <w:szCs w:val="30"/>
                <w:u w:val="none"/>
                <w:lang w:val="en-US" w:eastAsia="zh-CN" w:bidi="ar"/>
              </w:rPr>
            </w:pPr>
            <w:r>
              <w:rPr>
                <w:rFonts w:hint="eastAsia" w:ascii="仿宋" w:hAnsi="仿宋" w:eastAsia="仿宋" w:cs="仿宋"/>
                <w:sz w:val="24"/>
                <w:highlight w:val="none"/>
              </w:rPr>
              <w:t>表五：一般公共预算财政拨款支出决算表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67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9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4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5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6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73"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670"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部门：广西河池市环江毛南族自治县宣传部</w:t>
            </w:r>
          </w:p>
        </w:tc>
        <w:tc>
          <w:tcPr>
            <w:tcW w:w="9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9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4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45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6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73"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00"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499"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4"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64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45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366"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67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7" w:hRule="atLeast"/>
        </w:trPr>
        <w:tc>
          <w:tcPr>
            <w:tcW w:w="1854"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45"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8"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6"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73"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4"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45"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458"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6"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73"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00"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45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66"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7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500"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1,121.60</w:t>
            </w:r>
          </w:p>
        </w:tc>
        <w:tc>
          <w:tcPr>
            <w:tcW w:w="3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344.14</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777.46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16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4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880.01</w:t>
            </w:r>
          </w:p>
        </w:tc>
        <w:tc>
          <w:tcPr>
            <w:tcW w:w="3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231.87</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w:t>
            </w:r>
          </w:p>
        </w:tc>
        <w:tc>
          <w:tcPr>
            <w:tcW w:w="16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4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3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2012999</w:t>
            </w:r>
          </w:p>
        </w:tc>
        <w:tc>
          <w:tcPr>
            <w:tcW w:w="16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4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3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w:t>
            </w:r>
          </w:p>
        </w:tc>
        <w:tc>
          <w:tcPr>
            <w:tcW w:w="16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宣传事务</w:t>
            </w:r>
          </w:p>
        </w:tc>
        <w:tc>
          <w:tcPr>
            <w:tcW w:w="4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875.83</w:t>
            </w:r>
          </w:p>
        </w:tc>
        <w:tc>
          <w:tcPr>
            <w:tcW w:w="3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227.69</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648.14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2013301</w:t>
            </w:r>
          </w:p>
        </w:tc>
        <w:tc>
          <w:tcPr>
            <w:tcW w:w="16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4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510.12</w:t>
            </w:r>
          </w:p>
        </w:tc>
        <w:tc>
          <w:tcPr>
            <w:tcW w:w="3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218.14</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2013399</w:t>
            </w:r>
          </w:p>
        </w:tc>
        <w:tc>
          <w:tcPr>
            <w:tcW w:w="16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其他宣传事务支出</w:t>
            </w:r>
          </w:p>
        </w:tc>
        <w:tc>
          <w:tcPr>
            <w:tcW w:w="4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365.71</w:t>
            </w:r>
          </w:p>
        </w:tc>
        <w:tc>
          <w:tcPr>
            <w:tcW w:w="3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9.54</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16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4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129.32</w:t>
            </w:r>
          </w:p>
        </w:tc>
        <w:tc>
          <w:tcPr>
            <w:tcW w:w="3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w:t>
            </w:r>
          </w:p>
        </w:tc>
        <w:tc>
          <w:tcPr>
            <w:tcW w:w="16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文化和旅游</w:t>
            </w:r>
          </w:p>
        </w:tc>
        <w:tc>
          <w:tcPr>
            <w:tcW w:w="4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39.32</w:t>
            </w:r>
          </w:p>
        </w:tc>
        <w:tc>
          <w:tcPr>
            <w:tcW w:w="3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2070199</w:t>
            </w:r>
          </w:p>
        </w:tc>
        <w:tc>
          <w:tcPr>
            <w:tcW w:w="16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其他文化和旅游支出</w:t>
            </w:r>
          </w:p>
        </w:tc>
        <w:tc>
          <w:tcPr>
            <w:tcW w:w="4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39.32</w:t>
            </w:r>
          </w:p>
        </w:tc>
        <w:tc>
          <w:tcPr>
            <w:tcW w:w="3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w:t>
            </w:r>
          </w:p>
        </w:tc>
        <w:tc>
          <w:tcPr>
            <w:tcW w:w="16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其他文化旅游体育与传媒支出</w:t>
            </w:r>
          </w:p>
        </w:tc>
        <w:tc>
          <w:tcPr>
            <w:tcW w:w="4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3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2079999</w:t>
            </w:r>
          </w:p>
        </w:tc>
        <w:tc>
          <w:tcPr>
            <w:tcW w:w="16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其他文化旅游体育与传媒支出</w:t>
            </w:r>
          </w:p>
        </w:tc>
        <w:tc>
          <w:tcPr>
            <w:tcW w:w="4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c>
          <w:tcPr>
            <w:tcW w:w="3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16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4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30.26</w:t>
            </w:r>
          </w:p>
        </w:tc>
        <w:tc>
          <w:tcPr>
            <w:tcW w:w="3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30.26</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16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4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30.26</w:t>
            </w:r>
          </w:p>
        </w:tc>
        <w:tc>
          <w:tcPr>
            <w:tcW w:w="3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30.26</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16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4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30.26</w:t>
            </w:r>
          </w:p>
        </w:tc>
        <w:tc>
          <w:tcPr>
            <w:tcW w:w="3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30.26</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16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4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22.81</w:t>
            </w:r>
          </w:p>
        </w:tc>
        <w:tc>
          <w:tcPr>
            <w:tcW w:w="3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22.81</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16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4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22.81</w:t>
            </w:r>
          </w:p>
        </w:tc>
        <w:tc>
          <w:tcPr>
            <w:tcW w:w="3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22.81</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16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4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22.81</w:t>
            </w:r>
          </w:p>
        </w:tc>
        <w:tc>
          <w:tcPr>
            <w:tcW w:w="3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22.81</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w:t>
            </w:r>
          </w:p>
        </w:tc>
        <w:tc>
          <w:tcPr>
            <w:tcW w:w="16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4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w:t>
            </w:r>
          </w:p>
        </w:tc>
        <w:tc>
          <w:tcPr>
            <w:tcW w:w="3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w:t>
            </w:r>
          </w:p>
        </w:tc>
        <w:tc>
          <w:tcPr>
            <w:tcW w:w="16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4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w:t>
            </w:r>
          </w:p>
        </w:tc>
        <w:tc>
          <w:tcPr>
            <w:tcW w:w="3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85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2299999</w:t>
            </w:r>
          </w:p>
        </w:tc>
        <w:tc>
          <w:tcPr>
            <w:tcW w:w="16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45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w:t>
            </w:r>
          </w:p>
        </w:tc>
        <w:tc>
          <w:tcPr>
            <w:tcW w:w="3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59.21</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000" w:type="pct"/>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注：本表反映部门本年度一般公共预算财政拨款支出情况。</w:t>
            </w:r>
          </w:p>
        </w:tc>
      </w:tr>
    </w:tbl>
    <w:p>
      <w:pPr>
        <w:rPr>
          <w:rFonts w:hint="eastAsia" w:ascii="仿宋" w:hAnsi="仿宋" w:eastAsia="仿宋" w:cs="仿宋"/>
          <w:sz w:val="24"/>
          <w:highlight w:val="none"/>
        </w:rPr>
      </w:pPr>
      <w:r>
        <w:rPr>
          <w:rFonts w:ascii="仿宋" w:hAnsi="仿宋" w:eastAsia="仿宋" w:cs="仿宋"/>
          <w:sz w:val="24"/>
          <w:highlight w:val="none"/>
        </w:rPr>
        <w:br w:type="page"/>
      </w:r>
    </w:p>
    <w:tbl>
      <w:tblPr>
        <w:tblStyle w:val="6"/>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893"/>
        <w:gridCol w:w="2540"/>
        <w:gridCol w:w="681"/>
        <w:gridCol w:w="603"/>
        <w:gridCol w:w="1766"/>
        <w:gridCol w:w="603"/>
        <w:gridCol w:w="603"/>
        <w:gridCol w:w="3160"/>
        <w:gridCol w:w="1104"/>
        <w:gridCol w:w="2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0" w:hRule="atLeast"/>
        </w:trPr>
        <w:tc>
          <w:tcPr>
            <w:tcW w:w="4744" w:type="pct"/>
            <w:gridSpan w:val="9"/>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0"/>
                <w:sz w:val="30"/>
                <w:szCs w:val="30"/>
                <w:u w:val="none"/>
                <w:lang w:val="en-US" w:eastAsia="zh-CN" w:bidi="ar"/>
              </w:rPr>
            </w:pPr>
            <w:r>
              <w:rPr>
                <w:rFonts w:hint="eastAsia" w:ascii="仿宋" w:hAnsi="仿宋" w:eastAsia="仿宋" w:cs="仿宋"/>
                <w:sz w:val="24"/>
                <w:highlight w:val="none"/>
              </w:rPr>
              <w:t>表六：一般公共预算财政拨款基本支出决算</w:t>
            </w:r>
            <w:r>
              <w:rPr>
                <w:rFonts w:hint="eastAsia" w:ascii="仿宋" w:hAnsi="仿宋" w:eastAsia="仿宋" w:cs="仿宋"/>
                <w:sz w:val="24"/>
                <w:highlight w:val="none"/>
                <w:lang w:val="en-US" w:eastAsia="zh-CN"/>
              </w:rPr>
              <w:t>明细</w:t>
            </w:r>
            <w:r>
              <w:rPr>
                <w:rFonts w:hint="eastAsia" w:ascii="仿宋" w:hAnsi="仿宋" w:eastAsia="仿宋" w:cs="仿宋"/>
                <w:sz w:val="24"/>
                <w:highlight w:val="none"/>
              </w:rPr>
              <w:t>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一般公共预算财政拨款基本支出决算明细表</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0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8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1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0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9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69"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00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部门：广西河池市环江毛南族自治县宣传部</w:t>
            </w:r>
          </w:p>
        </w:tc>
        <w:tc>
          <w:tcPr>
            <w:tcW w:w="8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1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03"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9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09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69"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099" w:type="pct"/>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w:t>
            </w:r>
          </w:p>
        </w:tc>
        <w:tc>
          <w:tcPr>
            <w:tcW w:w="2644" w:type="pct"/>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87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1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9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603"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9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19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09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36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878"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18"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1"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603"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1"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91"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097"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69"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工资福利支出</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306.66</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商品和服务支出</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31.96</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债务利息及费用支出</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30101</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基本工资</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83.71</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30201</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办公费</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2.19</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30701</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国内债务付息</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30102</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津贴补贴</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31.92</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30202</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印刷费</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30702</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国外债务付息</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30103</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奖金</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81.59</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30203</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咨询费</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资本性支出</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30106</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伙食补助费</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3.93</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30204</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手续费</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31001</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房屋建筑物购建</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30107</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绩效工资</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14.58</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30205</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水费</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0.07</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31002</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办公设备购置</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30108</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33.59</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30206</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电费</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0.83</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31003</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专用设备购置</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30109</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职业年金缴费</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30207</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邮电费</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2.93</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31005</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基础设施建设</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30110</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职工基本医疗保险缴费</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13.81</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30208</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取暖费</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31006</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大型修缮</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30111</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公务员医疗补助缴费</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30209</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物业管理费</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31007</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信息网络及软件购置更新</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30112</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其他社会保障缴费</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30211</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差旅费</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8.30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31008</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物资储备</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30113</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22.81</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30212</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因公出国（境）费用</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31009</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土地补偿</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30114</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30213</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维修（护）费</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0.17</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31010</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安置补助</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30199</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其他工资福利支出</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16.53</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30214</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租赁费</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31011</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地上附着物和青苗补偿</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对个人和家庭的补助</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5.53</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30215</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会议费</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31012</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拆迁补偿</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30301</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离休费</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30216</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培训费</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0.22</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31013</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公务用车购置</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30302</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退休费</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30217</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公务接待费</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31019</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其他交通工具购置</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30303</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退职（役）费</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30218</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专用材料费</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31021</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文物和陈列品购置</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30304</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抚恤金</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30224</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被装购置费</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31022</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无形资产购置</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30305</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生活补助</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5.48</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30225</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专用燃料费</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31099</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其他资本性支出</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30306</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救济费</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30226</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劳务费</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其他支出</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30307</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医疗费补助</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30227</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委托业务费</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39907</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国家赔偿费用支出</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30308</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助学金</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30228</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工会经费</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4.18</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39908</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对民间非营利组织和群众性自治组织补贴</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30309</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奖励金</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30229</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福利费</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39909</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经常性赠与</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30310</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个人农业生产补贴</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30231</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公务用车运行维护费</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39910</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资本性赠与</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30311</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代缴社会保险费</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30239</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其他交通费用</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10.85</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39999</w:t>
            </w: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30399</w:t>
            </w: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其他对个人和家庭的补助</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0.05</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30240</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税金及附加费用</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002" w:type="pct"/>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878"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30299</w:t>
            </w:r>
          </w:p>
        </w:tc>
        <w:tc>
          <w:tcPr>
            <w:tcW w:w="603"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其他商品和服务支出</w:t>
            </w:r>
          </w:p>
        </w:tc>
        <w:tc>
          <w:tcPr>
            <w:tcW w:w="19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91"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097" w:type="pct"/>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881" w:type="pct"/>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人员经费合计</w:t>
            </w:r>
          </w:p>
        </w:tc>
        <w:tc>
          <w:tcPr>
            <w:tcW w:w="2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312.19</w:t>
            </w:r>
          </w:p>
        </w:tc>
        <w:tc>
          <w:tcPr>
            <w:tcW w:w="2274" w:type="pct"/>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公用经费合计</w:t>
            </w:r>
          </w:p>
        </w:tc>
        <w:tc>
          <w:tcPr>
            <w:tcW w:w="3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31.96</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4744" w:type="pct"/>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注：本表反映部门本年度一般公共预算财政拨款基本支出明细情况。</w:t>
            </w:r>
          </w:p>
        </w:tc>
        <w:tc>
          <w:tcPr>
            <w:tcW w:w="25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016"/>
        <w:gridCol w:w="222"/>
        <w:gridCol w:w="223"/>
        <w:gridCol w:w="3956"/>
        <w:gridCol w:w="762"/>
        <w:gridCol w:w="841"/>
        <w:gridCol w:w="841"/>
        <w:gridCol w:w="844"/>
        <w:gridCol w:w="847"/>
        <w:gridCol w:w="16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5000" w:type="pct"/>
            <w:gridSpan w:val="10"/>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0"/>
                <w:sz w:val="30"/>
                <w:szCs w:val="30"/>
                <w:u w:val="none"/>
                <w:lang w:val="en-US" w:eastAsia="zh-CN" w:bidi="ar"/>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41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9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6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70"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416"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部门：广西河池市环江毛南族自治县宣传部</w:t>
            </w:r>
          </w:p>
        </w:tc>
        <w:tc>
          <w:tcPr>
            <w:tcW w:w="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395"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6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7"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9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570"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968" w:type="pct"/>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69"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297"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w:t>
            </w:r>
          </w:p>
        </w:tc>
        <w:tc>
          <w:tcPr>
            <w:tcW w:w="894" w:type="pct"/>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w:t>
            </w:r>
          </w:p>
        </w:tc>
        <w:tc>
          <w:tcPr>
            <w:tcW w:w="570" w:type="pct"/>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73" w:type="pct"/>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科目代码</w:t>
            </w:r>
          </w:p>
        </w:tc>
        <w:tc>
          <w:tcPr>
            <w:tcW w:w="1395" w:type="pct"/>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6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7"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7"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9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99"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570"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73"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95"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6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7"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7"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8"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9"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70"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73" w:type="pct"/>
            <w:gridSpan w:val="3"/>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395" w:type="pct"/>
            <w:vMerge w:val="continue"/>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69"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7"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7"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8"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99"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570" w:type="pct"/>
            <w:vMerge w:val="continue"/>
            <w:tcBorders>
              <w:top w:val="single" w:color="000000" w:sz="4" w:space="0"/>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968"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26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97"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98"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99"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70" w:type="pc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968" w:type="pct"/>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2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3.00</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3.00</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7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w:t>
            </w:r>
          </w:p>
        </w:tc>
        <w:tc>
          <w:tcPr>
            <w:tcW w:w="1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文化旅游体育与传媒支出</w:t>
            </w:r>
          </w:p>
        </w:tc>
        <w:tc>
          <w:tcPr>
            <w:tcW w:w="2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57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20707</w:t>
            </w:r>
          </w:p>
        </w:tc>
        <w:tc>
          <w:tcPr>
            <w:tcW w:w="1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国家电影事业发展专项资金安排的支出</w:t>
            </w:r>
          </w:p>
        </w:tc>
        <w:tc>
          <w:tcPr>
            <w:tcW w:w="2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2070799</w:t>
            </w:r>
          </w:p>
        </w:tc>
        <w:tc>
          <w:tcPr>
            <w:tcW w:w="13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其他国家电影事业发展专项资金支出</w:t>
            </w:r>
          </w:p>
        </w:tc>
        <w:tc>
          <w:tcPr>
            <w:tcW w:w="26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1573"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1395"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26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97"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98"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299"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570" w:type="pct"/>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5000" w:type="pct"/>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注：本表反映部门本年度政府性基金预算财政拨款收入、支出及结转和结余情况。</w:t>
            </w:r>
          </w:p>
        </w:tc>
      </w:tr>
    </w:tbl>
    <w:p>
      <w:pPr>
        <w:jc w:val="left"/>
        <w:rPr>
          <w:rFonts w:hint="eastAsia"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p>
      <w:pPr>
        <w:jc w:val="left"/>
        <w:rPr>
          <w:rFonts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宋体" w:hAnsi="宋体" w:eastAsia="宋体" w:cs="宋体"/>
                <w:color w:val="000000"/>
                <w:kern w:val="0"/>
                <w:sz w:val="32"/>
                <w:szCs w:val="32"/>
                <w:highlight w:val="none"/>
                <w:lang w:bidi="ar"/>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某某单位</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仿宋_GB2312" w:hAnsi="仿宋_GB2312" w:eastAsia="仿宋_GB2312" w:cs="仿宋_GB2312"/>
          <w:color w:val="000000" w:themeColor="text1"/>
          <w:kern w:val="2"/>
          <w:sz w:val="32"/>
          <w:szCs w:val="32"/>
          <w:lang w:val="en-US" w:eastAsia="zh-CN" w:bidi="ar"/>
          <w14:textFill>
            <w14:solidFill>
              <w14:schemeClr w14:val="tx1"/>
            </w14:solidFill>
          </w14:textFill>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val="en-US" w:eastAsia="zh-CN" w:bidi="ar"/>
        </w:rPr>
        <w:t>本部门2022年度没有国有资本经营预算财政拨款收入，也没有国有资本经营预算财政拨款安排的支出，故本表无数据。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016"/>
        <w:gridCol w:w="876"/>
        <w:gridCol w:w="656"/>
        <w:gridCol w:w="656"/>
        <w:gridCol w:w="656"/>
        <w:gridCol w:w="656"/>
        <w:gridCol w:w="656"/>
        <w:gridCol w:w="876"/>
        <w:gridCol w:w="656"/>
        <w:gridCol w:w="656"/>
        <w:gridCol w:w="656"/>
        <w:gridCol w:w="31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000" w:type="pct"/>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kern w:val="0"/>
                <w:sz w:val="44"/>
                <w:szCs w:val="44"/>
                <w:u w:val="none"/>
                <w:lang w:val="en-US" w:eastAsia="zh-CN" w:bidi="ar"/>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41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30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0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14"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1416"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部门：广西河池市环江毛南族自治县宣传部</w:t>
            </w:r>
          </w:p>
        </w:tc>
        <w:tc>
          <w:tcPr>
            <w:tcW w:w="30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0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231"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114"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2651" w:type="pct"/>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2348" w:type="pct"/>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16" w:type="pct"/>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0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694"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23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231"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308"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694" w:type="pct"/>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公务用车购置及运行维护费</w:t>
            </w:r>
          </w:p>
        </w:tc>
        <w:tc>
          <w:tcPr>
            <w:tcW w:w="1114" w:type="pct"/>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416" w:type="pct"/>
            <w:vMerge w:val="continue"/>
            <w:tcBorders>
              <w:top w:val="nil"/>
              <w:left w:val="single" w:color="000000" w:sz="4" w:space="0"/>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08"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3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23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231"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1"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308"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23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小计</w:t>
            </w:r>
          </w:p>
        </w:tc>
        <w:tc>
          <w:tcPr>
            <w:tcW w:w="23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公务用车购置费</w:t>
            </w:r>
          </w:p>
        </w:tc>
        <w:tc>
          <w:tcPr>
            <w:tcW w:w="23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公务用车运行维护费</w:t>
            </w:r>
          </w:p>
        </w:tc>
        <w:tc>
          <w:tcPr>
            <w:tcW w:w="1114" w:type="pct"/>
            <w:vMerge w:val="continue"/>
            <w:tcBorders>
              <w:top w:val="nil"/>
              <w:left w:val="nil"/>
              <w:bottom w:val="single" w:color="000000" w:sz="4" w:space="0"/>
              <w:right w:val="single" w:color="000000" w:sz="4" w:space="0"/>
            </w:tcBorders>
            <w:shd w:val="clear" w:color="FFFFFF" w:fill="C0C0C0"/>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16" w:type="pc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0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3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23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23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23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23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308"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23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23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231"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114" w:type="pc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16"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0.90</w:t>
            </w:r>
          </w:p>
        </w:tc>
        <w:tc>
          <w:tcPr>
            <w:tcW w:w="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c>
          <w:tcPr>
            <w:tcW w:w="3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23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11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0.75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jc w:val="left"/>
        <w:rPr>
          <w:rFonts w:ascii="仿宋" w:hAnsi="仿宋" w:eastAsia="仿宋" w:cs="仿宋"/>
          <w:sz w:val="24"/>
          <w:highlight w:val="none"/>
        </w:rPr>
        <w:sectPr>
          <w:pgSz w:w="16838" w:h="11906" w:orient="landscape"/>
          <w:pgMar w:top="1800" w:right="1440" w:bottom="1800" w:left="1440" w:header="851" w:footer="992" w:gutter="0"/>
          <w:pgNumType w:fmt="decimal"/>
          <w:cols w:space="425" w:num="1"/>
          <w:docGrid w:type="lines" w:linePitch="312" w:charSpace="0"/>
        </w:sectPr>
      </w:pPr>
    </w:p>
    <w:p>
      <w:pPr>
        <w:jc w:val="left"/>
        <w:rPr>
          <w:rFonts w:ascii="仿宋" w:hAnsi="仿宋" w:eastAsia="仿宋" w:cs="仿宋"/>
          <w:sz w:val="24"/>
          <w:highlight w:val="none"/>
        </w:rPr>
      </w:pPr>
    </w:p>
    <w:p>
      <w:pPr>
        <w:ind w:left="1600" w:hanging="1800" w:hangingChars="500"/>
        <w:jc w:val="left"/>
        <w:rPr>
          <w:rFonts w:hint="eastAsia" w:ascii="方正小标宋简体" w:hAnsi="方正小标宋简体" w:eastAsia="方正小标宋简体" w:cs="方正小标宋简体"/>
          <w:sz w:val="36"/>
          <w:szCs w:val="36"/>
          <w:u w:color="auto"/>
          <w:lang w:val="en-US" w:eastAsia="zh-CN"/>
        </w:rPr>
      </w:pPr>
      <w:r>
        <w:rPr>
          <w:rFonts w:hint="eastAsia" w:ascii="方正小标宋简体" w:hAnsi="方正小标宋简体" w:eastAsia="方正小标宋简体" w:cs="方正小标宋简体"/>
          <w:sz w:val="36"/>
          <w:szCs w:val="36"/>
          <w:highlight w:val="none"/>
        </w:rPr>
        <w:t>第三部分：</w:t>
      </w:r>
      <w:r>
        <w:rPr>
          <w:rFonts w:hint="eastAsia" w:ascii="方正小标宋简体" w:hAnsi="方正小标宋简体" w:eastAsia="方正小标宋简体" w:cs="方正小标宋简体"/>
          <w:sz w:val="36"/>
          <w:szCs w:val="36"/>
          <w:u w:color="auto"/>
          <w:lang w:val="en-US" w:eastAsia="zh-CN"/>
        </w:rPr>
        <w:t>中共环江毛南族自治县委员会宣传部</w:t>
      </w:r>
    </w:p>
    <w:p>
      <w:pPr>
        <w:ind w:left="1795" w:leftChars="855" w:firstLine="0" w:firstLineChars="0"/>
        <w:jc w:val="left"/>
        <w:rPr>
          <w:rFonts w:hint="eastAsia" w:ascii="方正小标宋简体" w:hAnsi="方正小标宋简体" w:eastAsia="方正小标宋简体" w:cs="方正小标宋简体"/>
          <w:sz w:val="36"/>
          <w:szCs w:val="36"/>
          <w:highlight w:val="none"/>
        </w:rPr>
      </w:pPr>
      <w:r>
        <w:rPr>
          <w:rFonts w:hint="eastAsia" w:ascii="方正小标宋简体" w:hAnsi="方正小标宋简体" w:eastAsia="方正小标宋简体" w:cs="方正小标宋简体"/>
          <w:sz w:val="36"/>
          <w:szCs w:val="36"/>
          <w:highlight w:val="none"/>
        </w:rPr>
        <w:t>2022年度部门决算情况说明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1124.6</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增加96.09</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增长9.34</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lang w:val="en-US" w:eastAsia="zh-CN"/>
        </w:rPr>
        <w:t>1124.6</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lang w:val="en-US" w:eastAsia="zh-CN"/>
        </w:rPr>
        <w:t>1121.6</w:t>
      </w:r>
      <w:r>
        <w:rPr>
          <w:rFonts w:hint="eastAsia" w:ascii="仿宋" w:hAnsi="仿宋" w:eastAsia="仿宋" w:cs="仿宋"/>
          <w:kern w:val="2"/>
          <w:sz w:val="32"/>
          <w:szCs w:val="32"/>
          <w:highlight w:val="none"/>
          <w:lang w:val="en-US" w:eastAsia="zh-CN" w:bidi="ar"/>
        </w:rPr>
        <w:t>万元，为自治县本级财政当年拨付的资金。较2021年度决算数</w:t>
      </w:r>
      <w:r>
        <w:rPr>
          <w:rFonts w:hint="eastAsia" w:ascii="仿宋" w:hAnsi="仿宋" w:eastAsia="仿宋" w:cs="仿宋"/>
          <w:sz w:val="32"/>
          <w:u w:color="auto"/>
          <w:lang w:val="en-US" w:eastAsia="zh-CN"/>
        </w:rPr>
        <w:t>增加93.09</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u w:color="auto"/>
          <w:lang w:val="en-US" w:eastAsia="zh-CN"/>
        </w:rPr>
        <w:t>增长9.34</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主要原因：农家书屋图书更新补充经费从自治区党委宣传部下放至县级支出，完成村级文化服务中心覆盖工程建设并行成资金支出。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2.政府性基金预算财政拨款收入</w:t>
      </w:r>
      <w:r>
        <w:rPr>
          <w:rFonts w:hint="eastAsia" w:ascii="仿宋" w:hAnsi="仿宋" w:eastAsia="仿宋" w:cs="仿宋"/>
          <w:sz w:val="32"/>
          <w:u w:color="auto"/>
          <w:lang w:val="en-US" w:eastAsia="zh-CN"/>
        </w:rPr>
        <w:t>3</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国家电影事业发展专项资金</w:t>
      </w:r>
      <w:r>
        <w:rPr>
          <w:rFonts w:hint="eastAsia" w:ascii="仿宋" w:hAnsi="仿宋" w:eastAsia="仿宋" w:cs="仿宋"/>
          <w:kern w:val="2"/>
          <w:sz w:val="32"/>
          <w:szCs w:val="32"/>
          <w:highlight w:val="none"/>
          <w:lang w:val="en-US" w:eastAsia="zh-CN" w:bidi="ar"/>
        </w:rPr>
        <w:t>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3</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10</w:t>
      </w:r>
      <w:r>
        <w:rPr>
          <w:rFonts w:ascii="仿宋" w:hAnsi="仿宋" w:eastAsia="仿宋" w:cs="仿宋"/>
          <w:sz w:val="32"/>
          <w:u w:color="auto"/>
        </w:rPr>
        <w:t>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主要原因：国家电影事业发展专项资金增加对地方影院在疫情期间放映公益宣传片以及影院运营方面的补贴。</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万元。此项为</w:t>
      </w:r>
      <w:r>
        <w:rPr>
          <w:rFonts w:hint="eastAsia" w:ascii="仿宋" w:hAnsi="仿宋" w:eastAsia="仿宋" w:cs="仿宋"/>
          <w:sz w:val="32"/>
          <w:szCs w:val="32"/>
          <w:highlight w:val="none"/>
        </w:rPr>
        <w:t>河池市</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r>
        <w:rPr>
          <w:rFonts w:hint="eastAsia" w:ascii="仿宋" w:hAnsi="仿宋" w:eastAsia="仿宋" w:cs="仿宋"/>
          <w:sz w:val="32"/>
          <w:u w:color="auto"/>
          <w:lang w:val="en-US" w:eastAsia="zh-CN"/>
        </w:rPr>
        <w:t>主要原因是：本单位没有国有资本经营预算财政拨款收入。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万元，此项为上级部门当年拨付的资金。较2021年度决算数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万元，此项为事业单位开展业务活动取得的收入。较2021年度决算数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6.经营收入0.00万,此项为事业单位在业务活动之外开展非独立核算经营活动取得的收入。较2021年度决算数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万元,此项为预算单位在“财政拨款收入”“事业收入”“经营收入”之外取得的收入。较2021年度决算数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万元,此项为所属事业单位在当年的“财政拨款收入”“事业收入”“经营收入”及“其他收入”不能保证其支出的情况下，使用以前年度积累的非财政拨款结余弥补本年度收支缺口的资金。较2021年度决算数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30.2</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100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主要原因：按照财政部门要求，未使用完的指标在年底全部进行回收，不再进行年底结转。</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975225" cy="2810510"/>
            <wp:effectExtent l="4445" t="4445" r="11430" b="234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lang w:val="en-US" w:eastAsia="zh-CN"/>
        </w:rPr>
        <w:t>1124.6</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1124.6</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增加96.09</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增长9.34</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val="en-US" w:eastAsia="zh-CN" w:bidi="ar"/>
        </w:rPr>
        <w:t>一般公共服务</w:t>
      </w:r>
      <w:r>
        <w:rPr>
          <w:rFonts w:hint="eastAsia" w:ascii="仿宋" w:hAnsi="仿宋" w:eastAsia="仿宋" w:cs="仿宋"/>
          <w:sz w:val="32"/>
          <w:szCs w:val="32"/>
          <w:highlight w:val="none"/>
          <w:lang w:bidi="ar"/>
        </w:rPr>
        <w:t>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w:t>
      </w:r>
      <w:r>
        <w:rPr>
          <w:rFonts w:hint="eastAsia" w:ascii="仿宋" w:hAnsi="仿宋" w:eastAsia="仿宋" w:cs="仿宋"/>
          <w:sz w:val="32"/>
          <w:szCs w:val="32"/>
          <w:highlight w:val="none"/>
          <w:lang w:val="en-US" w:eastAsia="zh-CN" w:bidi="ar"/>
        </w:rPr>
        <w:t>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880.01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单位履行职责所需人员经费、办公经费，以及开展宣传业务工作项目经费支出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bidi="ar"/>
        </w:rPr>
        <w:t>增加61.33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bidi="ar"/>
        </w:rPr>
        <w:t>增长7.49</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主要原因是：村级文化服务中心建设资金支出增加，宣传业务经费增加以及人员经费支出增加。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文化旅游体育与传媒支出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w:t>
      </w:r>
      <w:r>
        <w:rPr>
          <w:rFonts w:hint="eastAsia" w:ascii="仿宋" w:hAnsi="仿宋" w:eastAsia="仿宋" w:cs="仿宋"/>
          <w:sz w:val="32"/>
          <w:szCs w:val="32"/>
          <w:highlight w:val="none"/>
          <w:lang w:val="en-US" w:eastAsia="zh-CN" w:bidi="ar"/>
        </w:rPr>
        <w:t>7</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136.61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电影公司安置补偿款，以及农家书屋补充更新经费等</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bidi="ar"/>
        </w:rPr>
        <w:t>增长39.1</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增加40.1</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主要原因是：原先由自治区统一采购的农家书屋图书更新经费转交给地方自行采购并支付相关资金。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u w:color="auto"/>
          <w:lang w:val="en-US" w:eastAsia="zh-CN"/>
        </w:rPr>
        <w:t>社会保障和就业</w:t>
      </w:r>
      <w:r>
        <w:rPr>
          <w:rFonts w:hint="eastAsia" w:ascii="仿宋" w:hAnsi="仿宋" w:eastAsia="仿宋" w:cs="仿宋"/>
          <w:sz w:val="32"/>
          <w:szCs w:val="32"/>
          <w:highlight w:val="none"/>
          <w:lang w:bidi="ar"/>
        </w:rPr>
        <w:t>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w:t>
      </w:r>
      <w:r>
        <w:rPr>
          <w:rFonts w:hint="eastAsia" w:ascii="仿宋" w:hAnsi="仿宋" w:eastAsia="仿宋" w:cs="仿宋"/>
          <w:sz w:val="32"/>
          <w:szCs w:val="32"/>
          <w:highlight w:val="none"/>
          <w:lang w:val="en-US" w:eastAsia="zh-CN" w:bidi="ar"/>
        </w:rPr>
        <w:t>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30.26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单位职工社保缴费支出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bidi="ar"/>
        </w:rPr>
        <w:t>增加5.15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bidi="ar"/>
        </w:rPr>
        <w:t>增加20.51</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主要原因是：社保缴费基数调整，缴费人数相较上年增加了两人。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22.81</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在职在编干部职工住房公积金缴费支出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val="en-US" w:eastAsia="zh-CN"/>
        </w:rPr>
        <w:t>增加1.24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bidi="ar"/>
        </w:rPr>
        <w:t>增加5.75</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主要原因是：缴费人数相较上年增加了两人。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sz w:val="32"/>
          <w:szCs w:val="32"/>
          <w:highlight w:val="none"/>
          <w:lang w:val="en-US"/>
          <w14:textFill>
            <w14:solidFill>
              <w14:schemeClr w14:val="tx1"/>
            </w14:solidFill>
          </w14:textFill>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val="en-US" w:eastAsia="zh-CN" w:bidi="ar"/>
        </w:rPr>
        <w:t>其他</w:t>
      </w:r>
      <w:r>
        <w:rPr>
          <w:rFonts w:hint="eastAsia" w:ascii="仿宋" w:hAnsi="仿宋" w:eastAsia="仿宋" w:cs="仿宋"/>
          <w:sz w:val="32"/>
          <w:szCs w:val="32"/>
          <w:highlight w:val="none"/>
          <w:lang w:bidi="ar"/>
        </w:rPr>
        <w:t>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w:t>
      </w:r>
      <w:r>
        <w:rPr>
          <w:rFonts w:hint="eastAsia" w:ascii="仿宋" w:hAnsi="仿宋" w:eastAsia="仿宋" w:cs="仿宋"/>
          <w:sz w:val="32"/>
          <w:szCs w:val="32"/>
          <w:highlight w:val="none"/>
          <w:lang w:val="en-US" w:eastAsia="zh-CN" w:bidi="ar"/>
        </w:rPr>
        <w:t>9</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val="en-US" w:eastAsia="zh-CN" w:bidi="ar"/>
        </w:rPr>
        <w:t>59.21</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单位干部职工奖励性补贴发放以及餐补发放</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6.43</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9.79</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主要原因是：奖励性补贴发放金额较上一年度有所降低。</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_GB2312" w:cs="仿宋"/>
          <w:color w:val="000000" w:themeColor="text1"/>
          <w:sz w:val="32"/>
          <w:szCs w:val="32"/>
          <w:highlight w:val="none"/>
          <w:lang w:eastAsia="zh-CN" w:bidi="ar"/>
          <w14:textFill>
            <w14:solidFill>
              <w14:schemeClr w14:val="tx1"/>
            </w14:solidFill>
          </w14:textFill>
        </w:rPr>
      </w:pPr>
      <w:r>
        <w:rPr>
          <w:rFonts w:hint="eastAsia" w:ascii="仿宋_GB2312" w:hAnsi="微软雅黑" w:eastAsia="仿宋_GB2312" w:cs="仿宋_GB2312"/>
          <w:i w:val="0"/>
          <w:iCs w:val="0"/>
          <w:caps w:val="0"/>
          <w:color w:val="000000"/>
          <w:spacing w:val="0"/>
          <w:sz w:val="32"/>
          <w:szCs w:val="32"/>
          <w:highlight w:val="none"/>
          <w:shd w:val="clear" w:color="auto" w:fill="FFFFFF"/>
          <w:lang w:val="en-US" w:eastAsia="zh-CN"/>
        </w:rPr>
        <w:t>6.</w:t>
      </w: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：本单位无相关方面资金。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sz w:val="32"/>
          <w:szCs w:val="32"/>
          <w:highlight w:val="none"/>
          <w:lang w:val="en-US" w:eastAsia="zh-CN"/>
        </w:rPr>
        <w:t>7.</w:t>
      </w:r>
      <w:r>
        <w:rPr>
          <w:rFonts w:hint="eastAsia" w:ascii="仿宋" w:hAnsi="仿宋" w:eastAsia="仿宋" w:cs="仿宋"/>
          <w:sz w:val="32"/>
          <w:szCs w:val="32"/>
          <w:highlight w:val="none"/>
        </w:rPr>
        <w:t>年末结转和结余</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hint="eastAsia" w:ascii="仿宋" w:hAnsi="仿宋" w:eastAsia="仿宋" w:cs="仿宋"/>
          <w:sz w:val="32"/>
          <w:u w:color="auto"/>
          <w:lang w:val="en-US" w:eastAsia="zh-CN"/>
        </w:rPr>
        <w:t>减少0</w:t>
      </w:r>
      <w:r>
        <w:rPr>
          <w:rFonts w:hint="eastAsia" w:ascii="仿宋" w:hAnsi="仿宋" w:eastAsia="仿宋" w:cs="仿宋"/>
          <w:sz w:val="32"/>
          <w:szCs w:val="32"/>
          <w:highlight w:val="none"/>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主要原因是：按照财政部门要求，未使用完的指标在年底全部进行回收，不再进行年底结转。</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000000" w:themeColor="text1"/>
          <w:sz w:val="32"/>
          <w:szCs w:val="32"/>
          <w:highlight w:val="none"/>
          <w14:textFill>
            <w14:solidFill>
              <w14:schemeClr w14:val="tx1"/>
            </w14:solidFill>
          </w14:textFill>
        </w:rPr>
      </w:pP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20955" b="2095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rPr>
        <w:t>二、2022年度</w:t>
      </w:r>
      <w:bookmarkStart w:id="0" w:name="OLE_LINK1"/>
      <w:r>
        <w:rPr>
          <w:rFonts w:hint="eastAsia" w:ascii="黑体" w:hAnsi="黑体" w:eastAsia="黑体" w:cs="黑体"/>
          <w:sz w:val="32"/>
          <w:szCs w:val="32"/>
          <w:highlight w:val="none"/>
        </w:rPr>
        <w:t>一般公共预算财政拨款支出决算情况</w:t>
      </w:r>
      <w:bookmarkEnd w:id="0"/>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中共环江毛南族自治县委员会宣传部</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lang w:val="en-US" w:eastAsia="zh-CN"/>
        </w:rPr>
        <w:t>1121.6</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增加93.09</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增长9.34</w:t>
      </w:r>
      <w:r>
        <w:rPr>
          <w:rFonts w:ascii="仿宋" w:hAnsi="仿宋" w:eastAsia="仿宋" w:cs="仿宋"/>
          <w:sz w:val="32"/>
          <w:u w:color="auto"/>
        </w:rPr>
        <w:t>%</w:t>
      </w:r>
      <w:r>
        <w:rPr>
          <w:rFonts w:hint="eastAsia" w:ascii="仿宋" w:hAnsi="仿宋" w:eastAsia="仿宋" w:cs="仿宋"/>
          <w:sz w:val="32"/>
          <w:szCs w:val="32"/>
          <w:highlight w:val="none"/>
        </w:rPr>
        <w:t>。其中：基本支出</w:t>
      </w:r>
      <w:r>
        <w:rPr>
          <w:rFonts w:hint="eastAsia" w:ascii="仿宋" w:hAnsi="仿宋" w:eastAsia="仿宋" w:cs="仿宋"/>
          <w:sz w:val="32"/>
          <w:u w:color="auto"/>
          <w:lang w:val="en-US" w:eastAsia="zh-CN"/>
        </w:rPr>
        <w:t>334.14</w:t>
      </w:r>
      <w:r>
        <w:rPr>
          <w:rFonts w:hint="eastAsia" w:ascii="仿宋" w:hAnsi="仿宋" w:eastAsia="仿宋" w:cs="仿宋"/>
          <w:sz w:val="32"/>
          <w:szCs w:val="32"/>
          <w:highlight w:val="none"/>
        </w:rPr>
        <w:t>万元，项目支出</w:t>
      </w:r>
      <w:r>
        <w:rPr>
          <w:rFonts w:hint="eastAsia" w:ascii="仿宋" w:hAnsi="仿宋" w:eastAsia="仿宋" w:cs="仿宋"/>
          <w:sz w:val="32"/>
          <w:u w:color="auto"/>
          <w:lang w:val="en-US" w:eastAsia="zh-CN"/>
        </w:rPr>
        <w:t>777.46</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val="en-US" w:eastAsia="zh-CN"/>
        </w:rPr>
        <w:t>中共环江毛南族自治县委员会宣传部</w:t>
      </w:r>
      <w:r>
        <w:rPr>
          <w:rFonts w:hint="eastAsia" w:ascii="仿宋" w:hAnsi="仿宋" w:eastAsia="仿宋" w:cs="仿宋"/>
          <w:sz w:val="32"/>
          <w:szCs w:val="32"/>
          <w:highlight w:val="none"/>
        </w:rPr>
        <w:t>2022年度一般公共预算财政拨款支出年初预算为</w:t>
      </w:r>
      <w:r>
        <w:rPr>
          <w:rFonts w:hint="eastAsia" w:ascii="仿宋" w:hAnsi="仿宋" w:eastAsia="仿宋" w:cs="仿宋"/>
          <w:sz w:val="32"/>
          <w:u w:color="auto"/>
          <w:lang w:val="en-US" w:eastAsia="zh-CN"/>
        </w:rPr>
        <w:t>854.99</w:t>
      </w:r>
      <w:r>
        <w:rPr>
          <w:rFonts w:hint="eastAsia" w:ascii="仿宋" w:hAnsi="仿宋" w:eastAsia="仿宋" w:cs="仿宋"/>
          <w:sz w:val="32"/>
          <w:szCs w:val="32"/>
          <w:highlight w:val="none"/>
        </w:rPr>
        <w:t>万元，支出决算为</w:t>
      </w:r>
      <w:r>
        <w:rPr>
          <w:rFonts w:hint="eastAsia" w:ascii="仿宋" w:hAnsi="仿宋" w:eastAsia="仿宋" w:cs="仿宋"/>
          <w:sz w:val="32"/>
          <w:u w:color="auto"/>
          <w:lang w:val="en-US" w:eastAsia="zh-CN"/>
        </w:rPr>
        <w:t>1121.6</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lang w:val="en-US" w:eastAsia="zh-CN"/>
        </w:rPr>
        <w:t>131.18</w:t>
      </w:r>
      <w:r>
        <w:rPr>
          <w:rFonts w:ascii="仿宋" w:hAnsi="仿宋" w:eastAsia="仿宋" w:cs="仿宋"/>
          <w:sz w:val="32"/>
          <w:u w:color="auto"/>
        </w:rPr>
        <w:t>%</w:t>
      </w:r>
      <w:r>
        <w:rPr>
          <w:rFonts w:hint="eastAsia" w:ascii="仿宋" w:hAnsi="仿宋" w:eastAsia="仿宋" w:cs="仿宋"/>
          <w:sz w:val="32"/>
          <w:szCs w:val="32"/>
          <w:highlight w:val="none"/>
        </w:rPr>
        <w:t>。</w:t>
      </w:r>
      <w:bookmarkStart w:id="1" w:name="OLE_LINK2"/>
      <w:bookmarkEnd w:id="1"/>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lang w:val="en-US" w:eastAsia="zh-CN"/>
        </w:rPr>
        <w:t>一般公共服务</w:t>
      </w:r>
      <w:r>
        <w:rPr>
          <w:rFonts w:hint="eastAsia" w:ascii="仿宋" w:hAnsi="仿宋" w:eastAsia="仿宋"/>
          <w:sz w:val="32"/>
          <w:szCs w:val="32"/>
          <w:highlight w:val="none"/>
        </w:rPr>
        <w:t>支出</w:t>
      </w:r>
      <w:r>
        <w:rPr>
          <w:rFonts w:ascii="仿宋" w:hAnsi="仿宋" w:eastAsia="仿宋"/>
          <w:sz w:val="32"/>
          <w:u w:color="auto"/>
        </w:rPr>
        <w:t>（20</w:t>
      </w:r>
      <w:r>
        <w:rPr>
          <w:rFonts w:hint="eastAsia" w:ascii="仿宋" w:hAnsi="仿宋" w:eastAsia="仿宋"/>
          <w:sz w:val="32"/>
          <w:u w:color="auto"/>
          <w:lang w:val="en-US" w:eastAsia="zh-CN"/>
        </w:rPr>
        <w:t>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796.35</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880.01</w:t>
      </w:r>
      <w:r>
        <w:rPr>
          <w:rFonts w:hint="eastAsia" w:ascii="仿宋" w:hAnsi="仿宋" w:eastAsia="仿宋"/>
          <w:sz w:val="32"/>
          <w:szCs w:val="32"/>
          <w:highlight w:val="none"/>
        </w:rPr>
        <w:t>万元，完成年初预算的</w:t>
      </w:r>
      <w:r>
        <w:rPr>
          <w:rFonts w:ascii="仿宋" w:hAnsi="仿宋" w:eastAsia="仿宋"/>
          <w:sz w:val="32"/>
          <w:szCs w:val="32"/>
          <w:highlight w:val="none"/>
        </w:rPr>
        <w:t>1</w:t>
      </w:r>
      <w:r>
        <w:rPr>
          <w:rFonts w:hint="eastAsia" w:ascii="仿宋" w:hAnsi="仿宋" w:eastAsia="仿宋"/>
          <w:sz w:val="32"/>
          <w:szCs w:val="32"/>
          <w:highlight w:val="none"/>
          <w:lang w:val="en-US" w:eastAsia="zh-CN"/>
        </w:rPr>
        <w:t>10.5</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原因是：年内完成的村文化服务中心覆盖项目为年中追加预算资金，不在年初预算之列</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2013301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272.12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510.12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187.46%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单位行政运行以及全县党报党刊征订</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Theme="minorEastAsia" w:hAnsiTheme="minorEastAsia" w:eastAsiaTheme="minorEastAsia" w:cstheme="minorEastAsia"/>
                <w:color w:val="000000" w:themeColor="text1"/>
                <w:sz w:val="18"/>
                <w:szCs w:val="18"/>
                <w:highlight w:val="none"/>
                <w:lang w:val="en-US" w:eastAsia="zh-CN"/>
                <w14:textFill>
                  <w14:solidFill>
                    <w14:schemeClr w14:val="tx1"/>
                  </w14:solidFill>
                </w14:textFill>
              </w:rPr>
              <w:t>全县党报党刊</w:t>
            </w:r>
            <w:r>
              <w:rPr>
                <w:rFonts w:hint="eastAsia" w:asciiTheme="minorEastAsia" w:hAnsiTheme="minorEastAsia" w:cstheme="minorEastAsia"/>
                <w:color w:val="000000" w:themeColor="text1"/>
                <w:sz w:val="18"/>
                <w:szCs w:val="18"/>
                <w:highlight w:val="none"/>
                <w:lang w:val="en-US" w:eastAsia="zh-CN"/>
                <w14:textFill>
                  <w14:solidFill>
                    <w14:schemeClr w14:val="tx1"/>
                  </w14:solidFill>
                </w14:textFill>
              </w:rPr>
              <w:t>由宣传部统一征地并支付相关经费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2013399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color w:val="000000"/>
                <w:kern w:val="0"/>
                <w:sz w:val="18"/>
                <w:szCs w:val="18"/>
                <w:lang w:bidi="ar"/>
              </w:rPr>
              <w:t>其他宣传事务支出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520.05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365.71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70.32%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开展宣传业务工作</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部分项目已实施，未达到支付条件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color w:val="000000"/>
                <w:kern w:val="0"/>
                <w:sz w:val="18"/>
                <w:szCs w:val="18"/>
                <w:lang w:bidi="ar"/>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4.18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4.18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财政补助干部职工工会缴费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此项经费支出与年初预算相符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796.35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880.01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单位开展宣传业务人员经费以及项目经费支出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themeColor="text1"/>
                <w:sz w:val="18"/>
                <w:szCs w:val="18"/>
                <w:highlight w:val="none"/>
                <w:u w:val="none"/>
                <w:lang w:val="en-US" w:eastAsia="zh-CN"/>
                <w14:textFill>
                  <w14:solidFill>
                    <w14:schemeClr w14:val="tx1"/>
                  </w14:solidFill>
                </w14:textFill>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年底决算数与调整预算数相符，未出现无预算开支现象</w:t>
            </w:r>
          </w:p>
        </w:tc>
      </w:tr>
    </w:tbl>
    <w:p>
      <w:pPr>
        <w:jc w:val="left"/>
        <w:rPr>
          <w:rFonts w:hint="eastAsia" w:ascii="仿宋" w:hAnsi="仿宋" w:eastAsia="仿宋"/>
          <w:sz w:val="32"/>
          <w:szCs w:val="32"/>
          <w:highlight w:val="none"/>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33.45</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30.26</w:t>
      </w:r>
      <w:r>
        <w:rPr>
          <w:rFonts w:hint="eastAsia" w:ascii="仿宋" w:hAnsi="仿宋" w:eastAsia="仿宋"/>
          <w:sz w:val="32"/>
          <w:szCs w:val="32"/>
          <w:highlight w:val="none"/>
        </w:rPr>
        <w:t>万元，完成年初预算的</w:t>
      </w:r>
      <w:r>
        <w:rPr>
          <w:rFonts w:ascii="仿宋" w:hAnsi="仿宋" w:eastAsia="仿宋"/>
          <w:sz w:val="32"/>
          <w:szCs w:val="32"/>
          <w:highlight w:val="none"/>
        </w:rPr>
        <w:t>97.03%</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存在</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有人员退休，相关支出减少</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color w:val="000000"/>
                <w:kern w:val="0"/>
                <w:sz w:val="20"/>
                <w:szCs w:val="20"/>
                <w:lang w:bidi="ar"/>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default"/>
                <w:color w:val="000000"/>
                <w:kern w:val="0"/>
                <w:sz w:val="18"/>
                <w:szCs w:val="18"/>
                <w:lang w:bidi="ar"/>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33.45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30.26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90.46%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单位干部职基本养老保险支出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有人员退休，相关支出减少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33.45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30.26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themeColor="text1"/>
                <w:sz w:val="18"/>
                <w:szCs w:val="18"/>
                <w:highlight w:val="none"/>
                <w:u w:val="none"/>
                <w:lang w:val="en-US" w:eastAsia="zh-CN"/>
                <w14:textFill>
                  <w14:solidFill>
                    <w14:schemeClr w14:val="tx1"/>
                  </w14:solidFill>
                </w14:textFill>
              </w:rPr>
              <w:t>单位干部职基本养老保险支出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有人员退休，相关支出减少</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lang w:val="en-US" w:eastAsia="zh-CN"/>
        </w:rPr>
        <w:t>住房公积金</w:t>
      </w:r>
      <w:r>
        <w:rPr>
          <w:rFonts w:hint="eastAsia" w:ascii="仿宋" w:hAnsi="仿宋" w:eastAsia="仿宋"/>
          <w:sz w:val="32"/>
          <w:szCs w:val="32"/>
          <w:highlight w:val="none"/>
        </w:rPr>
        <w:t>支出</w:t>
      </w:r>
      <w:r>
        <w:rPr>
          <w:rFonts w:ascii="仿宋" w:hAnsi="仿宋" w:eastAsia="仿宋"/>
          <w:sz w:val="32"/>
          <w:u w:color="auto"/>
        </w:rPr>
        <w:t>（2</w:t>
      </w:r>
      <w:r>
        <w:rPr>
          <w:rFonts w:hint="eastAsia" w:ascii="仿宋" w:hAnsi="仿宋" w:eastAsia="仿宋"/>
          <w:sz w:val="32"/>
          <w:u w:color="auto"/>
          <w:lang w:val="en-US" w:eastAsia="zh-CN"/>
        </w:rPr>
        <w:t>21</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25.18</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22.81</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90.59</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有人员退休，相关支出减少。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25.18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22.81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90.59%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单位在职在编干部住房公积金缴费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有人员退休，相关支出减少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25.18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22.81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单位在职在编干部住房公积金缴费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有人员退休，相关支出减少</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000000" w:themeColor="text1"/>
          <w:highlight w:val="none"/>
          <w:lang w:val="en-US" w:eastAsia="zh-CN"/>
          <w14:textFill>
            <w14:solidFill>
              <w14:schemeClr w14:val="tx1"/>
            </w14:solidFill>
          </w14:textFill>
        </w:rPr>
      </w:pPr>
      <w:r>
        <w:rPr>
          <w:rFonts w:hint="eastAsia" w:ascii="仿宋" w:hAnsi="仿宋" w:eastAsia="仿宋"/>
          <w:sz w:val="32"/>
          <w:szCs w:val="32"/>
          <w:highlight w:val="none"/>
        </w:rPr>
        <w:t>文化旅游体育与传媒支出</w:t>
      </w:r>
      <w:r>
        <w:rPr>
          <w:rFonts w:ascii="仿宋" w:hAnsi="仿宋" w:eastAsia="仿宋"/>
          <w:sz w:val="32"/>
          <w:u w:color="auto"/>
        </w:rPr>
        <w:t>（2</w:t>
      </w:r>
      <w:r>
        <w:rPr>
          <w:rFonts w:hint="eastAsia" w:ascii="仿宋" w:hAnsi="仿宋" w:eastAsia="仿宋"/>
          <w:sz w:val="32"/>
          <w:u w:color="auto"/>
          <w:lang w:val="en-US" w:eastAsia="zh-CN"/>
        </w:rPr>
        <w:t>07</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132.32</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电影公司补助项目、农家书屋图书更新项目为年中追加，未列入年初预算当中，已按年中追加项目完成相关手续办理。</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2070199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其他文化和旅游支出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39.32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农家书屋图书更新经费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此项经费年初无预算，为年中追加项目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2079999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其他文化旅游体育与传媒支出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90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电影公司安置补偿款</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此项经费年初无预算，为年中追加项目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eastAsia" w:ascii="宋体" w:hAnsi="宋体" w:eastAsia="宋体" w:cs="宋体"/>
                <w:i w:val="0"/>
                <w:iCs w:val="0"/>
                <w:color w:val="000000"/>
                <w:kern w:val="2"/>
                <w:sz w:val="20"/>
                <w:szCs w:val="20"/>
                <w:highlight w:val="none"/>
                <w:u w:val="none"/>
                <w:lang w:val="en-US" w:eastAsia="zh-CN" w:bidi="ar-SA"/>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kern w:val="2"/>
                <w:sz w:val="20"/>
                <w:szCs w:val="20"/>
                <w:highlight w:val="none"/>
                <w:u w:val="none"/>
                <w:lang w:val="en-US" w:eastAsia="zh-CN" w:bidi="ar-SA"/>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132.32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21"/>
                <w:szCs w:val="21"/>
                <w:highlight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电影公司安置补偿款、农家书屋图书更新经费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FF0000"/>
                <w:sz w:val="18"/>
                <w:szCs w:val="18"/>
                <w:highlight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此项经费年初无预算，为年中追加项目</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lang w:val="en-US" w:eastAsia="zh-CN"/>
        </w:rPr>
        <w:t>其他</w:t>
      </w:r>
      <w:r>
        <w:rPr>
          <w:rFonts w:hint="eastAsia" w:ascii="仿宋" w:hAnsi="仿宋" w:eastAsia="仿宋"/>
          <w:sz w:val="32"/>
          <w:szCs w:val="32"/>
          <w:highlight w:val="none"/>
        </w:rPr>
        <w:t>支出</w:t>
      </w:r>
      <w:r>
        <w:rPr>
          <w:rFonts w:ascii="仿宋" w:hAnsi="仿宋" w:eastAsia="仿宋"/>
          <w:sz w:val="32"/>
          <w:u w:color="auto"/>
        </w:rPr>
        <w:t>（22</w:t>
      </w:r>
      <w:r>
        <w:rPr>
          <w:rFonts w:hint="eastAsia" w:ascii="仿宋" w:hAnsi="仿宋" w:eastAsia="仿宋"/>
          <w:sz w:val="32"/>
          <w:u w:color="auto"/>
          <w:lang w:val="en-US" w:eastAsia="zh-CN"/>
        </w:rPr>
        <w:t>9</w:t>
      </w:r>
      <w:r>
        <w:rPr>
          <w:rFonts w:hint="eastAsia" w:ascii="仿宋" w:hAnsi="仿宋" w:eastAsia="仿宋"/>
          <w:sz w:val="32"/>
          <w:szCs w:val="32"/>
          <w:highlight w:val="none"/>
        </w:rPr>
        <w:t>类）年初预算为</w:t>
      </w:r>
      <w:r>
        <w:rPr>
          <w:rFonts w:hint="eastAsia" w:ascii="仿宋" w:hAnsi="仿宋" w:eastAsia="仿宋"/>
          <w:sz w:val="32"/>
          <w:szCs w:val="32"/>
          <w:highlight w:val="none"/>
          <w:lang w:val="en-US" w:eastAsia="zh-CN"/>
        </w:rPr>
        <w:t>0</w:t>
      </w:r>
      <w:r>
        <w:rPr>
          <w:rFonts w:hint="eastAsia" w:ascii="仿宋" w:hAnsi="仿宋" w:eastAsia="仿宋"/>
          <w:sz w:val="32"/>
          <w:szCs w:val="32"/>
          <w:highlight w:val="none"/>
        </w:rPr>
        <w:t>万元，支出决算为</w:t>
      </w:r>
      <w:r>
        <w:rPr>
          <w:rFonts w:hint="eastAsia" w:ascii="仿宋" w:hAnsi="仿宋" w:eastAsia="仿宋"/>
          <w:sz w:val="32"/>
          <w:szCs w:val="32"/>
          <w:highlight w:val="none"/>
          <w:lang w:val="en-US" w:eastAsia="zh-CN"/>
        </w:rPr>
        <w:t>59.21</w:t>
      </w:r>
      <w:r>
        <w:rPr>
          <w:rFonts w:hint="eastAsia" w:ascii="仿宋" w:hAnsi="仿宋" w:eastAsia="仿宋"/>
          <w:sz w:val="32"/>
          <w:szCs w:val="32"/>
          <w:highlight w:val="none"/>
        </w:rPr>
        <w:t>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此项目为年中追加项目，未纳入年初预算。</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59.21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干部职工奖励性补贴发放、餐补发放</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此项经费年初无预算，为年中追加项目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59.21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干部职工奖励性补贴发放、餐补发放</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color w:val="000000" w:themeColor="text1"/>
                <w:sz w:val="18"/>
                <w:szCs w:val="18"/>
                <w:highlight w:val="none"/>
                <w:lang w:val="en-US" w:eastAsia="zh-CN"/>
                <w14:textFill>
                  <w14:solidFill>
                    <w14:schemeClr w14:val="tx1"/>
                  </w14:solidFill>
                </w14:textFill>
              </w:rPr>
              <w:t>此项经费年初无预算，为年中追加项目</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ind w:firstLine="640" w:firstLineChars="200"/>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中共环江毛南族自治县委员会宣传部</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lang w:val="en-US" w:eastAsia="zh-CN"/>
        </w:rPr>
        <w:t>344.14</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312.18</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31.96</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rPr>
        <w:t>工资福利支出</w:t>
      </w:r>
      <w:r>
        <w:rPr>
          <w:rFonts w:hint="eastAsia" w:ascii="仿宋" w:hAnsi="仿宋" w:eastAsia="仿宋" w:cs="仿宋"/>
          <w:sz w:val="32"/>
          <w:u w:color="auto"/>
          <w:lang w:val="en-US" w:eastAsia="zh-CN"/>
        </w:rPr>
        <w:t>306.66</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w:t>
      </w:r>
      <w:r>
        <w:rPr>
          <w:rFonts w:hint="eastAsia" w:ascii="仿宋" w:hAnsi="仿宋" w:eastAsia="仿宋" w:cs="仿宋"/>
          <w:sz w:val="32"/>
          <w:szCs w:val="32"/>
          <w:highlight w:val="none"/>
          <w:lang w:val="en-US" w:eastAsia="zh-CN"/>
        </w:rPr>
        <w:t>13.89</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比年初预算金额增加。</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主要原因是：年中聘用人员增加，以及追加了奖励性补贴发放以及餐补发放资金。</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ind w:right="0" w:rightChars="0" w:firstLine="640" w:firstLineChars="200"/>
        <w:jc w:val="left"/>
        <w:textAlignment w:val="auto"/>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83.71万元，30102津贴补贴31.92万元，30103奖金81.59万元，30106伙食补助费3.93万元，30107绩效工资14.58万元，30108机关事业单位基本养老保险缴费33.59万元，30110职工基本医疗保险缴费13.81万元，30111公务员医疗补助缴费0万元，30112其他社会保障缴费4.2万元，30113住房公积金22.81万元，30199其他工资福利支出16.53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sz w:val="32"/>
          <w:szCs w:val="32"/>
          <w:highlight w:val="none"/>
        </w:rPr>
        <w:t>商品和服务支出</w:t>
      </w:r>
      <w:r>
        <w:rPr>
          <w:rFonts w:hint="eastAsia" w:ascii="仿宋" w:hAnsi="仿宋" w:eastAsia="仿宋" w:cs="仿宋"/>
          <w:sz w:val="32"/>
          <w:u w:color="auto"/>
          <w:lang w:val="en-US" w:eastAsia="zh-CN"/>
        </w:rPr>
        <w:t>31.96</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131.9</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比年初预算金额增加。</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主要原因是：年中增加临时活动等工作任务，导致相关业务经费增加。</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2.19万元，，30206电费0.83万元，30205水费0.07万元30207邮电费2.93万元，30211差旅费8.3万元，30213维修（护）费0.17万元，30215会议费1.46万元，30216培训费0.22万元，30217公务接待费0.75万元，30228工会经费4.18万元，30239其他交通费用10.85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5369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sz w:val="32"/>
          <w:szCs w:val="32"/>
          <w:highlight w:val="none"/>
        </w:rPr>
        <w:t>对个人和家庭的补助</w:t>
      </w:r>
      <w:r>
        <w:rPr>
          <w:rFonts w:hint="eastAsia" w:ascii="仿宋" w:hAnsi="仿宋" w:eastAsia="仿宋" w:cs="仿宋"/>
          <w:sz w:val="32"/>
          <w:szCs w:val="32"/>
          <w:highlight w:val="none"/>
          <w:lang w:val="en-US" w:eastAsia="zh-CN"/>
        </w:rPr>
        <w:t>支出</w:t>
      </w:r>
      <w:r>
        <w:rPr>
          <w:rFonts w:hint="eastAsia" w:ascii="仿宋" w:hAnsi="仿宋" w:eastAsia="仿宋" w:cs="仿宋"/>
          <w:sz w:val="32"/>
          <w:u w:color="auto"/>
          <w:lang w:val="en-US" w:eastAsia="zh-CN"/>
        </w:rPr>
        <w:t>5.53</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122.89</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lang w:val="en-US" w:eastAsia="zh-CN"/>
        </w:rPr>
        <w:t>比年初预算增加。</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主要原因是：有两位同志到龄退休，退休人员经费增加。</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30301离休费0万元，30302退休费4.78万元，30305生活补助0.7万元。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主要原因是：本单位无债务利息及费用支出。</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3939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default" w:ascii="仿宋" w:hAnsi="仿宋" w:eastAsia="仿宋" w:cs="仿宋"/>
          <w:color w:val="FF0000"/>
          <w:sz w:val="32"/>
          <w:szCs w:val="32"/>
          <w:highlight w:val="none"/>
          <w:lang w:val="en-US"/>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主要原因是：本单位无资本性支出。</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主要原因是：本单位无其他支出。</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中共环江毛南族自治县委员会宣传部</w:t>
      </w:r>
      <w:r>
        <w:rPr>
          <w:rFonts w:hint="eastAsia" w:ascii="仿宋" w:hAnsi="仿宋" w:eastAsia="仿宋" w:cs="仿宋"/>
          <w:sz w:val="32"/>
          <w:szCs w:val="32"/>
          <w:highlight w:val="none"/>
        </w:rPr>
        <w:t>2022年度政府性基金支出</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3</w:t>
      </w:r>
      <w:r>
        <w:rPr>
          <w:rFonts w:hint="eastAsia" w:ascii="仿宋" w:hAnsi="仿宋" w:eastAsia="仿宋" w:cs="仿宋"/>
          <w:sz w:val="32"/>
          <w:szCs w:val="32"/>
          <w:highlight w:val="none"/>
        </w:rPr>
        <w:t>万元，</w:t>
      </w:r>
      <w:r>
        <w:rPr>
          <w:rFonts w:ascii="仿宋" w:hAnsi="仿宋" w:eastAsia="仿宋" w:cs="仿宋"/>
          <w:sz w:val="32"/>
          <w:szCs w:val="32"/>
          <w:highlight w:val="none"/>
        </w:rPr>
        <w:t>增长</w:t>
      </w:r>
      <w:r>
        <w:rPr>
          <w:rFonts w:hint="eastAsia" w:ascii="仿宋" w:hAnsi="仿宋" w:eastAsia="仿宋" w:cs="仿宋"/>
          <w:sz w:val="32"/>
          <w:szCs w:val="32"/>
          <w:highlight w:val="none"/>
          <w:lang w:val="en-US" w:eastAsia="zh-CN"/>
        </w:rPr>
        <w:t>10</w:t>
      </w:r>
      <w:r>
        <w:rPr>
          <w:rFonts w:ascii="仿宋" w:hAnsi="仿宋" w:eastAsia="仿宋" w:cs="仿宋"/>
          <w:sz w:val="32"/>
          <w:szCs w:val="32"/>
          <w:highlight w:val="none"/>
        </w:rPr>
        <w:t>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hint="eastAsia" w:ascii="仿宋" w:hAnsi="仿宋" w:eastAsia="仿宋" w:cs="仿宋"/>
          <w:sz w:val="32"/>
          <w:szCs w:val="32"/>
          <w:highlight w:val="none"/>
          <w:lang w:val="en-US" w:eastAsia="zh-CN"/>
        </w:rPr>
        <w:t>3</w:t>
      </w:r>
      <w:r>
        <w:rPr>
          <w:rFonts w:ascii="仿宋" w:hAnsi="仿宋" w:eastAsia="仿宋" w:cs="仿宋"/>
          <w:sz w:val="32"/>
          <w:szCs w:val="32"/>
          <w:highlight w:val="none"/>
        </w:rPr>
        <w:t>.00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中共环江毛南族自治县委员会宣传部</w:t>
      </w:r>
      <w:r>
        <w:rPr>
          <w:rFonts w:hint="eastAsia" w:ascii="仿宋" w:hAnsi="仿宋" w:eastAsia="仿宋" w:cs="仿宋"/>
          <w:sz w:val="32"/>
          <w:szCs w:val="32"/>
          <w:highlight w:val="none"/>
        </w:rPr>
        <w:t>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hint="eastAsia" w:ascii="仿宋" w:hAnsi="仿宋" w:eastAsia="仿宋" w:cs="仿宋"/>
          <w:sz w:val="32"/>
          <w:szCs w:val="32"/>
          <w:highlight w:val="none"/>
          <w:lang w:val="en-US" w:eastAsia="zh-CN"/>
        </w:rPr>
        <w:t>3</w:t>
      </w:r>
      <w:r>
        <w:rPr>
          <w:rFonts w:ascii="仿宋" w:hAnsi="仿宋" w:eastAsia="仿宋" w:cs="仿宋"/>
          <w:sz w:val="32"/>
          <w:szCs w:val="32"/>
          <w:highlight w:val="none"/>
        </w:rPr>
        <w:t>.00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_GB2312" w:hAnsi="Times New Roman" w:eastAsia="仿宋_GB2312" w:cs="Times New Roman"/>
          <w:color w:val="000000" w:themeColor="text1"/>
          <w:sz w:val="32"/>
          <w:szCs w:val="32"/>
          <w:lang w:val="en-US" w:eastAsia="zh-CN"/>
          <w14:textFill>
            <w14:solidFill>
              <w14:schemeClr w14:val="tx1"/>
            </w14:solidFill>
          </w14:textFill>
        </w:rPr>
        <w:t>此项支出为</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国家电影事业发展专项资金对地方影院在疫情期间放映公益宣传片以及影院运营方面的补贴。</w:t>
      </w:r>
    </w:p>
    <w:p>
      <w:pPr>
        <w:ind w:firstLine="640" w:firstLineChars="200"/>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中共环江毛南族自治县委员会宣传部</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中共环江毛南族自治县委员会宣传部</w:t>
      </w:r>
      <w:r>
        <w:rPr>
          <w:rFonts w:hint="eastAsia" w:ascii="仿宋" w:hAnsi="仿宋" w:eastAsia="仿宋" w:cs="仿宋"/>
          <w:sz w:val="32"/>
          <w:szCs w:val="32"/>
          <w:highlight w:val="none"/>
        </w:rPr>
        <w:t>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_GB2312" w:hAnsi="Times New Roman" w:eastAsia="仿宋_GB2312" w:cs="Times New Roman"/>
          <w:color w:val="000000" w:themeColor="text1"/>
          <w:sz w:val="32"/>
          <w:szCs w:val="32"/>
          <w14:textFill>
            <w14:solidFill>
              <w14:schemeClr w14:val="tx1"/>
            </w14:solidFill>
          </w14:textFill>
        </w:rPr>
      </w:pPr>
      <w:bookmarkStart w:id="2" w:name="PO_part3A5B1C1DiffReason1"/>
      <w:r>
        <w:rPr>
          <w:rFonts w:hint="eastAsia" w:ascii="仿宋" w:hAnsi="仿宋" w:eastAsia="仿宋" w:cs="仿宋"/>
          <w:sz w:val="32"/>
          <w:szCs w:val="32"/>
          <w:highlight w:val="none"/>
          <w:lang w:val="en-US" w:eastAsia="zh-CN"/>
        </w:rPr>
        <w:t>中共环江毛南族自治县委员会宣传部</w:t>
      </w:r>
      <w:r>
        <w:rPr>
          <w:rFonts w:ascii="仿宋_GB2312" w:hAnsi="仿宋_GB2312" w:eastAsia="仿宋_GB2312" w:cs="仿宋_GB2312"/>
          <w:color w:val="000000" w:themeColor="text1"/>
          <w:sz w:val="32"/>
          <w:u w:color="auto"/>
          <w14:textFill>
            <w14:solidFill>
              <w14:schemeClr w14:val="tx1"/>
            </w14:solidFill>
          </w14:textFill>
        </w:rPr>
        <w:t>没有国有资本经营预算收入，也没有国有资本经营预算</w:t>
      </w:r>
      <w:r>
        <w:rPr>
          <w:rFonts w:hint="eastAsia" w:ascii="仿宋_GB2312" w:hAnsi="Times New Roman" w:eastAsia="仿宋_GB2312" w:cs="Times New Roman"/>
          <w:color w:val="000000" w:themeColor="text1"/>
          <w:sz w:val="32"/>
          <w:szCs w:val="32"/>
          <w14:textFill>
            <w14:solidFill>
              <w14:schemeClr w14:val="tx1"/>
            </w14:solidFill>
          </w14:textFill>
        </w:rPr>
        <w:t>安排的支出。</w:t>
      </w:r>
      <w:bookmarkEnd w:id="2"/>
    </w:p>
    <w:p>
      <w:pPr>
        <w:ind w:firstLine="640" w:firstLineChars="200"/>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autoSpaceDE w:val="0"/>
        <w:autoSpaceDN w:val="0"/>
        <w:adjustRightInd w:val="0"/>
        <w:spacing w:line="560" w:lineRule="exact"/>
        <w:ind w:firstLine="640" w:firstLineChars="200"/>
        <w:rPr>
          <w:rFonts w:hint="eastAsia" w:ascii="仿宋_GB2312" w:hAnsi="仿宋_GB2312" w:eastAsia="仿宋_GB2312" w:cs="仿宋_GB2312"/>
          <w:sz w:val="32"/>
          <w:szCs w:val="32"/>
          <w:highlight w:val="none"/>
        </w:rPr>
      </w:pPr>
      <w:r>
        <w:rPr>
          <w:rFonts w:hint="eastAsia" w:ascii="仿宋" w:hAnsi="仿宋" w:eastAsia="仿宋" w:cs="仿宋"/>
          <w:sz w:val="32"/>
          <w:szCs w:val="32"/>
          <w:highlight w:val="none"/>
          <w:lang w:val="en-US" w:eastAsia="zh-CN"/>
        </w:rPr>
        <w:t>中共环江毛南族自治县委员会宣传部</w:t>
      </w:r>
      <w:r>
        <w:rPr>
          <w:rFonts w:hint="eastAsia" w:ascii="仿宋_GB2312" w:hAnsi="仿宋_GB2312" w:eastAsia="仿宋_GB2312" w:cs="仿宋_GB2312"/>
          <w:sz w:val="32"/>
          <w:szCs w:val="32"/>
          <w:highlight w:val="none"/>
        </w:rPr>
        <w:t>2022年度一般公共预算财政拨款安排的“三公”经费支出</w:t>
      </w:r>
      <w:r>
        <w:rPr>
          <w:rFonts w:hint="eastAsia" w:ascii="仿宋_GB2312" w:hAnsi="仿宋_GB2312" w:eastAsia="仿宋_GB2312" w:cs="仿宋_GB2312"/>
          <w:sz w:val="32"/>
          <w:szCs w:val="32"/>
          <w:highlight w:val="none"/>
          <w:lang w:val="en-US" w:eastAsia="zh-CN"/>
        </w:rPr>
        <w:t>0.75</w:t>
      </w:r>
      <w:r>
        <w:rPr>
          <w:rFonts w:hint="eastAsia" w:ascii="仿宋_GB2312" w:hAnsi="仿宋_GB2312" w:eastAsia="仿宋_GB2312" w:cs="仿宋_GB2312"/>
          <w:sz w:val="32"/>
          <w:szCs w:val="32"/>
          <w:highlight w:val="none"/>
        </w:rPr>
        <w:t>万元，完成年初预算的</w:t>
      </w:r>
      <w:r>
        <w:rPr>
          <w:rFonts w:hint="eastAsia" w:ascii="仿宋_GB2312" w:hAnsi="仿宋_GB2312" w:eastAsia="仿宋_GB2312" w:cs="仿宋_GB2312"/>
          <w:sz w:val="32"/>
          <w:szCs w:val="32"/>
          <w:highlight w:val="none"/>
          <w:lang w:val="en-US" w:eastAsia="zh-CN"/>
        </w:rPr>
        <w:t>83.33</w:t>
      </w:r>
      <w:r>
        <w:rPr>
          <w:rFonts w:hint="eastAsia" w:ascii="仿宋_GB2312" w:hAnsi="仿宋_GB2312" w:eastAsia="仿宋_GB2312" w:cs="仿宋_GB2312"/>
          <w:sz w:val="32"/>
          <w:szCs w:val="32"/>
          <w:highlight w:val="none"/>
        </w:rPr>
        <w:t>%，比上年</w:t>
      </w:r>
      <w:r>
        <w:rPr>
          <w:rFonts w:hint="eastAsia" w:ascii="仿宋_GB2312" w:hAnsi="仿宋_GB2312" w:eastAsia="仿宋_GB2312" w:cs="仿宋_GB2312"/>
          <w:sz w:val="32"/>
          <w:szCs w:val="32"/>
          <w:highlight w:val="none"/>
          <w:lang w:val="en-US" w:eastAsia="zh-CN"/>
        </w:rPr>
        <w:t>减少0.15</w:t>
      </w:r>
      <w:r>
        <w:rPr>
          <w:rFonts w:hint="eastAsia" w:ascii="仿宋_GB2312" w:hAnsi="仿宋_GB2312" w:eastAsia="仿宋_GB2312" w:cs="仿宋_GB2312"/>
          <w:sz w:val="32"/>
          <w:szCs w:val="32"/>
          <w:highlight w:val="none"/>
        </w:rPr>
        <w:t>万元，</w:t>
      </w:r>
      <w:r>
        <w:rPr>
          <w:rFonts w:hint="eastAsia" w:ascii="仿宋_GB2312" w:hAnsi="仿宋_GB2312" w:eastAsia="仿宋_GB2312" w:cs="仿宋_GB2312"/>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bCs/>
          <w:spacing w:val="6"/>
          <w:kern w:val="0"/>
          <w:sz w:val="32"/>
          <w:szCs w:val="32"/>
        </w:rPr>
        <w:t>认真贯彻落实中央“八项规定”精神和厉行节约要求，严控和压缩“三公”经费相关支</w:t>
      </w:r>
      <w:r>
        <w:rPr>
          <w:rFonts w:hint="eastAsia" w:ascii="仿宋_GB2312" w:hAnsi="仿宋_GB2312" w:eastAsia="仿宋_GB2312" w:cs="仿宋_GB2312"/>
          <w:bCs/>
          <w:kern w:val="0"/>
          <w:sz w:val="32"/>
          <w:szCs w:val="32"/>
        </w:rPr>
        <w:t>出。</w:t>
      </w:r>
      <w:r>
        <w:rPr>
          <w:rFonts w:hint="eastAsia" w:ascii="仿宋_GB2312" w:hAnsi="仿宋_GB2312" w:eastAsia="仿宋_GB2312" w:cs="仿宋_GB2312"/>
          <w:color w:val="000000" w:themeColor="text1"/>
          <w:sz w:val="32"/>
          <w:szCs w:val="32"/>
          <w:highlight w:val="none"/>
          <w14:textFill>
            <w14:solidFill>
              <w14:schemeClr w14:val="tx1"/>
            </w14:solidFill>
          </w14:textFill>
        </w:rPr>
        <w:t>其中：因公出国（境）费支出决算0.00</w:t>
      </w:r>
      <w:r>
        <w:rPr>
          <w:rFonts w:hint="eastAsia" w:ascii="仿宋_GB2312" w:hAnsi="仿宋_GB2312" w:eastAsia="仿宋_GB2312" w:cs="仿宋_GB2312"/>
          <w:sz w:val="32"/>
          <w:szCs w:val="32"/>
          <w:highlight w:val="none"/>
        </w:rPr>
        <w:t>万元，公务用车购置及运行费支出决算0.00万元，公务接待费支出决算</w:t>
      </w:r>
      <w:r>
        <w:rPr>
          <w:rFonts w:hint="eastAsia" w:ascii="仿宋_GB2312" w:hAnsi="仿宋_GB2312" w:eastAsia="仿宋_GB2312" w:cs="仿宋_GB2312"/>
          <w:sz w:val="32"/>
          <w:szCs w:val="32"/>
          <w:highlight w:val="none"/>
          <w:lang w:val="en-US" w:eastAsia="zh-CN"/>
        </w:rPr>
        <w:t>0.75</w:t>
      </w:r>
      <w:r>
        <w:rPr>
          <w:rFonts w:hint="eastAsia" w:ascii="仿宋_GB2312" w:hAnsi="仿宋_GB2312" w:eastAsia="仿宋_GB2312" w:cs="仿宋_GB2312"/>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hint="eastAsia" w:ascii="仿宋" w:hAnsi="仿宋" w:eastAsia="仿宋_GB2312" w:cs="仿宋"/>
          <w:sz w:val="32"/>
          <w:szCs w:val="32"/>
          <w:highlight w:val="none"/>
          <w:lang w:eastAsia="zh-CN"/>
        </w:rPr>
      </w:pPr>
      <w:r>
        <w:rPr>
          <w:rFonts w:hint="eastAsia" w:ascii="仿宋" w:hAnsi="仿宋" w:eastAsia="仿宋" w:cs="仿宋"/>
          <w:sz w:val="32"/>
          <w:szCs w:val="32"/>
          <w:highlight w:val="none"/>
        </w:rPr>
        <w:t>（一）因公出国（境）费支出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原因是：本单位无因公出国（境）相关工作安排。</w:t>
      </w:r>
      <w:r>
        <w:rPr>
          <w:rFonts w:hint="eastAsia" w:ascii="仿宋" w:hAnsi="仿宋" w:eastAsia="仿宋" w:cs="仿宋"/>
          <w:sz w:val="32"/>
          <w:szCs w:val="32"/>
          <w:highlight w:val="none"/>
        </w:rPr>
        <w:t>全年因公出国（境）团组共计</w:t>
      </w:r>
      <w:r>
        <w:rPr>
          <w:rFonts w:ascii="仿宋" w:hAnsi="仿宋" w:eastAsia="仿宋" w:cs="仿宋"/>
          <w:sz w:val="32"/>
          <w:szCs w:val="32"/>
          <w:highlight w:val="none"/>
        </w:rPr>
        <w:t>0</w:t>
      </w:r>
      <w:r>
        <w:rPr>
          <w:rFonts w:hint="eastAsia" w:ascii="仿宋" w:hAnsi="仿宋" w:eastAsia="仿宋" w:cs="仿宋"/>
          <w:sz w:val="32"/>
          <w:szCs w:val="32"/>
          <w:highlight w:val="none"/>
        </w:rPr>
        <w:t>个，累计</w:t>
      </w:r>
      <w:r>
        <w:rPr>
          <w:rFonts w:ascii="仿宋" w:hAnsi="仿宋" w:eastAsia="仿宋" w:cs="仿宋"/>
          <w:sz w:val="32"/>
          <w:szCs w:val="32"/>
          <w:highlight w:val="none"/>
        </w:rPr>
        <w:t>0</w:t>
      </w:r>
      <w:r>
        <w:rPr>
          <w:rFonts w:hint="eastAsia" w:ascii="仿宋" w:hAnsi="仿宋" w:eastAsia="仿宋" w:cs="仿宋"/>
          <w:sz w:val="32"/>
          <w:szCs w:val="32"/>
          <w:highlight w:val="none"/>
        </w:rPr>
        <w:t>人次。</w:t>
      </w:r>
      <w:r>
        <w:rPr>
          <w:rFonts w:hint="eastAsia" w:ascii="仿宋_GB2312" w:hAnsi="Times New Roman" w:eastAsia="仿宋_GB2312" w:cs="Times New Roman"/>
          <w:color w:val="000000" w:themeColor="text1"/>
          <w:sz w:val="32"/>
          <w:szCs w:val="32"/>
          <w14:textFill>
            <w14:solidFill>
              <w14:schemeClr w14:val="tx1"/>
            </w14:solidFill>
          </w14:textFill>
        </w:rPr>
        <w:t>开支内容包括：</w:t>
      </w:r>
      <w:r>
        <w:rPr>
          <w:rFonts w:hint="eastAsia" w:ascii="仿宋_GB2312" w:hAnsi="Times New Roman" w:eastAsia="仿宋_GB2312" w:cs="Times New Roman"/>
          <w:color w:val="000000" w:themeColor="text1"/>
          <w:sz w:val="32"/>
          <w:szCs w:val="32"/>
          <w:lang w:eastAsia="zh-CN"/>
          <w14:textFill>
            <w14:solidFill>
              <w14:schemeClr w14:val="tx1"/>
            </w14:solidFill>
          </w14:textFill>
        </w:rPr>
        <w:t>无。</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bookmarkStart w:id="3" w:name="PO_part3A6B2IncReason1"/>
      <w:r>
        <w:rPr>
          <w:rFonts w:hint="eastAsia" w:ascii="仿宋" w:hAnsi="仿宋" w:eastAsia="仿宋" w:cs="仿宋"/>
          <w:color w:val="000000" w:themeColor="text1"/>
          <w:sz w:val="32"/>
          <w:szCs w:val="32"/>
          <w14:textFill>
            <w14:solidFill>
              <w14:schemeClr w14:val="tx1"/>
            </w14:solidFill>
          </w14:textFill>
        </w:rPr>
        <w:t>本部门无公务用车购置</w:t>
      </w:r>
      <w:bookmarkEnd w:id="3"/>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14:textFill>
            <w14:solidFill>
              <w14:schemeClr w14:val="tx1"/>
            </w14:solidFill>
          </w14:textFill>
        </w:rPr>
        <w:t>本部门无公务用车购置。</w:t>
      </w:r>
      <w:r>
        <w:rPr>
          <w:rFonts w:hint="eastAsia" w:ascii="仿宋" w:hAnsi="仿宋" w:eastAsia="仿宋" w:cs="仿宋"/>
          <w:sz w:val="32"/>
          <w:szCs w:val="32"/>
          <w:highlight w:val="none"/>
        </w:rPr>
        <w:t>2022年，</w:t>
      </w:r>
      <w:r>
        <w:rPr>
          <w:rFonts w:hint="eastAsia" w:ascii="仿宋" w:hAnsi="仿宋" w:eastAsia="仿宋" w:cs="仿宋"/>
          <w:sz w:val="32"/>
          <w:szCs w:val="32"/>
          <w:highlight w:val="none"/>
          <w:lang w:val="en-US" w:eastAsia="zh-CN"/>
        </w:rPr>
        <w:t>中共环江毛南族自治县委员会宣传部</w:t>
      </w:r>
      <w:r>
        <w:rPr>
          <w:rFonts w:hint="eastAsia" w:ascii="仿宋" w:hAnsi="仿宋" w:eastAsia="仿宋" w:cs="仿宋"/>
          <w:sz w:val="32"/>
          <w:szCs w:val="32"/>
          <w:highlight w:val="none"/>
        </w:rPr>
        <w:t>及所属单位开支财政拨款的公务用车保有量为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sz w:val="32"/>
          <w:szCs w:val="32"/>
          <w:highlight w:val="none"/>
          <w14:textFill>
            <w14:solidFill>
              <w14:schemeClr w14:val="tx1"/>
            </w14:solidFill>
          </w14:textFill>
        </w:rPr>
        <w:t>平均每辆</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0.75</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83.33</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hint="eastAsia" w:ascii="仿宋" w:hAnsi="仿宋" w:eastAsia="仿宋" w:cs="仿宋"/>
          <w:sz w:val="32"/>
          <w:szCs w:val="32"/>
          <w:highlight w:val="none"/>
          <w:lang w:val="en-US" w:eastAsia="zh-CN"/>
        </w:rPr>
        <w:t>减少0.15</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bCs/>
          <w:spacing w:val="6"/>
          <w:kern w:val="0"/>
          <w:sz w:val="32"/>
          <w:szCs w:val="32"/>
        </w:rPr>
        <w:t>认真贯彻落实中央“八项规定”精神和厉行节约要求，严控和压缩“三公”经费相关支</w:t>
      </w:r>
      <w:r>
        <w:rPr>
          <w:rFonts w:hint="eastAsia" w:ascii="仿宋_GB2312" w:hAnsi="仿宋_GB2312" w:eastAsia="仿宋_GB2312" w:cs="仿宋_GB2312"/>
          <w:bCs/>
          <w:kern w:val="0"/>
          <w:sz w:val="32"/>
          <w:szCs w:val="32"/>
        </w:rPr>
        <w:t>出。</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1</w:t>
      </w:r>
      <w:r>
        <w:rPr>
          <w:rFonts w:hint="eastAsia" w:ascii="仿宋" w:hAnsi="仿宋" w:eastAsia="仿宋" w:cs="仿宋"/>
          <w:color w:val="000000" w:themeColor="text1"/>
          <w:sz w:val="32"/>
          <w:szCs w:val="32"/>
          <w:highlight w:val="none"/>
          <w:lang w:val="en-US" w:eastAsia="zh-CN"/>
          <w14:textFill>
            <w14:solidFill>
              <w14:schemeClr w14:val="tx1"/>
            </w14:solidFill>
          </w14:textFill>
        </w:rPr>
        <w:t>6</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96</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ind w:firstLine="640" w:firstLineChars="200"/>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rPr>
        <w:t>（一</w:t>
      </w:r>
      <w:r>
        <w:rPr>
          <w:rFonts w:hint="eastAsia" w:ascii="黑体" w:hAnsi="黑体" w:eastAsia="黑体" w:cs="黑体"/>
          <w:sz w:val="32"/>
          <w:szCs w:val="32"/>
          <w:highlight w:val="none"/>
          <w:lang w:eastAsia="zh-CN"/>
        </w:rPr>
        <w:t>）</w:t>
      </w:r>
      <w:r>
        <w:rPr>
          <w:rFonts w:hint="eastAsia" w:ascii="黑体" w:hAnsi="黑体" w:eastAsia="黑体" w:cs="黑体"/>
          <w:sz w:val="32"/>
          <w:szCs w:val="32"/>
          <w:highlight w:val="none"/>
        </w:rPr>
        <w:t>机关运行经费支出情况说明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sz w:val="32"/>
          <w:szCs w:val="32"/>
          <w:highlight w:val="none"/>
        </w:rPr>
        <w:t>本部门2022年度机关运行经费支出</w:t>
      </w:r>
      <w:r>
        <w:rPr>
          <w:rFonts w:hint="eastAsia" w:ascii="仿宋" w:hAnsi="仿宋" w:eastAsia="仿宋" w:cs="仿宋"/>
          <w:sz w:val="32"/>
          <w:szCs w:val="32"/>
          <w:highlight w:val="none"/>
          <w:lang w:val="en-US" w:eastAsia="zh-CN"/>
        </w:rPr>
        <w:t>31.96</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5</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eastAsia" w:ascii="仿宋" w:hAnsi="仿宋" w:eastAsia="仿宋" w:cs="仿宋"/>
          <w:sz w:val="32"/>
          <w:szCs w:val="32"/>
          <w:highlight w:val="none"/>
          <w:lang w:val="en-US" w:eastAsia="zh-CN"/>
        </w:rPr>
        <w:t>13.53</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hint="eastAsia" w:ascii="仿宋" w:hAnsi="仿宋" w:eastAsia="仿宋" w:cs="仿宋"/>
          <w:sz w:val="32"/>
          <w:szCs w:val="32"/>
          <w:highlight w:val="none"/>
          <w:lang w:val="en-US" w:eastAsia="zh-CN"/>
        </w:rPr>
        <w:t>减少26.65</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下降45.47</w:t>
      </w:r>
      <w:r>
        <w:rPr>
          <w:rFonts w:ascii="仿宋" w:hAnsi="仿宋" w:eastAsia="仿宋" w:cs="仿宋"/>
          <w:sz w:val="32"/>
          <w:szCs w:val="32"/>
          <w:highlight w:val="none"/>
        </w:rPr>
        <w:t>%</w:t>
      </w:r>
      <w:r>
        <w:rPr>
          <w:rFonts w:hint="eastAsia" w:ascii="仿宋" w:hAnsi="仿宋" w:eastAsia="仿宋" w:cs="仿宋"/>
          <w:sz w:val="32"/>
          <w:szCs w:val="32"/>
          <w:highlight w:val="none"/>
        </w:rPr>
        <w:t>。</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党学办撤销，相关办公经费下降</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其余股室认真贯彻</w:t>
      </w:r>
      <w:r>
        <w:rPr>
          <w:rFonts w:hint="eastAsia" w:ascii="仿宋" w:hAnsi="仿宋" w:eastAsia="仿宋" w:cs="仿宋"/>
          <w:color w:val="000000" w:themeColor="text1"/>
          <w:sz w:val="32"/>
          <w:szCs w:val="32"/>
          <w:highlight w:val="none"/>
          <w14:textFill>
            <w14:solidFill>
              <w14:schemeClr w14:val="tx1"/>
            </w14:solidFill>
          </w14:textFill>
        </w:rPr>
        <w:t>落实过紧日子要求</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14:textFill>
            <w14:solidFill>
              <w14:schemeClr w14:val="tx1"/>
            </w14:solidFill>
          </w14:textFill>
        </w:rPr>
        <w:t>压减</w:t>
      </w:r>
      <w:r>
        <w:rPr>
          <w:rFonts w:hint="eastAsia" w:ascii="仿宋" w:hAnsi="仿宋" w:eastAsia="仿宋" w:cs="仿宋"/>
          <w:color w:val="000000" w:themeColor="text1"/>
          <w:sz w:val="32"/>
          <w:szCs w:val="32"/>
          <w:highlight w:val="none"/>
          <w:lang w:val="en-US" w:eastAsia="zh-CN"/>
          <w14:textFill>
            <w14:solidFill>
              <w14:schemeClr w14:val="tx1"/>
            </w14:solidFill>
          </w14:textFill>
        </w:rPr>
        <w:t>基本办公经费</w:t>
      </w:r>
      <w:r>
        <w:rPr>
          <w:rFonts w:hint="eastAsia" w:ascii="仿宋" w:hAnsi="仿宋" w:eastAsia="仿宋" w:cs="仿宋"/>
          <w:color w:val="000000" w:themeColor="text1"/>
          <w:sz w:val="32"/>
          <w:szCs w:val="32"/>
          <w:highlight w:val="none"/>
          <w14:textFill>
            <w14:solidFill>
              <w14:schemeClr w14:val="tx1"/>
            </w14:solidFill>
          </w14:textFill>
        </w:rPr>
        <w:t>支出。</w:t>
      </w:r>
    </w:p>
    <w:p>
      <w:pPr>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23.48</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23.48</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万元。授予中小企业合同金额</w:t>
      </w:r>
      <w:r>
        <w:rPr>
          <w:rFonts w:hint="eastAsia" w:ascii="仿宋" w:hAnsi="仿宋" w:eastAsia="仿宋" w:cs="仿宋"/>
          <w:sz w:val="32"/>
          <w:szCs w:val="32"/>
          <w:highlight w:val="none"/>
          <w:lang w:val="en-US" w:eastAsia="zh-CN"/>
        </w:rPr>
        <w:t>23.48</w:t>
      </w:r>
      <w:r>
        <w:rPr>
          <w:rFonts w:hint="eastAsia" w:ascii="仿宋" w:hAnsi="仿宋" w:eastAsia="仿宋" w:cs="仿宋"/>
          <w:sz w:val="32"/>
          <w:szCs w:val="32"/>
          <w:highlight w:val="none"/>
        </w:rPr>
        <w:t>万元，占政府采购支出总额的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.00%</w:t>
      </w:r>
      <w:r>
        <w:rPr>
          <w:rFonts w:hint="eastAsia" w:ascii="仿宋" w:hAnsi="仿宋" w:eastAsia="仿宋" w:cs="仿宋"/>
          <w:sz w:val="32"/>
          <w:szCs w:val="32"/>
          <w:highlight w:val="none"/>
        </w:rPr>
        <w:t>，其中：授予小微企业合同金额</w:t>
      </w:r>
      <w:r>
        <w:rPr>
          <w:rFonts w:hint="eastAsia" w:ascii="仿宋" w:hAnsi="仿宋" w:eastAsia="仿宋" w:cs="仿宋"/>
          <w:sz w:val="32"/>
          <w:szCs w:val="32"/>
          <w:highlight w:val="none"/>
          <w:lang w:val="en-US" w:eastAsia="zh-CN"/>
        </w:rPr>
        <w:t>23.48</w:t>
      </w:r>
      <w:r>
        <w:rPr>
          <w:rFonts w:hint="eastAsia" w:ascii="仿宋" w:hAnsi="仿宋" w:eastAsia="仿宋" w:cs="仿宋"/>
          <w:sz w:val="32"/>
          <w:szCs w:val="32"/>
          <w:highlight w:val="none"/>
        </w:rPr>
        <w:t>万元，占授予中小企业合同金额的</w:t>
      </w:r>
      <w:r>
        <w:rPr>
          <w:rFonts w:hint="eastAsia" w:ascii="仿宋" w:hAnsi="仿宋" w:eastAsia="仿宋" w:cs="仿宋"/>
          <w:sz w:val="32"/>
          <w:szCs w:val="32"/>
          <w:highlight w:val="none"/>
          <w:lang w:val="en-US" w:eastAsia="zh-CN"/>
        </w:rPr>
        <w:t>10</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2</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533.8</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68.4</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国家电影事业发展专项资金项目等</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lang w:val="en-US" w:eastAsia="zh-CN"/>
          <w14:textFill>
            <w14:solidFill>
              <w14:schemeClr w14:val="tx1"/>
            </w14:solidFill>
          </w14:textFill>
        </w:rPr>
        <w:t>经</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本单位</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媒体合作经费</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533.8</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val="en-US" w:eastAsia="zh-CN"/>
          <w14:textFill>
            <w14:solidFill>
              <w14:schemeClr w14:val="tx1"/>
            </w14:solidFill>
          </w14:textFill>
        </w:rPr>
        <w:t>所实施的项目支出金额大，涉及面广，重点保障民生资金落实等情况。其中仅媒体合作费项目因客观原因，预算执行率为82.53%，其余两个项目在实施过程中，资金均能按时拨付，对全年的工作起到很好的促进作用，推动各项任务目标在年内能够圆满完成</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lang w:val="en-US" w:eastAsia="zh-CN"/>
          <w14:textFill>
            <w14:solidFill>
              <w14:schemeClr w14:val="tx1"/>
            </w14:solidFill>
          </w14:textFill>
        </w:rPr>
        <w:t>经</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本单位</w:t>
      </w:r>
      <w:r>
        <w:rPr>
          <w:rFonts w:hint="eastAsia" w:ascii="仿宋" w:hAnsi="仿宋" w:eastAsia="仿宋" w:cs="仿宋"/>
          <w:color w:val="000000" w:themeColor="text1"/>
          <w:sz w:val="32"/>
          <w:szCs w:val="32"/>
          <w14:textFill>
            <w14:solidFill>
              <w14:schemeClr w14:val="tx1"/>
            </w14:solidFill>
          </w14:textFill>
        </w:rPr>
        <w:t>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1121.6</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val="en-US" w:eastAsia="zh-CN"/>
          <w14:textFill>
            <w14:solidFill>
              <w14:schemeClr w14:val="tx1"/>
            </w14:solidFill>
          </w14:textFill>
        </w:rPr>
        <w:t>本年各项工作经费都在年初实现了经费预算保障，支出金额已达到年初预算要求，年中临时增加的工作任务，均能够按照财政部门要求进行预算调整以及年中项目预算绩效追加，通过实施单位整体支出绩效评价，对单位履职尽责以及相关项目资金的使用，起到很好的监督和保障作用</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 w:hAnsi="仿宋" w:eastAsia="仿宋" w:cs="仿宋"/>
          <w:color w:val="000000" w:themeColor="text1"/>
          <w:sz w:val="32"/>
          <w:szCs w:val="32"/>
          <w:lang w:val="en-US" w:eastAsia="zh-CN"/>
          <w14:textFill>
            <w14:solidFill>
              <w14:schemeClr w14:val="tx1"/>
            </w14:solidFill>
          </w14:textFill>
        </w:rPr>
        <w:t>党报党刊征订经费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项目实施过程中未出现目标任务偏离或经费无保障等问题</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电影公司安置补偿款</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项目实施过程中未出现目标任务偏离或经费无保障等问题</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val="en-US" w:eastAsia="zh-CN"/>
          <w14:textFill>
            <w14:solidFill>
              <w14:schemeClr w14:val="tx1"/>
            </w14:solidFill>
          </w14:textFill>
        </w:rPr>
        <w:t>媒体合作经费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96.25</w:t>
      </w:r>
      <w:r>
        <w:rPr>
          <w:rFonts w:hint="eastAsia" w:ascii="仿宋" w:hAnsi="仿宋" w:eastAsia="仿宋" w:cs="仿宋"/>
          <w:color w:val="000000" w:themeColor="text1"/>
          <w:sz w:val="32"/>
          <w:szCs w:val="32"/>
          <w14:textFill>
            <w14:solidFill>
              <w14:schemeClr w14:val="tx1"/>
            </w14:solidFill>
          </w14:textFill>
        </w:rPr>
        <w:t>分。发现的主要问题及原因：一是</w:t>
      </w:r>
      <w:r>
        <w:rPr>
          <w:rFonts w:hint="eastAsia" w:ascii="仿宋" w:hAnsi="仿宋" w:eastAsia="仿宋" w:cs="仿宋"/>
          <w:color w:val="000000" w:themeColor="text1"/>
          <w:sz w:val="32"/>
          <w:szCs w:val="32"/>
          <w:lang w:val="en-US" w:eastAsia="zh-CN"/>
          <w14:textFill>
            <w14:solidFill>
              <w14:schemeClr w14:val="tx1"/>
            </w14:solidFill>
          </w14:textFill>
        </w:rPr>
        <w:t>项目安排预算之后，前期准备工作不足，影响合同签订和履约</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项目验收条件较多，进度缓慢，影响资金拨付进度</w:t>
      </w:r>
      <w:r>
        <w:rPr>
          <w:rFonts w:hint="eastAsia" w:ascii="仿宋" w:hAnsi="仿宋" w:eastAsia="仿宋" w:cs="仿宋"/>
          <w:color w:val="000000" w:themeColor="text1"/>
          <w:sz w:val="32"/>
          <w:szCs w:val="32"/>
          <w14:textFill>
            <w14:solidFill>
              <w14:schemeClr w14:val="tx1"/>
            </w14:solidFill>
          </w14:textFill>
        </w:rPr>
        <w:t>。下一步改进措施：一是</w:t>
      </w:r>
      <w:r>
        <w:rPr>
          <w:rFonts w:hint="eastAsia" w:ascii="仿宋" w:hAnsi="仿宋" w:eastAsia="仿宋" w:cs="仿宋"/>
          <w:color w:val="000000" w:themeColor="text1"/>
          <w:sz w:val="32"/>
          <w:szCs w:val="32"/>
          <w:lang w:val="en-US" w:eastAsia="zh-CN"/>
          <w14:textFill>
            <w14:solidFill>
              <w14:schemeClr w14:val="tx1"/>
            </w14:solidFill>
          </w14:textFill>
        </w:rPr>
        <w:t>做好年初规划和前期筹备工作，在年初即启动合作计划并确定合作内容，完成签约，实施合作加快项目实施推进</w:t>
      </w:r>
      <w:r>
        <w:rPr>
          <w:rFonts w:hint="eastAsia" w:ascii="仿宋" w:hAnsi="仿宋" w:eastAsia="仿宋" w:cs="仿宋"/>
          <w:color w:val="000000" w:themeColor="text1"/>
          <w:sz w:val="32"/>
          <w:szCs w:val="32"/>
          <w14:textFill>
            <w14:solidFill>
              <w14:schemeClr w14:val="tx1"/>
            </w14:solidFill>
          </w14:textFill>
        </w:rPr>
        <w:t>；二是</w:t>
      </w:r>
      <w:r>
        <w:rPr>
          <w:rFonts w:hint="eastAsia" w:ascii="仿宋" w:hAnsi="仿宋" w:eastAsia="仿宋" w:cs="仿宋"/>
          <w:color w:val="000000" w:themeColor="text1"/>
          <w:sz w:val="32"/>
          <w:szCs w:val="32"/>
          <w:lang w:val="en-US" w:eastAsia="zh-CN"/>
          <w14:textFill>
            <w14:solidFill>
              <w14:schemeClr w14:val="tx1"/>
            </w14:solidFill>
          </w14:textFill>
        </w:rPr>
        <w:t>加强业务人员培训，做好材料验收与检查工作，提高验收效率，加强资金管理，尽快完成资金拨付，达到年初既定目标</w:t>
      </w:r>
      <w:r>
        <w:rPr>
          <w:rFonts w:hint="eastAsia" w:ascii="仿宋" w:hAnsi="仿宋" w:eastAsia="仿宋" w:cs="仿宋"/>
          <w:color w:val="000000" w:themeColor="text1"/>
          <w:sz w:val="32"/>
          <w:szCs w:val="32"/>
          <w14:textFill>
            <w14:solidFill>
              <w14:schemeClr w14:val="tx1"/>
            </w14:solidFill>
          </w14:textFill>
        </w:rPr>
        <w:t>。</w:t>
      </w: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val="en-US"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val="en-US"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val="en-US" w:eastAsia="zh-CN"/>
        </w:rPr>
        <w:t>环江县</w:t>
      </w:r>
      <w:bookmarkStart w:id="4" w:name="_GoBack"/>
      <w:bookmarkEnd w:id="4"/>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984" w:right="1531" w:bottom="1417" w:left="1531" w:header="851" w:footer="992" w:gutter="0"/>
      <w:pgNumType w:fmt="decimal"/>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7B0770E"/>
    <w:rsid w:val="0942143F"/>
    <w:rsid w:val="0D100297"/>
    <w:rsid w:val="0D202B45"/>
    <w:rsid w:val="0F8D4C87"/>
    <w:rsid w:val="10505FAA"/>
    <w:rsid w:val="105F7E7E"/>
    <w:rsid w:val="11E56B5B"/>
    <w:rsid w:val="125C77AB"/>
    <w:rsid w:val="134C1F93"/>
    <w:rsid w:val="14CB726E"/>
    <w:rsid w:val="17E92249"/>
    <w:rsid w:val="18D304F1"/>
    <w:rsid w:val="19F32577"/>
    <w:rsid w:val="19F45B80"/>
    <w:rsid w:val="1B0C078D"/>
    <w:rsid w:val="1B2B31E2"/>
    <w:rsid w:val="1B4C295A"/>
    <w:rsid w:val="1B973C63"/>
    <w:rsid w:val="1BA1001E"/>
    <w:rsid w:val="1D317259"/>
    <w:rsid w:val="1E664F5B"/>
    <w:rsid w:val="1EB34BE1"/>
    <w:rsid w:val="215E639F"/>
    <w:rsid w:val="21EC3183"/>
    <w:rsid w:val="225E72CD"/>
    <w:rsid w:val="246E2F77"/>
    <w:rsid w:val="254B4E2B"/>
    <w:rsid w:val="27FA2D39"/>
    <w:rsid w:val="283D7C94"/>
    <w:rsid w:val="29480E03"/>
    <w:rsid w:val="2983634D"/>
    <w:rsid w:val="2BB02055"/>
    <w:rsid w:val="2C575A56"/>
    <w:rsid w:val="2F257714"/>
    <w:rsid w:val="2F3275E5"/>
    <w:rsid w:val="30AA08EF"/>
    <w:rsid w:val="30D23D1C"/>
    <w:rsid w:val="31221CF5"/>
    <w:rsid w:val="31400178"/>
    <w:rsid w:val="321E3342"/>
    <w:rsid w:val="327759C8"/>
    <w:rsid w:val="33185FE3"/>
    <w:rsid w:val="34EE2E36"/>
    <w:rsid w:val="36777241"/>
    <w:rsid w:val="38A951DB"/>
    <w:rsid w:val="38B31605"/>
    <w:rsid w:val="39003F4F"/>
    <w:rsid w:val="3C07002B"/>
    <w:rsid w:val="3D0D152A"/>
    <w:rsid w:val="3DF62756"/>
    <w:rsid w:val="3F1B7587"/>
    <w:rsid w:val="41E57B4F"/>
    <w:rsid w:val="432F26F6"/>
    <w:rsid w:val="43880F63"/>
    <w:rsid w:val="441C5A6F"/>
    <w:rsid w:val="44C44FCC"/>
    <w:rsid w:val="44CC7369"/>
    <w:rsid w:val="457F5108"/>
    <w:rsid w:val="46951B6B"/>
    <w:rsid w:val="49A34401"/>
    <w:rsid w:val="4A3E30AB"/>
    <w:rsid w:val="4AC14DAC"/>
    <w:rsid w:val="4D154C85"/>
    <w:rsid w:val="4EC8553A"/>
    <w:rsid w:val="4F8F33AA"/>
    <w:rsid w:val="508F4E24"/>
    <w:rsid w:val="51461E90"/>
    <w:rsid w:val="51463753"/>
    <w:rsid w:val="52553A93"/>
    <w:rsid w:val="53521F8B"/>
    <w:rsid w:val="53E22F47"/>
    <w:rsid w:val="54522FF8"/>
    <w:rsid w:val="55450629"/>
    <w:rsid w:val="56692963"/>
    <w:rsid w:val="568B0F48"/>
    <w:rsid w:val="5786217B"/>
    <w:rsid w:val="59337A15"/>
    <w:rsid w:val="59810274"/>
    <w:rsid w:val="5CA96A00"/>
    <w:rsid w:val="5CF730BC"/>
    <w:rsid w:val="5D3A301F"/>
    <w:rsid w:val="5E5F0DCE"/>
    <w:rsid w:val="5E6B5871"/>
    <w:rsid w:val="5FA40A7B"/>
    <w:rsid w:val="5FD56D29"/>
    <w:rsid w:val="5FEC7F3F"/>
    <w:rsid w:val="60F74BC3"/>
    <w:rsid w:val="617D3BF8"/>
    <w:rsid w:val="61841F6A"/>
    <w:rsid w:val="623007A9"/>
    <w:rsid w:val="637D7558"/>
    <w:rsid w:val="644F19AC"/>
    <w:rsid w:val="65AA4920"/>
    <w:rsid w:val="67694F1E"/>
    <w:rsid w:val="69597934"/>
    <w:rsid w:val="6B964DDC"/>
    <w:rsid w:val="6C783074"/>
    <w:rsid w:val="6D9E65C6"/>
    <w:rsid w:val="6DA81947"/>
    <w:rsid w:val="6EB66DE2"/>
    <w:rsid w:val="6ED3075F"/>
    <w:rsid w:val="6F2A2D4B"/>
    <w:rsid w:val="6F2F4D08"/>
    <w:rsid w:val="6F8A0C1E"/>
    <w:rsid w:val="703F45D4"/>
    <w:rsid w:val="715D6546"/>
    <w:rsid w:val="71BE069E"/>
    <w:rsid w:val="73953409"/>
    <w:rsid w:val="73E069A3"/>
    <w:rsid w:val="78104AA8"/>
    <w:rsid w:val="78E257C5"/>
    <w:rsid w:val="794B35BE"/>
    <w:rsid w:val="7B0A3A31"/>
    <w:rsid w:val="7B3360ED"/>
    <w:rsid w:val="7B5319F3"/>
    <w:rsid w:val="7BDF037E"/>
    <w:rsid w:val="7BF50948"/>
    <w:rsid w:val="7CE66A78"/>
    <w:rsid w:val="7D23564C"/>
    <w:rsid w:val="7D5E062D"/>
    <w:rsid w:val="7DF76CD8"/>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2.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chart" Target="charts/chart13.xml"/><Relationship Id="rId18" Type="http://schemas.openxmlformats.org/officeDocument/2006/relationships/chart" Target="charts/chart12.xml"/><Relationship Id="rId17" Type="http://schemas.openxmlformats.org/officeDocument/2006/relationships/chart" Target="charts/chart11.xml"/><Relationship Id="rId16" Type="http://schemas.openxmlformats.org/officeDocument/2006/relationships/chart" Target="charts/chart10.xml"/><Relationship Id="rId15" Type="http://schemas.openxmlformats.org/officeDocument/2006/relationships/chart" Target="charts/chart9.xml"/><Relationship Id="rId14" Type="http://schemas.openxmlformats.org/officeDocument/2006/relationships/chart" Target="charts/chart8.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4164.54</c:v>
                </c:pt>
                <c:pt idx="1">
                  <c:v>2.8</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4.78</c:v>
                </c:pt>
                <c:pt idx="2">
                  <c:v>0</c:v>
                </c:pt>
                <c:pt idx="3">
                  <c:v>0</c:v>
                </c:pt>
                <c:pt idx="4">
                  <c:v>0.7</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spc="120" normalizeH="0" baseline="0">
                <a:solidFill>
                  <a:schemeClr val="tx1">
                    <a:lumMod val="65000"/>
                    <a:lumOff val="35000"/>
                  </a:schemeClr>
                </a:solidFill>
                <a:latin typeface="+mn-lt"/>
                <a:ea typeface="+mn-ea"/>
                <a:cs typeface="+mn-cs"/>
              </a:defRPr>
            </a:pPr>
            <a:r>
              <a:t>支出决算图表</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Sheet1!$A$2:$A$6</c:f>
              <c:strCache>
                <c:ptCount val="5"/>
                <c:pt idx="0">
                  <c:v>一般公共服务支出</c:v>
                </c:pt>
                <c:pt idx="1">
                  <c:v>文化旅游体育与传媒支出</c:v>
                </c:pt>
                <c:pt idx="2">
                  <c:v>社会保障和就业支出</c:v>
                </c:pt>
                <c:pt idx="3">
                  <c:v>住房保障支出</c:v>
                </c:pt>
                <c:pt idx="4">
                  <c:v>其他支出</c:v>
                </c:pt>
              </c:strCache>
            </c:strRef>
          </c:cat>
          <c:val>
            <c:numRef>
              <c:f>Sheet1!$B$2:$B$6</c:f>
              <c:numCache>
                <c:formatCode>General</c:formatCode>
                <c:ptCount val="5"/>
                <c:pt idx="0">
                  <c:v>818.68</c:v>
                </c:pt>
                <c:pt idx="1">
                  <c:v>97.51</c:v>
                </c:pt>
                <c:pt idx="2">
                  <c:v>25.11</c:v>
                </c:pt>
                <c:pt idx="3">
                  <c:v>21.57</c:v>
                </c:pt>
                <c:pt idx="4">
                  <c:v>65.64</c:v>
                </c:pt>
              </c:numCache>
            </c:numRef>
          </c:val>
        </c:ser>
        <c:ser>
          <c:idx val="1"/>
          <c:order val="1"/>
          <c:tx>
            <c:strRef>
              <c:f>Sheet1!$C$1</c:f>
              <c:strCache>
                <c:ptCount val="1"/>
                <c:pt idx="0">
                  <c:v>2022年</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tx1">
                          <a:lumMod val="35000"/>
                          <a:lumOff val="65000"/>
                        </a:schemeClr>
                      </a:solidFill>
                    </a:ln>
                    <a:effectLst/>
                  </c:spPr>
                </c15:leaderLines>
              </c:ext>
            </c:extLst>
          </c:dLbls>
          <c:cat>
            <c:strRef>
              <c:f>Sheet1!$A$2:$A$6</c:f>
              <c:strCache>
                <c:ptCount val="5"/>
                <c:pt idx="0">
                  <c:v>一般公共服务支出</c:v>
                </c:pt>
                <c:pt idx="1">
                  <c:v>文化旅游体育与传媒支出</c:v>
                </c:pt>
                <c:pt idx="2">
                  <c:v>社会保障和就业支出</c:v>
                </c:pt>
                <c:pt idx="3">
                  <c:v>住房保障支出</c:v>
                </c:pt>
                <c:pt idx="4">
                  <c:v>其他支出</c:v>
                </c:pt>
              </c:strCache>
            </c:strRef>
          </c:cat>
          <c:val>
            <c:numRef>
              <c:f>Sheet1!$C$2:$C$6</c:f>
              <c:numCache>
                <c:formatCode>General</c:formatCode>
                <c:ptCount val="5"/>
                <c:pt idx="0">
                  <c:v>880.01</c:v>
                </c:pt>
                <c:pt idx="1">
                  <c:v>136.61</c:v>
                </c:pt>
                <c:pt idx="2">
                  <c:v>30.26</c:v>
                </c:pt>
                <c:pt idx="3">
                  <c:v>22.81</c:v>
                </c:pt>
                <c:pt idx="4">
                  <c:v>59.21</c:v>
                </c:pt>
              </c:numCache>
            </c:numRef>
          </c:val>
        </c:ser>
        <c:dLbls>
          <c:showLegendKey val="0"/>
          <c:showVal val="1"/>
          <c:showCatName val="0"/>
          <c:showSerName val="0"/>
          <c:showPercent val="0"/>
          <c:showBubbleSize val="0"/>
        </c:dLbls>
        <c:gapWidth val="444"/>
        <c:overlap val="-90"/>
        <c:axId val="-172443552"/>
        <c:axId val="-172442464"/>
      </c:barChart>
      <c:catAx>
        <c:axId val="-17244355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一般公共服务</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Sheet1!$A$2:$A$4</c:f>
              <c:numCache>
                <c:formatCode>General</c:formatCode>
                <c:ptCount val="3"/>
                <c:pt idx="0">
                  <c:v>2013301</c:v>
                </c:pt>
                <c:pt idx="1">
                  <c:v>2013399</c:v>
                </c:pt>
                <c:pt idx="2">
                  <c:v>2012999</c:v>
                </c:pt>
              </c:numCache>
            </c:numRef>
          </c:cat>
          <c:val>
            <c:numRef>
              <c:f>Sheet1!$B$2:$B$4</c:f>
              <c:numCache>
                <c:formatCode>General</c:formatCode>
                <c:ptCount val="3"/>
                <c:pt idx="0">
                  <c:v>510.12</c:v>
                </c:pt>
                <c:pt idx="1">
                  <c:v>365.71</c:v>
                </c:pt>
                <c:pt idx="2">
                  <c:v>4.18</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manualLayout>
          <c:layoutTarget val="inner"/>
          <c:xMode val="edge"/>
          <c:yMode val="edge"/>
          <c:x val="0.0743011210444161"/>
          <c:y val="0.169431279620853"/>
          <c:w val="0.892351355186604"/>
          <c:h val="0.645616113744076"/>
        </c:manualLayout>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c:f>
              <c:numCache>
                <c:formatCode>General</c:formatCode>
                <c:ptCount val="1"/>
                <c:pt idx="0">
                  <c:v>2080505</c:v>
                </c:pt>
              </c:numCache>
            </c:numRef>
          </c:cat>
          <c:val>
            <c:numRef>
              <c:f>Sheet1!$B$2</c:f>
              <c:numCache>
                <c:formatCode>General</c:formatCode>
                <c:ptCount val="1"/>
                <c:pt idx="0">
                  <c:v>30.26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住房公积金</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c:f>
              <c:numCache>
                <c:formatCode>General</c:formatCode>
                <c:ptCount val="1"/>
                <c:pt idx="0">
                  <c:v>2210201</c:v>
                </c:pt>
              </c:numCache>
            </c:numRef>
          </c:cat>
          <c:val>
            <c:numRef>
              <c:f>Sheet1!$B$2</c:f>
              <c:numCache>
                <c:formatCode>General</c:formatCode>
                <c:ptCount val="1"/>
                <c:pt idx="0">
                  <c:v>22.81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文化旅游体育与传媒</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2070199</c:v>
                </c:pt>
                <c:pt idx="1">
                  <c:v>2079999</c:v>
                </c:pt>
              </c:numCache>
            </c:numRef>
          </c:cat>
          <c:val>
            <c:numRef>
              <c:f>Sheet1!$B$2:$B$3</c:f>
              <c:numCache>
                <c:formatCode>General</c:formatCode>
                <c:ptCount val="2"/>
                <c:pt idx="0">
                  <c:v>39.32</c:v>
                </c:pt>
                <c:pt idx="1">
                  <c:v>90</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其他</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2299999</c:v>
                </c:pt>
              </c:numCache>
            </c:numRef>
          </c:cat>
          <c:val>
            <c:numRef>
              <c:f>Sheet1!$B$2:$B$3</c:f>
              <c:numCache>
                <c:formatCode>General</c:formatCode>
                <c:ptCount val="2"/>
                <c:pt idx="0">
                  <c:v>59.21</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83.71</c:v>
                </c:pt>
                <c:pt idx="1">
                  <c:v>31.92</c:v>
                </c:pt>
                <c:pt idx="2">
                  <c:v>81.59</c:v>
                </c:pt>
                <c:pt idx="3">
                  <c:v>3.93</c:v>
                </c:pt>
                <c:pt idx="4">
                  <c:v>14.58</c:v>
                </c:pt>
                <c:pt idx="5">
                  <c:v>33.59</c:v>
                </c:pt>
                <c:pt idx="6">
                  <c:v>0</c:v>
                </c:pt>
                <c:pt idx="7">
                  <c:v>13.81</c:v>
                </c:pt>
                <c:pt idx="8">
                  <c:v>0</c:v>
                </c:pt>
                <c:pt idx="9">
                  <c:v>4.2</c:v>
                </c:pt>
                <c:pt idx="10">
                  <c:v>22.81</c:v>
                </c:pt>
                <c:pt idx="11">
                  <c:v>0</c:v>
                </c:pt>
                <c:pt idx="12">
                  <c:v>16.53</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2.19</c:v>
                </c:pt>
                <c:pt idx="1">
                  <c:v>0</c:v>
                </c:pt>
                <c:pt idx="2">
                  <c:v>0</c:v>
                </c:pt>
                <c:pt idx="3">
                  <c:v>0</c:v>
                </c:pt>
                <c:pt idx="4">
                  <c:v>0.07</c:v>
                </c:pt>
                <c:pt idx="5">
                  <c:v>0.83</c:v>
                </c:pt>
                <c:pt idx="6">
                  <c:v>2.93</c:v>
                </c:pt>
                <c:pt idx="7">
                  <c:v>0</c:v>
                </c:pt>
                <c:pt idx="8">
                  <c:v>0</c:v>
                </c:pt>
                <c:pt idx="9">
                  <c:v>8.3</c:v>
                </c:pt>
                <c:pt idx="10">
                  <c:v>0</c:v>
                </c:pt>
                <c:pt idx="11">
                  <c:v>0.17</c:v>
                </c:pt>
                <c:pt idx="12">
                  <c:v>0</c:v>
                </c:pt>
                <c:pt idx="13">
                  <c:v>1.46</c:v>
                </c:pt>
                <c:pt idx="14">
                  <c:v>0.22</c:v>
                </c:pt>
                <c:pt idx="15">
                  <c:v>0.75</c:v>
                </c:pt>
                <c:pt idx="16">
                  <c:v>0</c:v>
                </c:pt>
                <c:pt idx="17">
                  <c:v>0</c:v>
                </c:pt>
                <c:pt idx="18">
                  <c:v>0</c:v>
                </c:pt>
                <c:pt idx="20">
                  <c:v>0</c:v>
                </c:pt>
                <c:pt idx="21">
                  <c:v>14.18</c:v>
                </c:pt>
                <c:pt idx="22">
                  <c:v>0</c:v>
                </c:pt>
                <c:pt idx="23">
                  <c:v>0</c:v>
                </c:pt>
                <c:pt idx="24">
                  <c:v>10.85</c:v>
                </c:pt>
                <c:pt idx="2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0</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cp:lastPrinted>2023-11-15T10:21:00Z</cp:lastPrinted>
  <dcterms:modified xsi:type="dcterms:W3CDTF">2023-11-28T01:00:06Z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