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hint="eastAsia" w:ascii="黑体" w:hAnsi="黑体" w:eastAsia="黑体" w:cs="黑体"/>
          <w:b/>
          <w:bCs/>
          <w:sz w:val="52"/>
          <w:szCs w:val="52"/>
          <w:highlight w:val="none"/>
        </w:rPr>
      </w:pPr>
      <w:r>
        <w:rPr>
          <w:rFonts w:hint="eastAsia" w:ascii="黑体" w:hAnsi="黑体" w:eastAsia="黑体" w:cs="黑体"/>
          <w:b/>
          <w:bCs/>
          <w:sz w:val="52"/>
          <w:szCs w:val="52"/>
          <w:highlight w:val="none"/>
        </w:rPr>
        <w:t>中国共产党环江毛南族自治县委员会</w:t>
      </w: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党校2022年度部门决算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hint="eastAsia" w:ascii="黑体" w:hAnsi="黑体" w:eastAsia="黑体" w:cs="黑体"/>
          <w:b/>
          <w:bCs/>
          <w:sz w:val="36"/>
          <w:szCs w:val="36"/>
          <w:highlight w:val="none"/>
          <w:lang w:val="en-US" w:eastAsia="zh-CN"/>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r>
        <w:rPr>
          <w:rFonts w:hint="eastAsia" w:ascii="黑体" w:hAnsi="黑体" w:eastAsia="黑体" w:cs="黑体"/>
          <w:b/>
          <w:bCs/>
          <w:sz w:val="36"/>
          <w:szCs w:val="36"/>
          <w:highlight w:val="none"/>
          <w:lang w:val="en-US" w:eastAsia="zh-CN"/>
        </w:rPr>
        <w:t>8日</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ascii="黑体" w:hAnsi="黑体" w:eastAsia="黑体" w:cs="黑体"/>
          <w:sz w:val="32"/>
          <w:u w:color="auto"/>
        </w:rPr>
        <w:t>中国共产党环江毛南族自治县委员会党校</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中国共产党环江毛南族自治县委员会党校</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中国共产党环江毛南族自治县委员会党校</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ascii="黑体" w:hAnsi="黑体" w:eastAsia="黑体" w:cs="黑体"/>
          <w:b/>
          <w:sz w:val="32"/>
          <w:u w:color="auto"/>
        </w:rPr>
        <w:t>中国共产党环江毛南族自治县委员会党校</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widowControl/>
        <w:spacing w:line="384" w:lineRule="atLeast"/>
        <w:ind w:firstLine="555"/>
        <w:jc w:val="lef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1.根据中央和自治区、河池市对干部队伍建设的要求和自治县干部教育培训规划，发挥对党员领导干部及后备干部、理论干部等培训轮训主渠道的作用，有计划的培训乡科级党员干部、村（社区）“两委”负责人、农村党员代表、新经济组织的骨干党员、少数民族干部、妇女干部、青年干部、乡（镇）党校教师和管理人员等。</w:t>
      </w:r>
    </w:p>
    <w:p>
      <w:pPr>
        <w:widowControl/>
        <w:spacing w:line="384" w:lineRule="atLeast"/>
        <w:ind w:firstLine="555"/>
        <w:jc w:val="lef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2.承担对政府系统科级领导干部及其后备干部等国家公务员的培训、轮训；围绕政府工作中的重大问题，开展教学科研活动。</w:t>
      </w:r>
    </w:p>
    <w:p>
      <w:pPr>
        <w:widowControl/>
        <w:spacing w:line="384" w:lineRule="atLeast"/>
        <w:ind w:firstLine="555"/>
        <w:jc w:val="lef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3.承担对统战系统管理的非中共党员干部、后备干部、民主党派和无党派人士等的培训、轮训；围绕统战工作中的重大问题，开展教学科研活动。</w:t>
      </w:r>
    </w:p>
    <w:p>
      <w:pPr>
        <w:widowControl/>
        <w:spacing w:line="384" w:lineRule="atLeast"/>
        <w:ind w:firstLine="555"/>
        <w:jc w:val="lef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4.承办自治县党委、自治县人民政府举办的专题研讨班，研讨上级党委、政府提出的重大理论和方针政策。</w:t>
      </w:r>
    </w:p>
    <w:p>
      <w:pPr>
        <w:widowControl/>
        <w:spacing w:line="384" w:lineRule="atLeast"/>
        <w:ind w:firstLine="555"/>
        <w:jc w:val="lef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5.围绕国际国内出现的新情况新问题开展科学研究，承担党委和政府下达的调研任务，推进理论创新。</w:t>
      </w:r>
    </w:p>
    <w:p>
      <w:pPr>
        <w:widowControl/>
        <w:spacing w:line="384" w:lineRule="atLeast"/>
        <w:ind w:firstLine="555"/>
        <w:jc w:val="lef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6.针对改革开放和社会主义现代化建设进程中的重大理论和现实问题，开展马克思主义中国化最新成果的理论宣传和党的路线、方针、政策的宣传。</w:t>
      </w:r>
    </w:p>
    <w:p>
      <w:pPr>
        <w:widowControl/>
        <w:spacing w:line="384" w:lineRule="atLeast"/>
        <w:ind w:firstLine="555"/>
        <w:jc w:val="lef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7.在做好主体班教学的基础上，按照中央有关政策和国家有关高等教育的法规和办法，开展与区内外高校联办干部学历教育；积极参与县直有关部门拓展适应经济社会发展需要、促进干部素质能力提高的多种形式的干部培训。</w:t>
      </w:r>
    </w:p>
    <w:p>
      <w:pPr>
        <w:widowControl/>
        <w:spacing w:line="384" w:lineRule="atLeast"/>
        <w:ind w:firstLine="555"/>
        <w:jc w:val="lef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8.督查、协调、指导乡（镇）党校教学和管理体制改革。</w:t>
      </w:r>
    </w:p>
    <w:p>
      <w:pPr>
        <w:widowControl/>
        <w:spacing w:line="384" w:lineRule="atLeast"/>
        <w:ind w:firstLine="555"/>
        <w:jc w:val="lef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9.与县直部门共同挖掘、培植干部教育现场教学基地。</w:t>
      </w:r>
    </w:p>
    <w:p>
      <w:pPr>
        <w:widowControl/>
        <w:spacing w:line="384" w:lineRule="atLeast"/>
        <w:ind w:firstLine="555"/>
        <w:jc w:val="lef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10.完成自治县党委、自治县人民政府交办的其他工作。</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我部门没有下属单位，按照部门决算编报要求，单独编制本部门决算。</w:t>
      </w:r>
    </w:p>
    <w:p>
      <w:pPr>
        <w:widowControl/>
        <w:spacing w:line="384" w:lineRule="atLeast"/>
        <w:jc w:val="left"/>
        <w:rPr>
          <w:rFonts w:hint="eastAsia" w:ascii="仿宋" w:hAnsi="仿宋" w:eastAsia="仿宋" w:cs="仿宋"/>
          <w:color w:val="000000" w:themeColor="text1"/>
          <w:sz w:val="32"/>
          <w:szCs w:val="32"/>
          <w14:textFill>
            <w14:solidFill>
              <w14:schemeClr w14:val="tx1"/>
            </w14:solidFill>
          </w14:textFill>
        </w:rPr>
      </w:pPr>
      <w:r>
        <w:rPr>
          <w:rFonts w:hint="eastAsia" w:ascii="仿宋_GB2312" w:hAnsi="仿宋_GB2312" w:eastAsia="仿宋_GB2312" w:cs="仿宋_GB2312"/>
          <w:kern w:val="0"/>
          <w:sz w:val="32"/>
          <w:szCs w:val="32"/>
          <w:lang w:val="en-US" w:eastAsia="zh-CN" w:bidi="ar-SA"/>
        </w:rPr>
        <w:t>中共环江县委党校是正科级参照公务员法管理的事业单位，有四个内设机构，分别是办公室、后勤管理股、教务室及理论研究室。人员编制总数为16人，财政全额拨款的事业编制16人。其中，参照公务员法管理的职位8人，非参照公务员法管理的职位8人。2022年底实有编内在职人员13人（其中参公在职6人，事业在职7人），退休人员11人。无编外在职人员。</w:t>
      </w:r>
    </w:p>
    <w:p>
      <w:pPr>
        <w:jc w:val="center"/>
        <w:rPr>
          <w:rFonts w:hint="eastAsia" w:ascii="仿宋" w:hAnsi="仿宋" w:eastAsia="仿宋" w:cs="仿宋"/>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720" w:right="720" w:bottom="720" w:left="720" w:header="851" w:footer="992" w:gutter="0"/>
          <w:cols w:space="425" w:num="1"/>
          <w:docGrid w:type="lines" w:linePitch="312" w:charSpace="0"/>
        </w:sectPr>
      </w:pPr>
    </w:p>
    <w:p>
      <w:pPr>
        <w:ind w:firstLine="960" w:firstLineChars="300"/>
        <w:jc w:val="both"/>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中国共产党环江毛南族自治县委员会党校</w:t>
      </w:r>
      <w:r>
        <w:rPr>
          <w:rFonts w:hint="eastAsia" w:ascii="黑体" w:hAnsi="黑体" w:eastAsia="黑体" w:cs="黑体"/>
          <w:sz w:val="32"/>
          <w:szCs w:val="32"/>
          <w:highlight w:val="none"/>
        </w:rPr>
        <w:t>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中国共产党环江毛南族自治县委员会党校</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242.95</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169.07</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21.42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16.06</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33.66</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242.95</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242.95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242.95</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242.95</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中国共产党环江毛南族自治县委员会党校</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242.95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242.95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169.07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169.07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进修及培训</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169.07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169.07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2050802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干部教育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169.07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169.07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21.42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21.42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21.42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21.42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21.42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21.42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16.06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16.06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16.06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16.06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16.06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16.06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33.66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33.66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33.66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33.66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33.66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33.66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中国共产党环江毛南族自治县委员会党校</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242.95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216.23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26.72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169.07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142.35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26.72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进修及培训</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169.07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142.35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26.72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2050802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干部教育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169.07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142.35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26.72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21.42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21.42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21.42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21.42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21.42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21.42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16.06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16.06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16.06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16.06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16.06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16.06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33.66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33.66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33.66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33.66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33.66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33.66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4965"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7"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中国共产党环江毛南族自治县委员会党校</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242.95</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169.07</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169.07</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21.42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21.42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16.06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16.06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33.66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33.66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242.95</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242.95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242.95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242.95</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242.95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242.95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中国共产党环江毛南族自治县委员会党校</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242.95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216.23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26.72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169.07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142.35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26.72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进修及培训</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169.07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142.35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26.72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2050802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干部教育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169.07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142.35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26.72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21.42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21.42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21.42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21.42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21.42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21.42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16.06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16.06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16.06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16.06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16.06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16.06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33.66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33.66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33.66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33.66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33.66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33.66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中国共产党环江毛南族自治县委员会党校</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4"/>
            <w:bookmarkStart w:id="1" w:name="OLE_LINK3"/>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207.49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6.52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67.29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29.64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46.56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2.37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14.73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0.52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21.42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8.80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0.63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16.06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0.22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0.59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209.71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6.52</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中国共产党环江毛南族自治县委员会党校</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szCs w:val="22"/>
                <w:highlight w:val="none"/>
                <w:lang w:eastAsia="zh-CN" w:bidi="ar"/>
                <w14:textFill>
                  <w14:solidFill>
                    <w14:schemeClr w14:val="tx1"/>
                  </w14:solidFill>
                </w14:textFill>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本部门</w:t>
            </w:r>
            <w:r>
              <w:rPr>
                <w:rFonts w:hint="default" w:ascii="Times New Roman" w:hAnsi="Times New Roman" w:eastAsia="宋体" w:cs="Times New Roman"/>
                <w:color w:val="000000" w:themeColor="text1"/>
                <w:kern w:val="2"/>
                <w:sz w:val="21"/>
                <w:szCs w:val="21"/>
                <w:lang w:val="en-US" w:eastAsia="zh-CN" w:bidi="ar"/>
                <w14:textFill>
                  <w14:solidFill>
                    <w14:schemeClr w14:val="tx1"/>
                  </w14:solidFill>
                </w14:textFill>
              </w:rPr>
              <w:t>2022</w:t>
            </w:r>
            <w:r>
              <w:rPr>
                <w:rFonts w:hint="eastAsia" w:ascii="宋体" w:hAnsi="宋体" w:eastAsia="宋体" w:cs="宋体"/>
                <w:color w:val="000000" w:themeColor="text1"/>
                <w:kern w:val="2"/>
                <w:sz w:val="21"/>
                <w:szCs w:val="21"/>
                <w:lang w:val="en-US" w:eastAsia="zh-CN" w:bidi="ar"/>
                <w14:textFill>
                  <w14:solidFill>
                    <w14:schemeClr w14:val="tx1"/>
                  </w14:solidFill>
                </w14:textFill>
              </w:rPr>
              <w:t>年度没有政府性基金预算财政拨款收入，也没有政府性基金预算财政拨款安排的支出，故本表无数据</w:t>
            </w:r>
            <w:r>
              <w:rPr>
                <w:rFonts w:hint="eastAsia" w:ascii="宋体" w:hAnsi="宋体" w:eastAsia="宋体" w:cs="宋体"/>
                <w:color w:val="000000" w:themeColor="text1"/>
                <w:kern w:val="0"/>
                <w:sz w:val="22"/>
                <w:szCs w:val="22"/>
                <w:highlight w:val="none"/>
                <w:lang w:eastAsia="zh-CN" w:bidi="ar"/>
                <w14:textFill>
                  <w14:solidFill>
                    <w14:schemeClr w14:val="tx1"/>
                  </w14:solidFill>
                </w14:textFill>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中国共产党环江毛南族自治县委员会党校</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本部门</w:t>
      </w:r>
      <w:r>
        <w:rPr>
          <w:rFonts w:hint="default" w:ascii="Times New Roman" w:hAnsi="Times New Roman" w:eastAsia="宋体" w:cs="Times New Roman"/>
          <w:color w:val="000000" w:themeColor="text1"/>
          <w:kern w:val="2"/>
          <w:sz w:val="21"/>
          <w:szCs w:val="21"/>
          <w:lang w:val="en-US" w:eastAsia="zh-CN" w:bidi="ar"/>
          <w14:textFill>
            <w14:solidFill>
              <w14:schemeClr w14:val="tx1"/>
            </w14:solidFill>
          </w14:textFill>
        </w:rPr>
        <w:t>2022</w:t>
      </w:r>
      <w:r>
        <w:rPr>
          <w:rFonts w:hint="eastAsia" w:ascii="宋体" w:hAnsi="宋体" w:eastAsia="宋体" w:cs="宋体"/>
          <w:color w:val="000000" w:themeColor="text1"/>
          <w:kern w:val="2"/>
          <w:sz w:val="21"/>
          <w:szCs w:val="21"/>
          <w:lang w:val="en-US" w:eastAsia="zh-CN" w:bidi="ar"/>
          <w14:textFill>
            <w14:solidFill>
              <w14:schemeClr w14:val="tx1"/>
            </w14:solidFill>
          </w14:textFill>
        </w:rPr>
        <w:t>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中国共产党环江毛南族自治县委员会党校</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0.80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0.80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0.80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0.80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中国共产党环江毛南族自治县委员会党校</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ascii="仿宋" w:hAnsi="仿宋" w:eastAsia="仿宋" w:cs="仿宋"/>
          <w:sz w:val="32"/>
          <w:u w:color="auto"/>
        </w:rPr>
        <w:t>242.95</w:t>
      </w:r>
      <w:r>
        <w:rPr>
          <w:rFonts w:hint="eastAsia" w:ascii="仿宋" w:hAnsi="仿宋" w:eastAsia="仿宋" w:cs="仿宋"/>
          <w:sz w:val="32"/>
          <w:szCs w:val="32"/>
          <w:highlight w:val="none"/>
        </w:rPr>
        <w:t>万元，较2021年度决算数</w:t>
      </w:r>
      <w:r>
        <w:rPr>
          <w:rFonts w:ascii="仿宋" w:hAnsi="仿宋" w:eastAsia="仿宋" w:cs="仿宋"/>
          <w:sz w:val="32"/>
          <w:u w:color="auto"/>
        </w:rPr>
        <w:t>增加28.32</w:t>
      </w:r>
      <w:r>
        <w:rPr>
          <w:rFonts w:hint="eastAsia" w:ascii="仿宋" w:hAnsi="仿宋" w:eastAsia="仿宋" w:cs="仿宋"/>
          <w:sz w:val="32"/>
          <w:szCs w:val="32"/>
          <w:highlight w:val="none"/>
        </w:rPr>
        <w:t>万元，</w:t>
      </w:r>
      <w:r>
        <w:rPr>
          <w:rFonts w:ascii="仿宋" w:hAnsi="仿宋" w:eastAsia="仿宋" w:cs="仿宋"/>
          <w:sz w:val="32"/>
          <w:u w:color="auto"/>
        </w:rPr>
        <w:t>增长13.19%</w:t>
      </w:r>
      <w:r>
        <w:rPr>
          <w:rFonts w:hint="eastAsia" w:ascii="仿宋" w:hAnsi="仿宋" w:eastAsia="仿宋" w:cs="仿宋"/>
          <w:sz w:val="32"/>
          <w:szCs w:val="32"/>
          <w:highlight w:val="none"/>
        </w:rPr>
        <w:t>，其中本年收入</w:t>
      </w:r>
      <w:r>
        <w:rPr>
          <w:rFonts w:ascii="仿宋" w:hAnsi="仿宋" w:eastAsia="仿宋" w:cs="仿宋"/>
          <w:sz w:val="32"/>
          <w:u w:color="auto"/>
        </w:rPr>
        <w:t>242.95</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1.一般公共预算财政拨款收入</w:t>
      </w:r>
      <w:r>
        <w:rPr>
          <w:rFonts w:ascii="仿宋" w:hAnsi="仿宋" w:eastAsia="仿宋" w:cs="仿宋"/>
          <w:sz w:val="32"/>
          <w:u w:color="auto"/>
        </w:rPr>
        <w:t>242.95</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增加28.32</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增长13.19%</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kern w:val="2"/>
          <w:sz w:val="32"/>
          <w:szCs w:val="32"/>
          <w:highlight w:val="none"/>
          <w:lang w:val="en-US" w:eastAsia="zh-CN" w:bidi="ar"/>
        </w:rPr>
        <w:t>人员增加，工作奖金津补贴、办公经费等方面收入按需增加。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主要原因：本单位没有政府性基金预算财政拨款收入。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w:t>
      </w:r>
      <w:r>
        <w:rPr>
          <w:rFonts w:hint="eastAsia" w:ascii="仿宋" w:hAnsi="仿宋" w:eastAsia="仿宋" w:cs="仿宋"/>
          <w:kern w:val="2"/>
          <w:sz w:val="32"/>
          <w:szCs w:val="32"/>
          <w:highlight w:val="none"/>
          <w:lang w:val="en-US" w:eastAsia="zh-CN" w:bidi="ar"/>
        </w:rPr>
        <w:t>国有资本经营预算财政拨款收入。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6.经营收入0.00万,为事业单位在业务活动之外开展非独立核算经营活动取得的收入。较2021年度决算数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7.附属单位上缴收入</w:t>
      </w:r>
      <w:r>
        <w:rPr>
          <w:rFonts w:ascii="仿宋" w:hAnsi="仿宋" w:eastAsia="仿宋" w:cs="仿宋"/>
          <w:color w:val="000000" w:themeColor="text1"/>
          <w:sz w:val="32"/>
          <w:u w:color="auto"/>
          <w14:textFill>
            <w14:solidFill>
              <w14:schemeClr w14:val="tx1"/>
            </w14:solidFill>
          </w14:textFill>
        </w:rPr>
        <w:t>0.00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万元。较2021年度决算数</w:t>
      </w:r>
      <w:r>
        <w:rPr>
          <w:rFonts w:ascii="仿宋" w:hAnsi="仿宋" w:eastAsia="仿宋" w:cs="仿宋"/>
          <w:color w:val="000000" w:themeColor="text1"/>
          <w:sz w:val="32"/>
          <w:u w:color="auto"/>
          <w14:textFill>
            <w14:solidFill>
              <w14:schemeClr w14:val="tx1"/>
            </w14:solidFill>
          </w14:textFill>
        </w:rPr>
        <w:t>增加0.00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万元，</w:t>
      </w:r>
      <w:r>
        <w:rPr>
          <w:rFonts w:ascii="仿宋" w:hAnsi="仿宋" w:eastAsia="仿宋" w:cs="仿宋"/>
          <w:color w:val="000000" w:themeColor="text1"/>
          <w:sz w:val="32"/>
          <w:u w:color="auto"/>
          <w14:textFill>
            <w14:solidFill>
              <w14:schemeClr w14:val="tx1"/>
            </w14:solidFill>
          </w14:textFill>
        </w:rPr>
        <w:t>增长0%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8.其他收入</w:t>
      </w:r>
      <w:r>
        <w:rPr>
          <w:rFonts w:ascii="仿宋" w:hAnsi="仿宋" w:eastAsia="仿宋" w:cs="仿宋"/>
          <w:color w:val="000000" w:themeColor="text1"/>
          <w:sz w:val="32"/>
          <w:u w:color="auto"/>
          <w14:textFill>
            <w14:solidFill>
              <w14:schemeClr w14:val="tx1"/>
            </w14:solidFill>
          </w14:textFill>
        </w:rPr>
        <w:t>0.00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万元,为预算单位在“财政拨款收入”“事业收入”“经营收入”之外取得的收入。较2021年度决算数</w:t>
      </w:r>
      <w:r>
        <w:rPr>
          <w:rFonts w:ascii="仿宋" w:hAnsi="仿宋" w:eastAsia="仿宋" w:cs="仿宋"/>
          <w:color w:val="000000" w:themeColor="text1"/>
          <w:sz w:val="32"/>
          <w:u w:color="auto"/>
          <w14:textFill>
            <w14:solidFill>
              <w14:schemeClr w14:val="tx1"/>
            </w14:solidFill>
          </w14:textFill>
        </w:rPr>
        <w:t>增加0.00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万元，</w:t>
      </w:r>
      <w:r>
        <w:rPr>
          <w:rFonts w:ascii="仿宋" w:hAnsi="仿宋" w:eastAsia="仿宋" w:cs="仿宋"/>
          <w:color w:val="000000" w:themeColor="text1"/>
          <w:sz w:val="32"/>
          <w:u w:color="auto"/>
          <w14:textFill>
            <w14:solidFill>
              <w14:schemeClr w14:val="tx1"/>
            </w14:solidFill>
          </w14:textFill>
        </w:rPr>
        <w:t>增长0%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9.使用非财政拨款结余</w:t>
      </w:r>
      <w:r>
        <w:rPr>
          <w:rFonts w:ascii="仿宋" w:hAnsi="仿宋" w:eastAsia="仿宋" w:cs="仿宋"/>
          <w:color w:val="000000" w:themeColor="text1"/>
          <w:sz w:val="32"/>
          <w:u w:color="auto"/>
          <w14:textFill>
            <w14:solidFill>
              <w14:schemeClr w14:val="tx1"/>
            </w14:solidFill>
          </w14:textFill>
        </w:rPr>
        <w:t>0.00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color w:val="000000" w:themeColor="text1"/>
          <w:sz w:val="32"/>
          <w:u w:color="auto"/>
          <w14:textFill>
            <w14:solidFill>
              <w14:schemeClr w14:val="tx1"/>
            </w14:solidFill>
          </w14:textFill>
        </w:rPr>
        <w:t>增加0.00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万元，</w:t>
      </w:r>
      <w:r>
        <w:rPr>
          <w:rFonts w:ascii="仿宋" w:hAnsi="仿宋" w:eastAsia="仿宋" w:cs="仿宋"/>
          <w:color w:val="000000" w:themeColor="text1"/>
          <w:sz w:val="32"/>
          <w:u w:color="auto"/>
          <w14:textFill>
            <w14:solidFill>
              <w14:schemeClr w14:val="tx1"/>
            </w14:solidFill>
          </w14:textFill>
        </w:rPr>
        <w:t>增长0%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10.上年结转和结余</w:t>
      </w:r>
      <w:r>
        <w:rPr>
          <w:rFonts w:ascii="仿宋" w:hAnsi="仿宋" w:eastAsia="仿宋" w:cs="仿宋"/>
          <w:color w:val="000000" w:themeColor="text1"/>
          <w:sz w:val="32"/>
          <w:u w:color="auto"/>
          <w14:textFill>
            <w14:solidFill>
              <w14:schemeClr w14:val="tx1"/>
            </w14:solidFill>
          </w14:textFill>
        </w:rPr>
        <w:t>0.00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万元，为以前年度支出预算因客观条件变化未执行完毕、结转到本年度</w:t>
      </w:r>
      <w:r>
        <w:rPr>
          <w:rFonts w:hint="eastAsia" w:ascii="仿宋" w:hAnsi="仿宋" w:eastAsia="仿宋" w:cs="仿宋"/>
          <w:kern w:val="2"/>
          <w:sz w:val="32"/>
          <w:szCs w:val="32"/>
          <w:highlight w:val="none"/>
          <w:lang w:val="en-US" w:eastAsia="zh-CN" w:bidi="ar"/>
        </w:rPr>
        <w:t>按有关规定继续使用的资金。较2021年度决算数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主要原因：部分项目已在本年执行完毕，不需要结转至下年继续执行。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889500" cy="2810510"/>
            <wp:effectExtent l="4445" t="4445" r="20955" b="2349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ascii="仿宋" w:hAnsi="仿宋" w:eastAsia="仿宋" w:cs="仿宋"/>
          <w:sz w:val="32"/>
          <w:u w:color="auto"/>
        </w:rPr>
        <w:t>242.95</w:t>
      </w:r>
      <w:r>
        <w:rPr>
          <w:rFonts w:hint="eastAsia" w:ascii="仿宋" w:hAnsi="仿宋" w:eastAsia="仿宋" w:cs="仿宋"/>
          <w:sz w:val="32"/>
          <w:szCs w:val="32"/>
          <w:highlight w:val="none"/>
        </w:rPr>
        <w:t>万元，其中本年支出</w:t>
      </w:r>
      <w:r>
        <w:rPr>
          <w:rFonts w:ascii="仿宋" w:hAnsi="仿宋" w:eastAsia="仿宋" w:cs="仿宋"/>
          <w:sz w:val="32"/>
          <w:u w:color="auto"/>
        </w:rPr>
        <w:t>242.95</w:t>
      </w:r>
      <w:r>
        <w:rPr>
          <w:rFonts w:hint="eastAsia" w:ascii="仿宋" w:hAnsi="仿宋" w:eastAsia="仿宋" w:cs="仿宋"/>
          <w:sz w:val="32"/>
          <w:szCs w:val="32"/>
          <w:highlight w:val="none"/>
        </w:rPr>
        <w:t>万元，较2021年度决算数</w:t>
      </w:r>
      <w:r>
        <w:rPr>
          <w:rFonts w:ascii="仿宋" w:hAnsi="仿宋" w:eastAsia="仿宋" w:cs="仿宋"/>
          <w:sz w:val="32"/>
          <w:u w:color="auto"/>
        </w:rPr>
        <w:t>增加28.32</w:t>
      </w:r>
      <w:r>
        <w:rPr>
          <w:rFonts w:hint="eastAsia" w:ascii="仿宋" w:hAnsi="仿宋" w:eastAsia="仿宋" w:cs="仿宋"/>
          <w:sz w:val="32"/>
          <w:szCs w:val="32"/>
          <w:highlight w:val="none"/>
        </w:rPr>
        <w:t>万元，</w:t>
      </w:r>
      <w:r>
        <w:rPr>
          <w:rFonts w:ascii="仿宋" w:hAnsi="仿宋" w:eastAsia="仿宋" w:cs="仿宋"/>
          <w:sz w:val="32"/>
          <w:u w:color="auto"/>
        </w:rPr>
        <w:t>增长13.19%</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sz w:val="32"/>
          <w:szCs w:val="32"/>
          <w:highlight w:val="none"/>
        </w:rPr>
        <w:t>1</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一般公共服务支出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201</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2.74</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：工会经费</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增加2.74</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增长100%</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主要原因是：2022年工会经费列入</w:t>
      </w:r>
      <w:r>
        <w:rPr>
          <w:rFonts w:hint="eastAsia" w:ascii="仿宋" w:hAnsi="仿宋" w:eastAsia="仿宋" w:cs="仿宋"/>
          <w:color w:val="auto"/>
          <w:sz w:val="32"/>
          <w:szCs w:val="32"/>
          <w:highlight w:val="none"/>
          <w:lang w:bidi="ar"/>
        </w:rPr>
        <w:t>一般公共服务支出</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教育支出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205</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169.07</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Cs/>
          <w:kern w:val="0"/>
          <w:sz w:val="32"/>
          <w:szCs w:val="32"/>
          <w:highlight w:val="none"/>
        </w:rPr>
        <w:t>部门所属事业</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单位人员工资、日常运转方面的支出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增加24.65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增长17.07%</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主要原因是：人员增加，该方面支出增加。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21.42</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机关事业单位基本养老保险缴费支出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增加2.71</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增长14.48%</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主要原因是：人员增加，</w:t>
      </w:r>
      <w:r>
        <w:rPr>
          <w:rFonts w:hint="eastAsia" w:ascii="仿宋" w:hAnsi="仿宋" w:eastAsia="仿宋" w:cs="仿宋"/>
          <w:color w:val="000000" w:themeColor="text1"/>
          <w:sz w:val="32"/>
          <w:szCs w:val="32"/>
          <w:highlight w:val="none"/>
          <w:lang w:val="en-US" w:eastAsia="zh-CN"/>
          <w14:textFill>
            <w14:solidFill>
              <w14:schemeClr w14:val="tx1"/>
            </w14:solidFill>
          </w14:textFill>
        </w:rPr>
        <w:t>基本养老保险缴费支出增加。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eastAsia="zh-CN" w:bidi="ar"/>
          <w14:textFill>
            <w14:solidFill>
              <w14:schemeClr w14:val="tx1"/>
            </w14:solidFill>
          </w14:textFill>
        </w:rPr>
      </w:pPr>
      <w:r>
        <w:rPr>
          <w:rFonts w:hint="eastAsia" w:ascii="仿宋" w:hAnsi="仿宋" w:eastAsia="仿宋" w:cs="仿宋"/>
          <w:sz w:val="32"/>
          <w:szCs w:val="32"/>
          <w:highlight w:val="none"/>
        </w:rPr>
        <w:t>4</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16.06</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sz w:val="32"/>
          <w:szCs w:val="32"/>
          <w:highlight w:val="none"/>
          <w:lang w:val="en-US" w:eastAsia="zh-CN" w:bidi="ar"/>
        </w:rPr>
        <w:t>住房公积金</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增加2.03</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增长14.47%</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主要原因是：人员增加，</w:t>
      </w:r>
      <w:r>
        <w:rPr>
          <w:rFonts w:hint="eastAsia" w:ascii="仿宋" w:hAnsi="仿宋" w:eastAsia="仿宋" w:cs="仿宋"/>
          <w:color w:val="000000" w:themeColor="text1"/>
          <w:sz w:val="32"/>
          <w:szCs w:val="32"/>
          <w:highlight w:val="none"/>
          <w:lang w:val="en-US" w:eastAsia="zh-CN" w:bidi="ar"/>
          <w14:textFill>
            <w14:solidFill>
              <w14:schemeClr w14:val="tx1"/>
            </w14:solidFill>
          </w14:textFill>
        </w:rPr>
        <w:t>住房公积金支出增加。</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auto"/>
          <w:sz w:val="32"/>
          <w:szCs w:val="32"/>
          <w:highlight w:val="none"/>
          <w:lang w:val="en-US"/>
        </w:rPr>
      </w:pPr>
      <w:r>
        <w:rPr>
          <w:rFonts w:hint="eastAsia" w:ascii="仿宋" w:hAnsi="仿宋" w:eastAsia="仿宋" w:cs="仿宋"/>
          <w:sz w:val="32"/>
          <w:szCs w:val="32"/>
          <w:highlight w:val="none"/>
        </w:rPr>
        <w:t>5</w:t>
      </w:r>
      <w:r>
        <w:rPr>
          <w:rFonts w:ascii="仿宋" w:hAnsi="仿宋" w:eastAsia="仿宋" w:cs="仿宋"/>
          <w:sz w:val="32"/>
          <w:u w:color="auto"/>
        </w:rPr>
        <w:t>.</w:t>
      </w:r>
      <w:r>
        <w:rPr>
          <w:rFonts w:hint="eastAsia" w:ascii="仿宋" w:hAnsi="仿宋" w:eastAsia="仿宋" w:cs="仿宋"/>
          <w:sz w:val="32"/>
          <w:szCs w:val="32"/>
          <w:highlight w:val="none"/>
          <w:lang w:bidi="ar"/>
        </w:rPr>
        <w:t>其他支出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229</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33.6</w:t>
      </w:r>
      <w:r>
        <w:rPr>
          <w:rFonts w:hint="eastAsia" w:ascii="仿宋" w:hAnsi="仿宋" w:eastAsia="仿宋" w:cs="仿宋"/>
          <w:color w:val="auto"/>
          <w:sz w:val="32"/>
          <w:szCs w:val="32"/>
          <w:highlight w:val="none"/>
          <w:lang w:bidi="ar"/>
        </w:rPr>
        <w:t>6</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发放奖励性补贴和伙食补助费</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减少3.82</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下降10.19%</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主要原因是：2021年单位绩效考评获一等奖，2022年绩效考评获二等奖。</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sz w:val="32"/>
          <w:szCs w:val="32"/>
          <w:highlight w:val="none"/>
          <w:lang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：本单位没有</w:t>
      </w: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auto"/>
          <w:sz w:val="32"/>
          <w:szCs w:val="32"/>
          <w:highlight w:val="none"/>
        </w:rPr>
      </w:pPr>
      <w:r>
        <w:rPr>
          <w:rFonts w:hint="eastAsia" w:ascii="仿宋" w:hAnsi="仿宋" w:eastAsia="仿宋" w:cs="仿宋"/>
          <w:sz w:val="32"/>
          <w:szCs w:val="32"/>
          <w:highlight w:val="none"/>
        </w:rPr>
        <w:t>年末结转和结余</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ascii="仿宋" w:hAnsi="仿宋" w:eastAsia="仿宋" w:cs="仿宋"/>
          <w:sz w:val="32"/>
          <w:u w:color="auto"/>
        </w:rPr>
        <w:t>增长0%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w:t>
      </w:r>
      <w:r>
        <w:rPr>
          <w:rFonts w:hint="eastAsia" w:ascii="仿宋" w:hAnsi="仿宋" w:eastAsia="仿宋" w:cs="仿宋"/>
          <w:sz w:val="32"/>
          <w:szCs w:val="32"/>
          <w:highlight w:val="none"/>
        </w:rPr>
        <w:t>年末结转和结</w:t>
      </w:r>
      <w:r>
        <w:rPr>
          <w:rFonts w:hint="eastAsia" w:ascii="仿宋" w:hAnsi="仿宋" w:eastAsia="仿宋" w:cs="仿宋"/>
          <w:color w:val="auto"/>
          <w:sz w:val="32"/>
          <w:szCs w:val="32"/>
          <w:highlight w:val="none"/>
        </w:rPr>
        <w:t>余</w:t>
      </w:r>
      <w:r>
        <w:rPr>
          <w:rFonts w:hint="eastAsia" w:ascii="仿宋" w:hAnsi="仿宋" w:eastAsia="仿宋" w:cs="仿宋"/>
          <w:color w:val="auto"/>
          <w:kern w:val="2"/>
          <w:sz w:val="32"/>
          <w:szCs w:val="32"/>
          <w:highlight w:val="none"/>
          <w:lang w:val="en-US" w:eastAsia="zh-CN" w:bidi="ar"/>
        </w:rPr>
        <w:t>。</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537075" cy="2651125"/>
            <wp:effectExtent l="4445" t="4445" r="11430" b="11430"/>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中国共产党环江毛南族自治县委员会党校2022年度一般公共预算财政拨款支出</w:t>
      </w:r>
      <w:r>
        <w:rPr>
          <w:rFonts w:ascii="仿宋" w:hAnsi="仿宋" w:eastAsia="仿宋" w:cs="仿宋"/>
          <w:sz w:val="32"/>
          <w:u w:color="auto"/>
        </w:rPr>
        <w:t>242.95</w:t>
      </w:r>
      <w:r>
        <w:rPr>
          <w:rFonts w:hint="eastAsia" w:ascii="仿宋" w:hAnsi="仿宋" w:eastAsia="仿宋" w:cs="仿宋"/>
          <w:sz w:val="32"/>
          <w:szCs w:val="32"/>
          <w:highlight w:val="none"/>
        </w:rPr>
        <w:t>万元，较2021年度决算数</w:t>
      </w:r>
      <w:r>
        <w:rPr>
          <w:rFonts w:ascii="仿宋" w:hAnsi="仿宋" w:eastAsia="仿宋" w:cs="仿宋"/>
          <w:sz w:val="32"/>
          <w:u w:color="auto"/>
        </w:rPr>
        <w:t>增加28.32</w:t>
      </w:r>
      <w:r>
        <w:rPr>
          <w:rFonts w:hint="eastAsia" w:ascii="仿宋" w:hAnsi="仿宋" w:eastAsia="仿宋" w:cs="仿宋"/>
          <w:sz w:val="32"/>
          <w:szCs w:val="32"/>
          <w:highlight w:val="none"/>
        </w:rPr>
        <w:t>万元，</w:t>
      </w:r>
      <w:r>
        <w:rPr>
          <w:rFonts w:ascii="仿宋" w:hAnsi="仿宋" w:eastAsia="仿宋" w:cs="仿宋"/>
          <w:sz w:val="32"/>
          <w:u w:color="auto"/>
        </w:rPr>
        <w:t>增长13.19%</w:t>
      </w:r>
      <w:r>
        <w:rPr>
          <w:rFonts w:hint="eastAsia" w:ascii="仿宋" w:hAnsi="仿宋" w:eastAsia="仿宋" w:cs="仿宋"/>
          <w:sz w:val="32"/>
          <w:szCs w:val="32"/>
          <w:highlight w:val="none"/>
        </w:rPr>
        <w:t>。其中：基本支出</w:t>
      </w:r>
      <w:r>
        <w:rPr>
          <w:rFonts w:ascii="仿宋" w:hAnsi="仿宋" w:eastAsia="仿宋" w:cs="仿宋"/>
          <w:sz w:val="32"/>
          <w:u w:color="auto"/>
        </w:rPr>
        <w:t>216.23</w:t>
      </w:r>
      <w:r>
        <w:rPr>
          <w:rFonts w:hint="eastAsia" w:ascii="仿宋" w:hAnsi="仿宋" w:eastAsia="仿宋" w:cs="仿宋"/>
          <w:sz w:val="32"/>
          <w:szCs w:val="32"/>
          <w:highlight w:val="none"/>
        </w:rPr>
        <w:t>万元，项目支出</w:t>
      </w:r>
      <w:r>
        <w:rPr>
          <w:rFonts w:ascii="仿宋" w:hAnsi="仿宋" w:eastAsia="仿宋" w:cs="仿宋"/>
          <w:sz w:val="32"/>
          <w:u w:color="auto"/>
        </w:rPr>
        <w:t>26.72</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rPr>
        <w:t>中国共产党环江毛南族自治县委员会党校2022年度一般公共预算财政拨款支出年初预算为</w:t>
      </w:r>
      <w:r>
        <w:rPr>
          <w:rFonts w:ascii="仿宋" w:hAnsi="仿宋" w:eastAsia="仿宋" w:cs="仿宋"/>
          <w:sz w:val="32"/>
          <w:u w:color="auto"/>
        </w:rPr>
        <w:t>190.85</w:t>
      </w:r>
      <w:r>
        <w:rPr>
          <w:rFonts w:hint="eastAsia" w:ascii="仿宋" w:hAnsi="仿宋" w:eastAsia="仿宋" w:cs="仿宋"/>
          <w:sz w:val="32"/>
          <w:szCs w:val="32"/>
          <w:highlight w:val="none"/>
        </w:rPr>
        <w:t>万元，支出决算为</w:t>
      </w:r>
      <w:r>
        <w:rPr>
          <w:rFonts w:ascii="仿宋" w:hAnsi="仿宋" w:eastAsia="仿宋" w:cs="仿宋"/>
          <w:sz w:val="32"/>
          <w:u w:color="auto"/>
        </w:rPr>
        <w:t>242.95</w:t>
      </w:r>
      <w:r>
        <w:rPr>
          <w:rFonts w:hint="eastAsia" w:ascii="仿宋" w:hAnsi="仿宋" w:eastAsia="仿宋" w:cs="仿宋"/>
          <w:sz w:val="32"/>
          <w:szCs w:val="32"/>
          <w:highlight w:val="none"/>
        </w:rPr>
        <w:t>万元，完成年初预算的</w:t>
      </w:r>
      <w:r>
        <w:rPr>
          <w:rFonts w:ascii="仿宋" w:hAnsi="仿宋" w:eastAsia="仿宋" w:cs="仿宋"/>
          <w:sz w:val="32"/>
          <w:u w:color="auto"/>
        </w:rPr>
        <w:t>127.30%</w:t>
      </w:r>
      <w:r>
        <w:rPr>
          <w:rFonts w:hint="eastAsia" w:ascii="仿宋" w:hAnsi="仿宋" w:eastAsia="仿宋" w:cs="仿宋"/>
          <w:sz w:val="32"/>
          <w:szCs w:val="32"/>
          <w:highlight w:val="none"/>
        </w:rPr>
        <w:t>。</w:t>
      </w:r>
      <w:bookmarkStart w:id="3" w:name="OLE_LINK2"/>
      <w:bookmarkEnd w:id="3"/>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sz w:val="32"/>
          <w:szCs w:val="32"/>
          <w:highlight w:val="none"/>
        </w:rPr>
        <w:t>一般公共服务支出</w:t>
      </w:r>
      <w:r>
        <w:rPr>
          <w:rFonts w:ascii="仿宋" w:hAnsi="仿宋" w:eastAsia="仿宋"/>
          <w:sz w:val="32"/>
          <w:u w:color="auto"/>
        </w:rPr>
        <w:t>（201</w:t>
      </w:r>
      <w:r>
        <w:rPr>
          <w:rFonts w:hint="eastAsia" w:ascii="仿宋" w:hAnsi="仿宋" w:eastAsia="仿宋"/>
          <w:sz w:val="32"/>
          <w:szCs w:val="32"/>
          <w:highlight w:val="none"/>
        </w:rPr>
        <w:t>类）年初预算为</w:t>
      </w:r>
      <w:r>
        <w:rPr>
          <w:rFonts w:ascii="仿宋" w:hAnsi="仿宋" w:eastAsia="仿宋"/>
          <w:sz w:val="32"/>
          <w:szCs w:val="32"/>
          <w:highlight w:val="none"/>
        </w:rPr>
        <w:t>2.74</w:t>
      </w:r>
      <w:r>
        <w:rPr>
          <w:rFonts w:hint="eastAsia" w:ascii="仿宋" w:hAnsi="仿宋" w:eastAsia="仿宋"/>
          <w:sz w:val="32"/>
          <w:szCs w:val="32"/>
          <w:highlight w:val="none"/>
        </w:rPr>
        <w:t>万元，支出决算为</w:t>
      </w:r>
      <w:r>
        <w:rPr>
          <w:rFonts w:ascii="仿宋" w:hAnsi="仿宋" w:eastAsia="仿宋"/>
          <w:sz w:val="32"/>
          <w:szCs w:val="32"/>
          <w:highlight w:val="none"/>
        </w:rPr>
        <w:t>2.74</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无。</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2.74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2.74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工会经费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严格按照预算制度执行经费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2.74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2.74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工会经费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严格按照预算制度执行经费</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sz w:val="32"/>
          <w:szCs w:val="32"/>
          <w:highlight w:val="none"/>
        </w:rPr>
        <w:t>教育支出</w:t>
      </w:r>
      <w:r>
        <w:rPr>
          <w:rFonts w:ascii="仿宋" w:hAnsi="仿宋" w:eastAsia="仿宋"/>
          <w:sz w:val="32"/>
          <w:u w:color="auto"/>
        </w:rPr>
        <w:t>（205</w:t>
      </w:r>
      <w:r>
        <w:rPr>
          <w:rFonts w:hint="eastAsia" w:ascii="仿宋" w:hAnsi="仿宋" w:eastAsia="仿宋"/>
          <w:sz w:val="32"/>
          <w:szCs w:val="32"/>
          <w:highlight w:val="none"/>
        </w:rPr>
        <w:t>类）年初预算为</w:t>
      </w:r>
      <w:r>
        <w:rPr>
          <w:rFonts w:ascii="仿宋" w:hAnsi="仿宋" w:eastAsia="仿宋"/>
          <w:sz w:val="32"/>
          <w:szCs w:val="32"/>
          <w:highlight w:val="none"/>
        </w:rPr>
        <w:t>149.69</w:t>
      </w:r>
      <w:r>
        <w:rPr>
          <w:rFonts w:hint="eastAsia" w:ascii="仿宋" w:hAnsi="仿宋" w:eastAsia="仿宋"/>
          <w:sz w:val="32"/>
          <w:szCs w:val="32"/>
          <w:highlight w:val="none"/>
        </w:rPr>
        <w:t>万元，支出决算为</w:t>
      </w:r>
      <w:r>
        <w:rPr>
          <w:rFonts w:ascii="仿宋" w:hAnsi="仿宋" w:eastAsia="仿宋"/>
          <w:sz w:val="32"/>
          <w:szCs w:val="32"/>
          <w:highlight w:val="none"/>
        </w:rPr>
        <w:t>169.07</w:t>
      </w:r>
      <w:r>
        <w:rPr>
          <w:rFonts w:hint="eastAsia" w:ascii="仿宋" w:hAnsi="仿宋" w:eastAsia="仿宋"/>
          <w:sz w:val="32"/>
          <w:szCs w:val="32"/>
          <w:highlight w:val="none"/>
        </w:rPr>
        <w:t>万元，完成年初预算的</w:t>
      </w:r>
      <w:r>
        <w:rPr>
          <w:rFonts w:ascii="仿宋" w:hAnsi="仿宋" w:eastAsia="仿宋"/>
          <w:sz w:val="32"/>
          <w:szCs w:val="32"/>
          <w:highlight w:val="none"/>
        </w:rPr>
        <w:t>112.95%</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olor w:val="auto"/>
          <w:sz w:val="32"/>
          <w:szCs w:val="32"/>
          <w:highlight w:val="none"/>
          <w:lang w:val="en-US" w:eastAsia="zh-CN"/>
        </w:rPr>
        <w:t>：</w:t>
      </w:r>
      <w:r>
        <w:rPr>
          <w:rFonts w:hint="eastAsia" w:ascii="仿宋" w:hAnsi="仿宋" w:eastAsia="仿宋" w:cs="仿宋"/>
          <w:color w:val="auto"/>
          <w:kern w:val="2"/>
          <w:sz w:val="32"/>
          <w:szCs w:val="32"/>
          <w:highlight w:val="none"/>
          <w:lang w:val="en-US" w:eastAsia="zh-CN" w:bidi="ar"/>
        </w:rPr>
        <w:t>人员增资等方面造成实际支出大于预算数。</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2050802</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干部教育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149.69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169.07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112.95%</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工作奖金津补贴、办公经费、离退休费等</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人员增资等方面造成实际支出大于预算数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149.69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169.07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工作奖金津补贴、办公经费、离退休费等</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人员增资等方面造成实际支出大于预算数</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386965"/>
            <wp:effectExtent l="4445" t="4445" r="16510" b="8890"/>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ascii="仿宋" w:hAnsi="仿宋" w:eastAsia="仿宋"/>
          <w:sz w:val="32"/>
          <w:szCs w:val="32"/>
          <w:highlight w:val="none"/>
        </w:rPr>
        <w:t>21.95</w:t>
      </w:r>
      <w:r>
        <w:rPr>
          <w:rFonts w:hint="eastAsia" w:ascii="仿宋" w:hAnsi="仿宋" w:eastAsia="仿宋"/>
          <w:sz w:val="32"/>
          <w:szCs w:val="32"/>
          <w:highlight w:val="none"/>
        </w:rPr>
        <w:t>万元，支出决算为</w:t>
      </w:r>
      <w:r>
        <w:rPr>
          <w:rFonts w:ascii="仿宋" w:hAnsi="仿宋" w:eastAsia="仿宋"/>
          <w:sz w:val="32"/>
          <w:szCs w:val="32"/>
          <w:highlight w:val="none"/>
        </w:rPr>
        <w:t>21.42</w:t>
      </w:r>
      <w:r>
        <w:rPr>
          <w:rFonts w:hint="eastAsia" w:ascii="仿宋" w:hAnsi="仿宋" w:eastAsia="仿宋"/>
          <w:sz w:val="32"/>
          <w:szCs w:val="32"/>
          <w:highlight w:val="none"/>
        </w:rPr>
        <w:t>万元，完成年初预算的</w:t>
      </w:r>
      <w:r>
        <w:rPr>
          <w:rFonts w:ascii="仿宋" w:hAnsi="仿宋" w:eastAsia="仿宋"/>
          <w:sz w:val="32"/>
          <w:szCs w:val="32"/>
          <w:highlight w:val="none"/>
        </w:rPr>
        <w:t>97.59%</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人员变动造成差异。</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21.95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21.42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97.59%</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教职工基本养老保险缴费支出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人员变动造成差异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21.95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21.42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教职工基本养老保险缴费支出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人员变动造成差异</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434590"/>
            <wp:effectExtent l="4445" t="4445" r="16510" b="1841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ascii="仿宋" w:hAnsi="仿宋" w:eastAsia="仿宋"/>
          <w:sz w:val="32"/>
          <w:szCs w:val="32"/>
          <w:highlight w:val="none"/>
        </w:rPr>
        <w:t>16.47</w:t>
      </w:r>
      <w:r>
        <w:rPr>
          <w:rFonts w:hint="eastAsia" w:ascii="仿宋" w:hAnsi="仿宋" w:eastAsia="仿宋"/>
          <w:sz w:val="32"/>
          <w:szCs w:val="32"/>
          <w:highlight w:val="none"/>
        </w:rPr>
        <w:t>万元，支出决算为</w:t>
      </w:r>
      <w:r>
        <w:rPr>
          <w:rFonts w:ascii="仿宋" w:hAnsi="仿宋" w:eastAsia="仿宋"/>
          <w:sz w:val="32"/>
          <w:szCs w:val="32"/>
          <w:highlight w:val="none"/>
        </w:rPr>
        <w:t>16.06</w:t>
      </w:r>
      <w:r>
        <w:rPr>
          <w:rFonts w:hint="eastAsia" w:ascii="仿宋" w:hAnsi="仿宋" w:eastAsia="仿宋"/>
          <w:sz w:val="32"/>
          <w:szCs w:val="32"/>
          <w:highlight w:val="none"/>
        </w:rPr>
        <w:t>万元，完成年初预算的</w:t>
      </w:r>
      <w:r>
        <w:rPr>
          <w:rFonts w:ascii="仿宋" w:hAnsi="仿宋" w:eastAsia="仿宋"/>
          <w:sz w:val="32"/>
          <w:szCs w:val="32"/>
          <w:highlight w:val="none"/>
        </w:rPr>
        <w:t>97.51%</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人员变动造成差异。</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16.47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16.06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97.51%</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教职工住房公积金支出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人员变动造成差异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16.47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16.06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教职工住房公积金支出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人员变动造成差异</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sz w:val="32"/>
          <w:szCs w:val="32"/>
          <w:highlight w:val="none"/>
        </w:rPr>
        <w:t>其他支出</w:t>
      </w:r>
      <w:r>
        <w:rPr>
          <w:rFonts w:ascii="仿宋" w:hAnsi="仿宋" w:eastAsia="仿宋"/>
          <w:sz w:val="32"/>
          <w:u w:color="auto"/>
        </w:rPr>
        <w:t>（229</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ascii="仿宋" w:hAnsi="仿宋" w:eastAsia="仿宋"/>
          <w:sz w:val="32"/>
          <w:szCs w:val="32"/>
          <w:highlight w:val="none"/>
        </w:rPr>
        <w:t>33.66</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olor w:val="auto"/>
          <w:sz w:val="32"/>
          <w:szCs w:val="32"/>
          <w:highlight w:val="none"/>
        </w:rPr>
        <w:t>其他支出</w:t>
      </w:r>
      <w:r>
        <w:rPr>
          <w:rFonts w:hint="eastAsia" w:ascii="仿宋" w:hAnsi="仿宋" w:eastAsia="仿宋"/>
          <w:color w:val="auto"/>
          <w:sz w:val="32"/>
          <w:szCs w:val="32"/>
          <w:highlight w:val="none"/>
          <w:lang w:eastAsia="zh-CN"/>
        </w:rPr>
        <w:t>用于</w:t>
      </w:r>
      <w:r>
        <w:rPr>
          <w:rFonts w:hint="eastAsia" w:ascii="仿宋" w:hAnsi="仿宋" w:eastAsia="仿宋" w:cs="仿宋"/>
          <w:color w:val="auto"/>
          <w:kern w:val="2"/>
          <w:sz w:val="32"/>
          <w:szCs w:val="32"/>
          <w:highlight w:val="none"/>
          <w:lang w:val="en-US" w:eastAsia="zh-CN" w:bidi="ar"/>
        </w:rPr>
        <w:t>发放奖励性补贴与伙食补助费，年初未预算该支出。</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33.66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发放奖励性补贴与伙食补助费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年初未预算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33.66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发放奖励性补贴与伙食补助费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年初未预算</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中国共产党环江毛南族自治县委员会党校2022年度一般公共预算财政拨款基本支出</w:t>
      </w:r>
      <w:r>
        <w:rPr>
          <w:rFonts w:ascii="仿宋" w:hAnsi="仿宋" w:eastAsia="仿宋" w:cs="仿宋"/>
          <w:sz w:val="32"/>
          <w:u w:color="auto"/>
        </w:rPr>
        <w:t>216.23</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209.71</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6.52</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sz w:val="32"/>
          <w:szCs w:val="32"/>
          <w:highlight w:val="none"/>
        </w:rPr>
        <w:t>工资福利支出</w:t>
      </w:r>
      <w:r>
        <w:rPr>
          <w:rFonts w:ascii="仿宋" w:hAnsi="仿宋" w:eastAsia="仿宋" w:cs="仿宋"/>
          <w:sz w:val="32"/>
          <w:u w:color="auto"/>
        </w:rPr>
        <w:t>207.49万元，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130.13%</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：人员增加，人员</w:t>
      </w:r>
      <w:r>
        <w:rPr>
          <w:rFonts w:hint="eastAsia" w:ascii="仿宋" w:hAnsi="仿宋" w:eastAsia="仿宋" w:cs="仿宋"/>
          <w:sz w:val="32"/>
          <w:szCs w:val="32"/>
          <w:highlight w:val="none"/>
        </w:rPr>
        <w:t>工资福利支出</w:t>
      </w:r>
      <w:r>
        <w:rPr>
          <w:rFonts w:hint="eastAsia" w:ascii="仿宋" w:hAnsi="仿宋" w:eastAsia="仿宋" w:cs="仿宋"/>
          <w:color w:val="auto"/>
          <w:kern w:val="2"/>
          <w:sz w:val="32"/>
          <w:szCs w:val="32"/>
          <w:highlight w:val="none"/>
          <w:lang w:val="en-US" w:eastAsia="zh-CN" w:bidi="ar"/>
        </w:rPr>
        <w:t>增多。</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67.29万元，30102津贴补贴29.64万元，30103奖金46.56万元，30106伙食补助费2.37万元，30107绩效工资14.73万元，30108机关事业单位基本养老保险缴费21.42万元，30110职工基本医疗保险缴费8.80万元，30112其他社会保障缴费0.63万元，30113住房公积金16.06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ascii="仿宋" w:hAnsi="仿宋" w:eastAsia="仿宋" w:cs="仿宋"/>
          <w:sz w:val="32"/>
          <w:u w:color="auto"/>
        </w:rPr>
        <w:t>6.52万元，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54.79%</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主要原因是：预决算数据统计口径不一致，决算数包含</w:t>
      </w:r>
      <w:r>
        <w:rPr>
          <w:rFonts w:hint="eastAsia" w:ascii="仿宋" w:hAnsi="仿宋" w:eastAsia="仿宋" w:cs="仿宋"/>
          <w:sz w:val="32"/>
          <w:szCs w:val="32"/>
          <w:highlight w:val="none"/>
          <w:lang w:val="en-US" w:eastAsia="zh-CN"/>
        </w:rPr>
        <w:t>办公费、水费、电费和工会经费等，预算数</w:t>
      </w:r>
      <w:r>
        <w:rPr>
          <w:rFonts w:hint="eastAsia" w:ascii="仿宋" w:hAnsi="仿宋" w:eastAsia="仿宋" w:cs="仿宋"/>
          <w:sz w:val="32"/>
          <w:szCs w:val="32"/>
          <w:highlight w:val="none"/>
          <w:lang w:eastAsia="zh-CN"/>
        </w:rPr>
        <w:t>包含工会经费、定额商品和服务支出（公用经费）、公务交通补贴和机关公务移动通信补贴。</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30201办公费1.19万元，30205水费0.52万元，30206电费0.04万元，30207邮电费1.13万元，30213维修（护）费0.22万元，30214租赁费0.09万元，30228工会经费2.74万元，30299其他商品和服务支出0.59万元。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806065"/>
            <wp:effectExtent l="4445" t="4445" r="16510" b="8890"/>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sz w:val="32"/>
          <w:szCs w:val="32"/>
          <w:highlight w:val="none"/>
        </w:rPr>
        <w:t>对个人和家庭的补助</w:t>
      </w:r>
      <w:r>
        <w:rPr>
          <w:rFonts w:ascii="仿宋" w:hAnsi="仿宋" w:eastAsia="仿宋" w:cs="仿宋"/>
          <w:sz w:val="32"/>
          <w:u w:color="auto"/>
        </w:rPr>
        <w:t>2.22万元，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24.03%</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是：预决算数据统计口径不一致，</w:t>
      </w:r>
      <w:r>
        <w:rPr>
          <w:rFonts w:hint="eastAsia" w:ascii="仿宋" w:hAnsi="仿宋" w:eastAsia="仿宋" w:cs="仿宋"/>
          <w:color w:val="auto"/>
          <w:sz w:val="32"/>
          <w:szCs w:val="32"/>
          <w:highlight w:val="none"/>
          <w:lang w:eastAsia="zh-CN"/>
        </w:rPr>
        <w:t>决算数</w:t>
      </w:r>
      <w:r>
        <w:rPr>
          <w:rFonts w:hint="eastAsia" w:ascii="仿宋" w:hAnsi="仿宋" w:eastAsia="仿宋" w:cs="仿宋"/>
          <w:color w:val="auto"/>
          <w:sz w:val="32"/>
          <w:u w:color="auto"/>
          <w:lang w:eastAsia="zh-CN"/>
        </w:rPr>
        <w:t>包含</w:t>
      </w:r>
      <w:r>
        <w:rPr>
          <w:rFonts w:hint="eastAsia" w:ascii="仿宋" w:hAnsi="仿宋" w:eastAsia="仿宋" w:cs="仿宋"/>
          <w:color w:val="auto"/>
          <w:kern w:val="2"/>
          <w:sz w:val="32"/>
          <w:szCs w:val="32"/>
          <w:highlight w:val="none"/>
          <w:lang w:val="en-US" w:eastAsia="zh-CN" w:bidi="ar"/>
        </w:rPr>
        <w:t>遗属生活补助和独生子女保健费（奖励金），</w:t>
      </w:r>
      <w:r>
        <w:rPr>
          <w:rFonts w:hint="default" w:ascii="仿宋_GB2312" w:hAnsi="微软雅黑" w:eastAsia="仿宋_GB2312" w:cs="仿宋_GB2312"/>
          <w:i w:val="0"/>
          <w:iCs w:val="0"/>
          <w:caps w:val="0"/>
          <w:color w:val="auto"/>
          <w:spacing w:val="0"/>
          <w:sz w:val="31"/>
          <w:szCs w:val="31"/>
          <w:highlight w:val="none"/>
          <w:shd w:val="clear" w:color="auto" w:fill="FFFFFF"/>
        </w:rPr>
        <w:t>预算</w:t>
      </w:r>
      <w:r>
        <w:rPr>
          <w:rFonts w:hint="eastAsia" w:ascii="仿宋_GB2312" w:hAnsi="微软雅黑" w:eastAsia="仿宋_GB2312" w:cs="仿宋_GB2312"/>
          <w:i w:val="0"/>
          <w:iCs w:val="0"/>
          <w:caps w:val="0"/>
          <w:color w:val="auto"/>
          <w:spacing w:val="0"/>
          <w:sz w:val="31"/>
          <w:szCs w:val="31"/>
          <w:highlight w:val="none"/>
          <w:shd w:val="clear" w:color="auto" w:fill="FFFFFF"/>
          <w:lang w:eastAsia="zh-CN"/>
        </w:rPr>
        <w:t>数</w:t>
      </w:r>
      <w:r>
        <w:rPr>
          <w:rFonts w:hint="eastAsia" w:ascii="仿宋" w:hAnsi="仿宋" w:eastAsia="仿宋" w:cs="仿宋"/>
          <w:color w:val="auto"/>
          <w:sz w:val="32"/>
          <w:szCs w:val="32"/>
          <w:highlight w:val="none"/>
          <w:lang w:eastAsia="zh-CN"/>
        </w:rPr>
        <w:t>包含</w:t>
      </w:r>
      <w:r>
        <w:rPr>
          <w:rFonts w:hint="eastAsia" w:ascii="仿宋" w:hAnsi="仿宋" w:eastAsia="仿宋" w:cs="仿宋"/>
          <w:color w:val="auto"/>
          <w:kern w:val="2"/>
          <w:sz w:val="32"/>
          <w:szCs w:val="32"/>
          <w:highlight w:val="none"/>
          <w:lang w:val="en-US" w:eastAsia="zh-CN" w:bidi="ar"/>
        </w:rPr>
        <w:t>改革前</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获得荣誉改革后退休人员退休补助、离退休人员生活补助、遗属生活补</w:t>
      </w:r>
      <w:r>
        <w:rPr>
          <w:rFonts w:hint="eastAsia" w:ascii="仿宋" w:hAnsi="仿宋" w:eastAsia="仿宋" w:cs="仿宋"/>
          <w:sz w:val="32"/>
          <w:szCs w:val="32"/>
          <w:highlight w:val="none"/>
        </w:rPr>
        <w:t>助</w:t>
      </w:r>
      <w:r>
        <w:rPr>
          <w:rFonts w:hint="eastAsia" w:ascii="仿宋" w:hAnsi="仿宋" w:eastAsia="仿宋" w:cs="仿宋"/>
          <w:sz w:val="32"/>
          <w:szCs w:val="32"/>
          <w:highlight w:val="none"/>
          <w:lang w:eastAsia="zh-CN"/>
        </w:rPr>
        <w:t>和</w:t>
      </w:r>
      <w:r>
        <w:rPr>
          <w:rFonts w:hint="eastAsia" w:ascii="仿宋" w:hAnsi="仿宋" w:eastAsia="仿宋" w:cs="仿宋"/>
          <w:sz w:val="32"/>
          <w:szCs w:val="32"/>
          <w:highlight w:val="none"/>
          <w:lang w:val="en-US" w:eastAsia="zh-CN"/>
        </w:rPr>
        <w:t>独生</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子女保健费（奖励金）。</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30305生活补助2.21万元，30309奖励金0.01万元。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748915"/>
            <wp:effectExtent l="4445" t="4445" r="16510" b="8890"/>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jc w:val="both"/>
        <w:rPr>
          <w:rFonts w:hint="eastAsia" w:ascii="仿宋" w:hAnsi="仿宋" w:eastAsia="仿宋" w:cs="仿宋"/>
          <w:sz w:val="32"/>
          <w:szCs w:val="32"/>
          <w:highlight w:val="none"/>
        </w:rPr>
      </w:pP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w:t>
      </w:r>
      <w:r>
        <w:rPr>
          <w:rFonts w:hint="eastAsia" w:ascii="仿宋" w:hAnsi="仿宋" w:eastAsia="仿宋" w:cs="仿宋"/>
          <w:sz w:val="32"/>
          <w:szCs w:val="32"/>
          <w:highlight w:val="none"/>
        </w:rPr>
        <w:t>债务利息及费用支出</w:t>
      </w:r>
      <w:r>
        <w:rPr>
          <w:rFonts w:hint="eastAsia" w:ascii="仿宋" w:hAnsi="仿宋" w:eastAsia="仿宋" w:cs="仿宋"/>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625725"/>
            <wp:effectExtent l="4445" t="4445" r="16510" b="17780"/>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w:t>
      </w:r>
      <w:r>
        <w:rPr>
          <w:rFonts w:hint="eastAsia" w:ascii="仿宋" w:hAnsi="仿宋" w:eastAsia="仿宋" w:cs="仿宋"/>
          <w:sz w:val="32"/>
          <w:szCs w:val="32"/>
          <w:highlight w:val="none"/>
        </w:rPr>
        <w:t>资本性支出</w:t>
      </w:r>
      <w:r>
        <w:rPr>
          <w:rFonts w:hint="eastAsia" w:ascii="仿宋" w:hAnsi="仿宋" w:eastAsia="仿宋" w:cs="仿宋"/>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jc w:val="both"/>
        <w:rPr>
          <w:rFonts w:hint="eastAsia" w:ascii="仿宋" w:hAnsi="仿宋" w:eastAsia="仿宋" w:cs="仿宋"/>
          <w:sz w:val="32"/>
          <w:szCs w:val="32"/>
          <w:highlight w:val="none"/>
        </w:rPr>
      </w:pP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主要原因是：本单位没有其他支出。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hint="eastAsia" w:ascii="仿宋" w:hAnsi="仿宋" w:eastAsia="仿宋" w:cs="仿宋"/>
          <w:sz w:val="32"/>
          <w:szCs w:val="32"/>
          <w:highlight w:val="none"/>
        </w:rPr>
      </w:pPr>
      <w:r>
        <w:rPr>
          <w:rFonts w:hint="eastAsia" w:ascii="仿宋_GB2312" w:hAnsi="Times New Roman" w:eastAsia="仿宋_GB2312" w:cs="Times New Roman"/>
          <w:color w:val="auto"/>
          <w:sz w:val="32"/>
          <w:szCs w:val="32"/>
        </w:rPr>
        <w:t>中国共产党环江毛南族自治县委员会党校</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Times New Roman" w:eastAsia="仿宋_GB2312" w:cs="Times New Roman"/>
          <w:color w:val="auto"/>
          <w:sz w:val="32"/>
          <w:szCs w:val="32"/>
          <w:lang w:eastAsia="zh-CN"/>
        </w:rPr>
        <w:t>。</w:t>
      </w:r>
    </w:p>
    <w:p>
      <w:pPr>
        <w:jc w:val="left"/>
        <w:rPr>
          <w:rFonts w:ascii="仿宋" w:hAnsi="仿宋" w:eastAsia="仿宋" w:cs="仿宋"/>
          <w:color w:val="auto"/>
          <w:sz w:val="32"/>
          <w:szCs w:val="32"/>
          <w:highlight w:val="none"/>
        </w:rPr>
      </w:pPr>
      <w:r>
        <w:rPr>
          <w:rFonts w:hint="eastAsia" w:ascii="黑体" w:hAnsi="黑体" w:eastAsia="黑体" w:cs="黑体"/>
          <w:sz w:val="32"/>
          <w:szCs w:val="32"/>
          <w:highlight w:val="none"/>
        </w:rPr>
        <w:t>五</w:t>
      </w:r>
      <w:r>
        <w:rPr>
          <w:rFonts w:hint="eastAsia" w:ascii="黑体" w:hAnsi="黑体" w:eastAsia="黑体" w:cs="黑体"/>
          <w:color w:val="auto"/>
          <w:sz w:val="32"/>
          <w:szCs w:val="32"/>
          <w:highlight w:val="none"/>
        </w:rPr>
        <w:t>、2022年度国有资本经营预算支出决算情况</w:t>
      </w:r>
    </w:p>
    <w:p>
      <w:pPr>
        <w:ind w:firstLine="640" w:firstLineChars="200"/>
        <w:jc w:val="left"/>
        <w:rPr>
          <w:rFonts w:hint="default" w:ascii="仿宋" w:hAnsi="仿宋" w:eastAsia="仿宋" w:cs="仿宋"/>
          <w:color w:val="auto"/>
          <w:sz w:val="32"/>
          <w:szCs w:val="32"/>
          <w:highlight w:val="none"/>
          <w:lang w:val="en-US"/>
        </w:rPr>
      </w:pPr>
      <w:bookmarkStart w:id="4" w:name="PO_part3A5B1C1DiffReason1"/>
      <w:r>
        <w:rPr>
          <w:rFonts w:hint="eastAsia" w:ascii="仿宋_GB2312" w:hAnsi="Times New Roman" w:eastAsia="仿宋_GB2312" w:cs="Times New Roman"/>
          <w:color w:val="auto"/>
          <w:sz w:val="32"/>
          <w:szCs w:val="32"/>
        </w:rPr>
        <w:t>中国共产党环江毛南族自治县委员会党校</w:t>
      </w:r>
      <w:r>
        <w:rPr>
          <w:rFonts w:ascii="仿宋_GB2312" w:hAnsi="仿宋_GB2312" w:eastAsia="仿宋_GB2312" w:cs="仿宋_GB2312"/>
          <w:color w:val="auto"/>
          <w:sz w:val="32"/>
          <w:u w:color="auto"/>
        </w:rPr>
        <w:t>没有国有资本经营预算收入，也没有国有资本经营预算收入</w:t>
      </w:r>
      <w:bookmarkEnd w:id="4"/>
      <w:r>
        <w:rPr>
          <w:rFonts w:hint="eastAsia" w:ascii="仿宋_GB2312" w:hAnsi="Times New Roman" w:eastAsia="仿宋_GB2312" w:cs="Times New Roman"/>
          <w:color w:val="auto"/>
          <w:sz w:val="32"/>
          <w:szCs w:val="32"/>
          <w:lang w:val="en-US" w:eastAsia="zh-CN"/>
        </w:rPr>
        <w:t>安排的支出。</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六、财政拨款“三公”经费支出决算情况说明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2022年预算财政拨款安排的“三公”经费支出</w:t>
      </w:r>
      <w:r>
        <w:rPr>
          <w:rFonts w:ascii="仿宋" w:hAnsi="仿宋" w:eastAsia="仿宋" w:cs="仿宋"/>
          <w:sz w:val="32"/>
          <w:szCs w:val="32"/>
          <w:highlight w:val="none"/>
        </w:rPr>
        <w:t>0.80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100%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增加0.69</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bCs/>
          <w:kern w:val="0"/>
          <w:sz w:val="32"/>
          <w:szCs w:val="32"/>
          <w:lang w:eastAsia="zh-CN"/>
        </w:rPr>
        <w:t>节约过紧日子，控制</w:t>
      </w:r>
      <w:r>
        <w:rPr>
          <w:rFonts w:hint="eastAsia" w:ascii="仿宋" w:hAnsi="仿宋" w:eastAsia="仿宋" w:cs="仿宋"/>
          <w:sz w:val="32"/>
          <w:szCs w:val="32"/>
          <w:highlight w:val="none"/>
        </w:rPr>
        <w:t>“三公”经费支出</w:t>
      </w:r>
      <w:r>
        <w:rPr>
          <w:rFonts w:hint="eastAsia" w:ascii="仿宋" w:hAnsi="仿宋" w:eastAsia="仿宋" w:cs="仿宋"/>
          <w:bCs/>
          <w:kern w:val="0"/>
          <w:sz w:val="32"/>
          <w:szCs w:val="32"/>
          <w:lang w:eastAsia="zh-CN"/>
        </w:rPr>
        <w:t>。</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ascii="仿宋" w:hAnsi="仿宋" w:eastAsia="仿宋" w:cs="仿宋"/>
          <w:sz w:val="32"/>
          <w:szCs w:val="32"/>
          <w:highlight w:val="none"/>
        </w:rPr>
        <w:t>0.80</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ind w:firstLine="640" w:firstLineChars="200"/>
        <w:jc w:val="left"/>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（一）因公出国（境）费支出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原因是：本单位没有</w:t>
      </w:r>
      <w:r>
        <w:rPr>
          <w:rFonts w:hint="eastAsia" w:ascii="仿宋" w:hAnsi="仿宋" w:eastAsia="仿宋" w:cs="仿宋"/>
          <w:sz w:val="32"/>
          <w:szCs w:val="32"/>
          <w:highlight w:val="none"/>
        </w:rPr>
        <w:t>因公出国（境）费支出</w:t>
      </w:r>
      <w:r>
        <w:rPr>
          <w:rFonts w:hint="eastAsia" w:ascii="仿宋_GB2312" w:hAnsi="Times New Roman" w:eastAsia="仿宋_GB2312" w:cs="Times New Roman"/>
          <w:color w:val="auto"/>
          <w:sz w:val="32"/>
          <w:szCs w:val="32"/>
          <w:lang w:val="en-US" w:eastAsia="zh-CN"/>
        </w:rPr>
        <w:t>。</w:t>
      </w:r>
      <w:r>
        <w:rPr>
          <w:rFonts w:hint="eastAsia" w:ascii="仿宋" w:hAnsi="仿宋" w:eastAsia="仿宋" w:cs="仿宋"/>
          <w:sz w:val="32"/>
          <w:szCs w:val="32"/>
          <w:highlight w:val="none"/>
        </w:rPr>
        <w:t>全年因公出国（境）团组共计</w:t>
      </w:r>
      <w:r>
        <w:rPr>
          <w:rFonts w:ascii="仿宋" w:hAnsi="仿宋" w:eastAsia="仿宋" w:cs="仿宋"/>
          <w:sz w:val="32"/>
          <w:szCs w:val="32"/>
          <w:highlight w:val="none"/>
        </w:rPr>
        <w:t>0</w:t>
      </w:r>
      <w:r>
        <w:rPr>
          <w:rFonts w:hint="eastAsia" w:ascii="仿宋" w:hAnsi="仿宋" w:eastAsia="仿宋" w:cs="仿宋"/>
          <w:sz w:val="32"/>
          <w:szCs w:val="32"/>
          <w:highlight w:val="none"/>
        </w:rPr>
        <w:t>个，累计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r>
        <w:rPr>
          <w:rFonts w:hint="eastAsia" w:ascii="仿宋_GB2312" w:hAnsi="Times New Roman" w:eastAsia="仿宋_GB2312" w:cs="Times New Roman"/>
          <w:color w:val="000000" w:themeColor="text1"/>
          <w:sz w:val="32"/>
          <w:szCs w:val="32"/>
          <w14:textFill>
            <w14:solidFill>
              <w14:schemeClr w14:val="tx1"/>
            </w14:solidFill>
          </w14:textFill>
        </w:rPr>
        <w:t>开支内容包括：</w:t>
      </w:r>
      <w:r>
        <w:rPr>
          <w:rFonts w:hint="eastAsia" w:ascii="仿宋_GB2312" w:hAnsi="Times New Roman" w:eastAsia="仿宋_GB2312" w:cs="Times New Roman"/>
          <w:color w:val="000000" w:themeColor="text1"/>
          <w:sz w:val="32"/>
          <w:szCs w:val="32"/>
          <w:lang w:eastAsia="zh-CN"/>
          <w14:textFill>
            <w14:solidFill>
              <w14:schemeClr w14:val="tx1"/>
            </w14:solidFill>
          </w14:textFill>
        </w:rPr>
        <w:t>本单位没有</w:t>
      </w:r>
      <w:r>
        <w:rPr>
          <w:rFonts w:hint="eastAsia" w:ascii="仿宋" w:hAnsi="仿宋" w:eastAsia="仿宋" w:cs="仿宋"/>
          <w:sz w:val="32"/>
          <w:szCs w:val="32"/>
          <w:highlight w:val="none"/>
        </w:rPr>
        <w:t>因公出国（境）</w:t>
      </w:r>
      <w:r>
        <w:rPr>
          <w:rFonts w:hint="eastAsia" w:ascii="仿宋" w:hAnsi="仿宋" w:eastAsia="仿宋" w:cs="仿宋"/>
          <w:sz w:val="32"/>
          <w:szCs w:val="32"/>
          <w:highlight w:val="none"/>
          <w:lang w:eastAsia="zh-CN"/>
        </w:rPr>
        <w:t>。</w:t>
      </w:r>
    </w:p>
    <w:p>
      <w:pPr>
        <w:ind w:firstLine="640" w:firstLineChars="200"/>
        <w:jc w:val="left"/>
        <w:rPr>
          <w:rFonts w:hint="eastAsia" w:ascii="仿宋" w:hAnsi="仿宋" w:eastAsia="仿宋" w:cs="仿宋"/>
          <w:color w:val="auto"/>
          <w:sz w:val="32"/>
          <w:szCs w:val="32"/>
          <w:lang w:eastAsia="zh-CN"/>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auto"/>
          <w:sz w:val="32"/>
          <w:szCs w:val="32"/>
        </w:rPr>
        <w:t>主要原因是</w:t>
      </w:r>
      <w:bookmarkStart w:id="5" w:name="PO_part3A6B2IncReason1"/>
      <w:r>
        <w:rPr>
          <w:rFonts w:hint="eastAsia" w:ascii="仿宋" w:hAnsi="仿宋" w:eastAsia="仿宋" w:cs="仿宋"/>
          <w:color w:val="auto"/>
          <w:sz w:val="32"/>
          <w:szCs w:val="32"/>
        </w:rPr>
        <w:t>本</w:t>
      </w:r>
      <w:r>
        <w:rPr>
          <w:rFonts w:hint="eastAsia" w:ascii="仿宋" w:hAnsi="仿宋" w:eastAsia="仿宋" w:cs="仿宋"/>
          <w:color w:val="auto"/>
          <w:sz w:val="32"/>
          <w:szCs w:val="32"/>
          <w:lang w:eastAsia="zh-CN"/>
        </w:rPr>
        <w:t>单位</w:t>
      </w:r>
      <w:r>
        <w:rPr>
          <w:rFonts w:hint="eastAsia" w:ascii="仿宋" w:hAnsi="仿宋" w:eastAsia="仿宋" w:cs="仿宋"/>
          <w:color w:val="auto"/>
          <w:sz w:val="32"/>
          <w:szCs w:val="32"/>
        </w:rPr>
        <w:t>无公务用车购置</w:t>
      </w:r>
      <w:bookmarkEnd w:id="5"/>
      <w:r>
        <w:rPr>
          <w:rFonts w:hint="eastAsia" w:ascii="仿宋" w:hAnsi="仿宋" w:eastAsia="仿宋" w:cs="仿宋"/>
          <w:color w:val="auto"/>
          <w:sz w:val="32"/>
          <w:szCs w:val="32"/>
          <w:lang w:eastAsia="zh-CN"/>
        </w:rPr>
        <w:t>。</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000000" w:themeColor="text1"/>
          <w:sz w:val="32"/>
          <w:szCs w:val="32"/>
          <w:highlight w:val="none"/>
          <w:lang w:eastAsia="zh-CN"/>
          <w14:textFill>
            <w14:solidFill>
              <w14:schemeClr w14:val="tx1"/>
            </w14:solidFill>
          </w14:textFill>
        </w:rPr>
        <w:t>本单位没有</w:t>
      </w:r>
      <w:r>
        <w:rPr>
          <w:rFonts w:hint="eastAsia" w:ascii="仿宋" w:hAnsi="仿宋" w:eastAsia="仿宋" w:cs="仿宋"/>
          <w:sz w:val="32"/>
          <w:szCs w:val="32"/>
          <w:highlight w:val="none"/>
        </w:rPr>
        <w:t>公务用车运行维护支出</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2022年，</w:t>
      </w:r>
      <w:r>
        <w:rPr>
          <w:rFonts w:ascii="仿宋" w:hAnsi="仿宋" w:eastAsia="仿宋" w:cs="仿宋"/>
          <w:sz w:val="32"/>
          <w:u w:color="auto"/>
        </w:rPr>
        <w:t>中国共产党环江毛南族自治县委员会党校</w:t>
      </w:r>
      <w:r>
        <w:rPr>
          <w:rFonts w:hint="eastAsia" w:ascii="仿宋" w:hAnsi="仿宋" w:eastAsia="仿宋" w:cs="仿宋"/>
          <w:sz w:val="32"/>
          <w:szCs w:val="32"/>
          <w:highlight w:val="none"/>
        </w:rPr>
        <w:t>及</w:t>
      </w:r>
      <w:r>
        <w:rPr>
          <w:rFonts w:hint="eastAsia" w:ascii="仿宋" w:hAnsi="仿宋" w:eastAsia="仿宋" w:cs="仿宋"/>
          <w:color w:val="auto"/>
          <w:sz w:val="32"/>
          <w:szCs w:val="32"/>
          <w:highlight w:val="none"/>
          <w:u w:val="none"/>
          <w:lang w:val="en-US" w:eastAsia="zh-CN"/>
        </w:rPr>
        <w:t>0个</w:t>
      </w:r>
      <w:r>
        <w:rPr>
          <w:rFonts w:hint="eastAsia" w:ascii="仿宋" w:hAnsi="仿宋" w:eastAsia="仿宋" w:cs="仿宋"/>
          <w:sz w:val="32"/>
          <w:szCs w:val="32"/>
          <w:highlight w:val="none"/>
        </w:rPr>
        <w:t>所属单位开支财政拨款的公务用车保有量为</w:t>
      </w:r>
      <w:r>
        <w:rPr>
          <w:rFonts w:ascii="仿宋" w:hAnsi="仿宋" w:eastAsia="仿宋" w:cs="仿宋"/>
          <w:sz w:val="32"/>
          <w:u w:color="auto"/>
        </w:rPr>
        <w:t>0</w:t>
      </w:r>
      <w:r>
        <w:rPr>
          <w:rFonts w:hint="eastAsia" w:ascii="仿宋" w:hAnsi="仿宋" w:eastAsia="仿宋" w:cs="仿宋"/>
          <w:sz w:val="32"/>
          <w:szCs w:val="32"/>
          <w:highlight w:val="none"/>
        </w:rPr>
        <w:t>辆，全年运行费支出</w:t>
      </w:r>
      <w:r>
        <w:rPr>
          <w:rFonts w:ascii="仿宋" w:hAnsi="仿宋" w:eastAsia="仿宋" w:cs="仿宋"/>
          <w:sz w:val="32"/>
          <w:u w:color="auto"/>
        </w:rPr>
        <w:t>0.00</w:t>
      </w:r>
      <w:r>
        <w:rPr>
          <w:rFonts w:hint="eastAsia" w:ascii="仿宋" w:hAnsi="仿宋" w:eastAsia="仿宋" w:cs="仿宋"/>
          <w:sz w:val="32"/>
          <w:szCs w:val="32"/>
          <w:highlight w:val="none"/>
        </w:rPr>
        <w:t>万</w:t>
      </w:r>
      <w:r>
        <w:rPr>
          <w:rFonts w:hint="eastAsia" w:ascii="仿宋" w:hAnsi="仿宋" w:eastAsia="仿宋" w:cs="仿宋"/>
          <w:color w:val="auto"/>
          <w:sz w:val="32"/>
          <w:szCs w:val="32"/>
          <w:highlight w:val="none"/>
        </w:rPr>
        <w:t>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平均每辆</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ascii="仿宋" w:hAnsi="仿宋" w:eastAsia="仿宋" w:cs="仿宋"/>
          <w:sz w:val="32"/>
          <w:szCs w:val="32"/>
          <w:highlight w:val="none"/>
        </w:rPr>
        <w:t>0.80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100%</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增加0.69</w:t>
      </w:r>
      <w:r>
        <w:rPr>
          <w:rFonts w:hint="eastAsia" w:ascii="仿宋" w:hAnsi="仿宋" w:eastAsia="仿宋" w:cs="仿宋"/>
          <w:sz w:val="32"/>
          <w:szCs w:val="32"/>
          <w:highlight w:val="none"/>
        </w:rPr>
        <w:t>万元，</w:t>
      </w:r>
      <w:r>
        <w:rPr>
          <w:rFonts w:hint="eastAsia" w:ascii="仿宋" w:hAnsi="仿宋" w:eastAsia="仿宋" w:cs="仿宋"/>
          <w:color w:val="auto"/>
          <w:kern w:val="2"/>
          <w:sz w:val="32"/>
          <w:szCs w:val="32"/>
          <w:highlight w:val="none"/>
          <w:lang w:val="en-US" w:eastAsia="zh-CN" w:bidi="ar"/>
        </w:rPr>
        <w:t>主要原因是：</w:t>
      </w:r>
      <w:r>
        <w:rPr>
          <w:rFonts w:hint="eastAsia" w:ascii="仿宋" w:hAnsi="仿宋" w:eastAsia="仿宋" w:cs="仿宋"/>
          <w:bCs/>
          <w:color w:val="auto"/>
          <w:kern w:val="0"/>
          <w:sz w:val="32"/>
          <w:szCs w:val="32"/>
          <w:lang w:eastAsia="zh-CN"/>
        </w:rPr>
        <w:t>节</w:t>
      </w:r>
      <w:r>
        <w:rPr>
          <w:rFonts w:hint="eastAsia" w:ascii="仿宋" w:hAnsi="仿宋" w:eastAsia="仿宋" w:cs="仿宋"/>
          <w:bCs/>
          <w:kern w:val="0"/>
          <w:sz w:val="32"/>
          <w:szCs w:val="32"/>
          <w:lang w:eastAsia="zh-CN"/>
        </w:rPr>
        <w:t>约过紧日子，控制</w:t>
      </w:r>
      <w:r>
        <w:rPr>
          <w:rFonts w:hint="eastAsia" w:ascii="仿宋" w:hAnsi="仿宋" w:eastAsia="仿宋" w:cs="仿宋"/>
          <w:sz w:val="32"/>
          <w:szCs w:val="32"/>
          <w:highlight w:val="none"/>
        </w:rPr>
        <w:t>公务接待费支出</w:t>
      </w:r>
      <w:r>
        <w:rPr>
          <w:rFonts w:hint="eastAsia" w:ascii="仿宋" w:hAnsi="仿宋" w:eastAsia="仿宋" w:cs="仿宋"/>
          <w:sz w:val="32"/>
          <w:szCs w:val="32"/>
          <w:highlight w:val="none"/>
          <w:lang w:eastAsia="zh-CN"/>
        </w:rPr>
        <w:t>。</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ascii="仿宋" w:hAnsi="仿宋" w:eastAsia="仿宋" w:cs="仿宋"/>
          <w:color w:val="000000" w:themeColor="text1"/>
          <w:sz w:val="32"/>
          <w:szCs w:val="32"/>
          <w:highlight w:val="none"/>
          <w14:textFill>
            <w14:solidFill>
              <w14:schemeClr w14:val="tx1"/>
            </w14:solidFill>
          </w14:textFill>
        </w:rPr>
        <w:t>10</w:t>
      </w:r>
      <w:r>
        <w:rPr>
          <w:rFonts w:hint="eastAsia" w:ascii="仿宋" w:hAnsi="仿宋" w:eastAsia="仿宋" w:cs="仿宋"/>
          <w:sz w:val="32"/>
          <w:szCs w:val="32"/>
          <w:highlight w:val="none"/>
        </w:rPr>
        <w:t>次，人次</w:t>
      </w:r>
      <w:r>
        <w:rPr>
          <w:rFonts w:ascii="仿宋" w:hAnsi="仿宋" w:eastAsia="仿宋" w:cs="仿宋"/>
          <w:sz w:val="32"/>
          <w:szCs w:val="32"/>
          <w:highlight w:val="none"/>
        </w:rPr>
        <w:t>70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（一）机关运行经费支出情况说明</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sz w:val="32"/>
          <w:szCs w:val="32"/>
          <w:highlight w:val="none"/>
        </w:rPr>
        <w:t>本部门2022年度机关运行经费支出</w:t>
      </w:r>
      <w:r>
        <w:rPr>
          <w:rFonts w:ascii="仿宋" w:hAnsi="仿宋" w:eastAsia="仿宋" w:cs="仿宋"/>
          <w:sz w:val="32"/>
          <w:szCs w:val="32"/>
          <w:highlight w:val="none"/>
        </w:rPr>
        <w:t>6.52</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减少5.38</w:t>
      </w:r>
      <w:r>
        <w:rPr>
          <w:rFonts w:hint="eastAsia" w:ascii="仿宋" w:hAnsi="仿宋" w:eastAsia="仿宋" w:cs="仿宋"/>
          <w:sz w:val="32"/>
          <w:szCs w:val="32"/>
          <w:highlight w:val="none"/>
        </w:rPr>
        <w:t>万元，</w:t>
      </w:r>
      <w:r>
        <w:rPr>
          <w:rFonts w:ascii="仿宋" w:hAnsi="仿宋" w:eastAsia="仿宋" w:cs="仿宋"/>
          <w:sz w:val="32"/>
          <w:szCs w:val="32"/>
          <w:highlight w:val="none"/>
        </w:rPr>
        <w:t>下降45.21%</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少4.75</w:t>
      </w:r>
      <w:r>
        <w:rPr>
          <w:rFonts w:hint="eastAsia" w:ascii="仿宋" w:hAnsi="仿宋" w:eastAsia="仿宋" w:cs="仿宋"/>
          <w:sz w:val="32"/>
          <w:szCs w:val="32"/>
          <w:highlight w:val="none"/>
        </w:rPr>
        <w:t>万元，</w:t>
      </w:r>
      <w:r>
        <w:rPr>
          <w:rFonts w:ascii="仿宋" w:hAnsi="仿宋" w:eastAsia="仿宋" w:cs="仿宋"/>
          <w:sz w:val="32"/>
          <w:szCs w:val="32"/>
          <w:highlight w:val="none"/>
        </w:rPr>
        <w:t>下降</w:t>
      </w:r>
      <w:r>
        <w:rPr>
          <w:rFonts w:ascii="仿宋" w:hAnsi="仿宋" w:eastAsia="仿宋" w:cs="仿宋"/>
          <w:color w:val="auto"/>
          <w:sz w:val="32"/>
          <w:szCs w:val="32"/>
          <w:highlight w:val="none"/>
        </w:rPr>
        <w:t>42.15%</w:t>
      </w:r>
      <w:r>
        <w:rPr>
          <w:rFonts w:hint="eastAsia" w:ascii="仿宋" w:hAnsi="仿宋" w:eastAsia="仿宋" w:cs="仿宋"/>
          <w:color w:val="auto"/>
          <w:sz w:val="32"/>
          <w:szCs w:val="32"/>
          <w:highlight w:val="none"/>
        </w:rPr>
        <w:t>。原因是：①</w:t>
      </w:r>
      <w:r>
        <w:rPr>
          <w:rFonts w:hint="eastAsia" w:ascii="仿宋" w:hAnsi="仿宋" w:eastAsia="仿宋" w:cs="仿宋"/>
          <w:color w:val="auto"/>
          <w:sz w:val="32"/>
          <w:szCs w:val="32"/>
          <w:highlight w:val="none"/>
          <w:lang w:eastAsia="zh-CN"/>
        </w:rPr>
        <w:t>预决算数据统计口径不一致。决算数</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包含</w:t>
      </w:r>
      <w:r>
        <w:rPr>
          <w:rFonts w:hint="eastAsia" w:ascii="仿宋" w:hAnsi="仿宋" w:eastAsia="仿宋" w:cs="仿宋"/>
          <w:sz w:val="32"/>
          <w:szCs w:val="32"/>
          <w:highlight w:val="none"/>
          <w:lang w:val="en-US" w:eastAsia="zh-CN"/>
        </w:rPr>
        <w:t>办公费、水费、电费和工会经费等，预算数</w:t>
      </w:r>
      <w:r>
        <w:rPr>
          <w:rFonts w:hint="eastAsia" w:ascii="仿宋" w:hAnsi="仿宋" w:eastAsia="仿宋" w:cs="仿宋"/>
          <w:sz w:val="32"/>
          <w:szCs w:val="32"/>
          <w:highlight w:val="none"/>
          <w:lang w:eastAsia="zh-CN"/>
        </w:rPr>
        <w:t>包含工会经费、定额商品和服务支出（公用经费）、公务交通补贴和机关公务移动通信补贴。②</w:t>
      </w:r>
      <w:r>
        <w:rPr>
          <w:rFonts w:hint="eastAsia" w:ascii="仿宋" w:hAnsi="仿宋" w:eastAsia="仿宋" w:cs="仿宋"/>
          <w:sz w:val="32"/>
          <w:szCs w:val="32"/>
          <w:highlight w:val="none"/>
          <w:lang w:val="en-US" w:eastAsia="zh-CN"/>
        </w:rPr>
        <w:t>2022年</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少</w:t>
      </w:r>
      <w:r>
        <w:rPr>
          <w:rFonts w:ascii="仿宋" w:hAnsi="仿宋" w:eastAsia="仿宋" w:cs="仿宋"/>
          <w:color w:val="auto"/>
          <w:sz w:val="32"/>
          <w:szCs w:val="32"/>
          <w:highlight w:val="none"/>
        </w:rPr>
        <w:t>4.75</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主要原因是：</w:t>
      </w:r>
      <w:r>
        <w:rPr>
          <w:rFonts w:hint="eastAsia" w:ascii="仿宋" w:hAnsi="仿宋" w:eastAsia="仿宋" w:cs="仿宋"/>
          <w:color w:val="auto"/>
          <w:sz w:val="32"/>
          <w:szCs w:val="32"/>
          <w:highlight w:val="none"/>
          <w:lang w:val="en-US" w:eastAsia="zh-CN"/>
        </w:rPr>
        <w:t>差旅费减少3.96万元、</w:t>
      </w:r>
      <w:r>
        <w:rPr>
          <w:rFonts w:hint="eastAsia" w:ascii="仿宋" w:hAnsi="仿宋" w:eastAsia="仿宋" w:cs="仿宋"/>
          <w:color w:val="auto"/>
          <w:sz w:val="32"/>
          <w:szCs w:val="32"/>
          <w:highlight w:val="none"/>
          <w:lang w:eastAsia="zh-CN"/>
        </w:rPr>
        <w:t>办公费减少</w:t>
      </w:r>
      <w:r>
        <w:rPr>
          <w:rFonts w:hint="eastAsia" w:ascii="仿宋" w:hAnsi="仿宋" w:eastAsia="仿宋" w:cs="仿宋"/>
          <w:color w:val="auto"/>
          <w:sz w:val="32"/>
          <w:szCs w:val="32"/>
          <w:highlight w:val="none"/>
          <w:lang w:val="en-US" w:eastAsia="zh-CN"/>
        </w:rPr>
        <w:t>2.37万元</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维修（护）费减少</w:t>
      </w:r>
      <w:r>
        <w:rPr>
          <w:rFonts w:hint="eastAsia" w:ascii="仿宋" w:hAnsi="仿宋" w:eastAsia="仿宋" w:cs="仿宋"/>
          <w:color w:val="auto"/>
          <w:sz w:val="32"/>
          <w:szCs w:val="32"/>
          <w:highlight w:val="none"/>
          <w:lang w:val="en-US" w:eastAsia="zh-CN"/>
        </w:rPr>
        <w:t>1.55万元、工会经费增加2.74万元等。</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ascii="仿宋" w:hAnsi="仿宋" w:eastAsia="仿宋" w:cs="仿宋"/>
          <w:sz w:val="32"/>
          <w:szCs w:val="32"/>
          <w:highlight w:val="none"/>
        </w:rPr>
        <w:t>0.00</w:t>
      </w:r>
      <w:r>
        <w:rPr>
          <w:rFonts w:hint="eastAsia" w:ascii="仿宋" w:hAnsi="仿宋" w:eastAsia="仿宋" w:cs="仿宋"/>
          <w:sz w:val="32"/>
          <w:szCs w:val="32"/>
          <w:highlight w:val="none"/>
        </w:rPr>
        <w:t>万元，其中：政府采购货物支出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w:t>
      </w:r>
      <w:r>
        <w:rPr>
          <w:rFonts w:hint="eastAsia" w:ascii="仿宋" w:hAnsi="仿宋" w:eastAsia="仿宋" w:cs="仿宋"/>
          <w:color w:val="auto"/>
          <w:sz w:val="32"/>
          <w:szCs w:val="32"/>
        </w:rPr>
        <w:t>。其中，一</w:t>
      </w:r>
      <w:r>
        <w:rPr>
          <w:rFonts w:hint="eastAsia" w:ascii="仿宋" w:hAnsi="仿宋" w:eastAsia="仿宋" w:cs="仿宋"/>
          <w:color w:val="auto"/>
          <w:sz w:val="32"/>
          <w:szCs w:val="32"/>
          <w:lang w:val="en-US" w:eastAsia="zh-CN"/>
        </w:rPr>
        <w:t>等</w:t>
      </w:r>
      <w:r>
        <w:rPr>
          <w:rFonts w:hint="eastAsia" w:ascii="仿宋" w:hAnsi="仿宋" w:eastAsia="仿宋" w:cs="仿宋"/>
          <w:color w:val="auto"/>
          <w:sz w:val="32"/>
          <w:szCs w:val="32"/>
        </w:rPr>
        <w:t>项目</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个，二</w:t>
      </w:r>
      <w:r>
        <w:rPr>
          <w:rFonts w:hint="eastAsia" w:ascii="仿宋" w:hAnsi="仿宋" w:eastAsia="仿宋" w:cs="仿宋"/>
          <w:color w:val="auto"/>
          <w:sz w:val="32"/>
          <w:szCs w:val="32"/>
          <w:lang w:val="en-US" w:eastAsia="zh-CN"/>
        </w:rPr>
        <w:t>等</w:t>
      </w:r>
      <w:r>
        <w:rPr>
          <w:rFonts w:hint="eastAsia" w:ascii="仿宋" w:hAnsi="仿宋" w:eastAsia="仿宋" w:cs="仿宋"/>
          <w:color w:val="auto"/>
          <w:sz w:val="32"/>
          <w:szCs w:val="32"/>
        </w:rPr>
        <w:t>项目</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29.98</w:t>
      </w:r>
      <w:r>
        <w:rPr>
          <w:rFonts w:hint="eastAsia" w:ascii="仿宋" w:hAnsi="仿宋" w:eastAsia="仿宋" w:cs="仿宋"/>
          <w:color w:val="auto"/>
          <w:sz w:val="32"/>
          <w:szCs w:val="32"/>
        </w:rPr>
        <w:t>万元，占一般公共预算项目支出总额的</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auto"/>
          <w:sz w:val="32"/>
          <w:szCs w:val="32"/>
          <w:lang w:eastAsia="zh-CN"/>
        </w:rPr>
      </w:pPr>
      <w:r>
        <w:rPr>
          <w:rFonts w:hint="eastAsia" w:ascii="仿宋" w:hAnsi="仿宋" w:eastAsia="仿宋" w:cs="仿宋"/>
          <w:color w:val="000000" w:themeColor="text1"/>
          <w:sz w:val="32"/>
          <w:szCs w:val="32"/>
          <w14:textFill>
            <w14:solidFill>
              <w14:schemeClr w14:val="tx1"/>
            </w14:solidFill>
          </w14:textFill>
        </w:rPr>
        <w:t>组织对“党校常规管理业务经费”等</w:t>
      </w:r>
      <w:r>
        <w:rPr>
          <w:rFonts w:hint="eastAsia" w:ascii="仿宋" w:hAnsi="仿宋" w:eastAsia="仿宋" w:cs="仿宋"/>
          <w:color w:val="000000" w:themeColor="text1"/>
          <w:sz w:val="32"/>
          <w:szCs w:val="32"/>
          <w:lang w:val="en-US" w:eastAsia="zh-CN"/>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29.98</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color w:val="auto"/>
          <w:sz w:val="32"/>
          <w:szCs w:val="32"/>
          <w:lang w:val="en-US" w:eastAsia="zh-CN"/>
        </w:rPr>
        <w:t>6个项目指标均得90分，评</w:t>
      </w:r>
      <w:r>
        <w:rPr>
          <w:rFonts w:hint="eastAsia" w:ascii="仿宋_GB2312" w:hAnsi="仿宋_GB2312" w:eastAsia="仿宋_GB2312" w:cs="仿宋_GB2312"/>
          <w:color w:val="auto"/>
          <w:kern w:val="0"/>
          <w:sz w:val="32"/>
          <w:szCs w:val="32"/>
          <w:highlight w:val="none"/>
          <w:u w:val="none"/>
        </w:rPr>
        <w:t>价效果</w:t>
      </w:r>
      <w:r>
        <w:rPr>
          <w:rFonts w:hint="eastAsia" w:ascii="仿宋_GB2312" w:hAnsi="仿宋_GB2312" w:eastAsia="仿宋_GB2312" w:cs="仿宋_GB2312"/>
          <w:color w:val="auto"/>
          <w:kern w:val="0"/>
          <w:sz w:val="32"/>
          <w:szCs w:val="32"/>
          <w:highlight w:val="none"/>
          <w:u w:val="none"/>
          <w:lang w:eastAsia="zh-CN"/>
        </w:rPr>
        <w:t>良好</w:t>
      </w:r>
      <w:r>
        <w:rPr>
          <w:rFonts w:hint="eastAsia" w:ascii="仿宋_GB2312" w:hAnsi="仿宋_GB2312" w:eastAsia="仿宋_GB2312" w:cs="仿宋_GB2312"/>
          <w:color w:val="auto"/>
          <w:kern w:val="0"/>
          <w:sz w:val="32"/>
          <w:szCs w:val="32"/>
          <w:highlight w:val="none"/>
          <w:u w:val="none"/>
        </w:rPr>
        <w:t>，达到了预期</w:t>
      </w:r>
      <w:r>
        <w:rPr>
          <w:rFonts w:hint="eastAsia" w:ascii="仿宋_GB2312" w:hAnsi="仿宋_GB2312" w:eastAsia="仿宋_GB2312" w:cs="仿宋_GB2312"/>
          <w:color w:val="auto"/>
          <w:sz w:val="32"/>
          <w:szCs w:val="32"/>
          <w:highlight w:val="none"/>
          <w:u w:val="none"/>
        </w:rPr>
        <w:t>目标</w:t>
      </w:r>
      <w:r>
        <w:rPr>
          <w:rFonts w:hint="eastAsia" w:ascii="仿宋_GB2312" w:hAnsi="仿宋_GB2312" w:eastAsia="仿宋_GB2312" w:cs="仿宋_GB2312"/>
          <w:color w:val="auto"/>
          <w:sz w:val="32"/>
          <w:szCs w:val="32"/>
          <w:highlight w:val="none"/>
          <w:u w:val="none"/>
          <w:lang w:eastAsia="zh-CN"/>
        </w:rPr>
        <w:t>。</w:t>
      </w:r>
      <w:r>
        <w:rPr>
          <w:rFonts w:hint="eastAsia" w:ascii="仿宋" w:hAnsi="仿宋" w:eastAsia="仿宋" w:cs="仿宋"/>
          <w:color w:val="auto"/>
          <w:sz w:val="32"/>
          <w:szCs w:val="32"/>
        </w:rPr>
        <w:t>校园基础设施、教学及办公设备、管理制度、安全卫生等方面存在的短板进</w:t>
      </w:r>
      <w:r>
        <w:rPr>
          <w:rFonts w:hint="eastAsia" w:ascii="仿宋" w:hAnsi="仿宋" w:eastAsia="仿宋" w:cs="仿宋"/>
          <w:color w:val="auto"/>
          <w:sz w:val="32"/>
          <w:szCs w:val="32"/>
          <w:lang w:eastAsia="zh-CN"/>
        </w:rPr>
        <w:t>得到</w:t>
      </w:r>
      <w:r>
        <w:rPr>
          <w:rFonts w:hint="eastAsia" w:ascii="仿宋" w:hAnsi="仿宋" w:eastAsia="仿宋" w:cs="仿宋"/>
          <w:color w:val="auto"/>
          <w:sz w:val="32"/>
          <w:szCs w:val="32"/>
        </w:rPr>
        <w:t>完善和建设</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师资培训、科学研究、教学业务、教师进修调研、开展扶贫工作等业务顺利开展</w:t>
      </w:r>
      <w:r>
        <w:rPr>
          <w:rFonts w:hint="eastAsia" w:ascii="仿宋" w:hAnsi="仿宋" w:eastAsia="仿宋" w:cs="仿宋"/>
          <w:color w:val="auto"/>
          <w:sz w:val="32"/>
          <w:szCs w:val="32"/>
        </w:rPr>
        <w:t>。</w:t>
      </w:r>
    </w:p>
    <w:p>
      <w:pPr>
        <w:ind w:firstLine="640" w:firstLineChars="200"/>
        <w:jc w:val="left"/>
        <w:rPr>
          <w:rFonts w:hint="eastAsia" w:ascii="仿宋_GB2312" w:hAnsi="仿宋_GB2312" w:eastAsia="仿宋_GB2312" w:cs="仿宋_GB2312"/>
          <w:color w:val="000000"/>
          <w:sz w:val="32"/>
          <w:szCs w:val="32"/>
          <w:highlight w:val="none"/>
          <w:u w:val="none"/>
          <w:lang w:eastAsia="zh-CN"/>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个部门（单位）开展整体支出绩效评价试点，涉及一般公共预算支出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242.95</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_GB2312" w:hAnsi="仿宋_GB2312" w:eastAsia="仿宋_GB2312" w:cs="仿宋_GB2312"/>
          <w:color w:val="000000"/>
          <w:sz w:val="32"/>
          <w:szCs w:val="32"/>
          <w:highlight w:val="none"/>
          <w:u w:val="none"/>
        </w:rPr>
        <w:t>本部门各单位能认真履行职责，做好统筹协调、各类重要工作文稿起草、重要会议服务、督查、机要、保密、信息、后勤服务、幼儿保育教育、自治区党委及各厅局领导机关文件资料的印刷等工作；工作经费及时落实到位，保证了各项工作的按时、有序开展；业务管理和财务管理制度比较健全，并能得到贯彻执行，</w:t>
      </w:r>
      <w:r>
        <w:rPr>
          <w:rFonts w:hint="eastAsia" w:ascii="仿宋_GB2312" w:hAnsi="仿宋_GB2312" w:eastAsia="仿宋_GB2312" w:cs="仿宋_GB2312"/>
          <w:color w:val="000000"/>
          <w:kern w:val="0"/>
          <w:sz w:val="32"/>
          <w:szCs w:val="32"/>
          <w:highlight w:val="none"/>
          <w:u w:val="none"/>
        </w:rPr>
        <w:t>整体支出绩效评价效果较好，达到了预期</w:t>
      </w:r>
      <w:r>
        <w:rPr>
          <w:rFonts w:hint="eastAsia" w:ascii="仿宋_GB2312" w:hAnsi="仿宋_GB2312" w:eastAsia="仿宋_GB2312" w:cs="仿宋_GB2312"/>
          <w:color w:val="000000"/>
          <w:sz w:val="32"/>
          <w:szCs w:val="32"/>
          <w:highlight w:val="none"/>
          <w:u w:val="none"/>
        </w:rPr>
        <w:t>目标</w:t>
      </w:r>
      <w:r>
        <w:rPr>
          <w:rFonts w:hint="eastAsia" w:ascii="仿宋_GB2312" w:hAnsi="仿宋_GB2312" w:eastAsia="仿宋_GB2312" w:cs="仿宋_GB2312"/>
          <w:color w:val="000000"/>
          <w:sz w:val="32"/>
          <w:szCs w:val="32"/>
          <w:highlight w:val="none"/>
          <w:u w:val="none"/>
          <w:lang w:eastAsia="zh-CN"/>
        </w:rPr>
        <w:t>。</w:t>
      </w:r>
    </w:p>
    <w:p>
      <w:pPr>
        <w:ind w:firstLine="640" w:firstLineChars="200"/>
        <w:jc w:val="left"/>
        <w:rPr>
          <w:rFonts w:hint="eastAsia" w:ascii="仿宋" w:hAnsi="仿宋" w:eastAsia="仿宋" w:cs="仿宋"/>
          <w:color w:val="FF0000"/>
          <w:sz w:val="32"/>
          <w:szCs w:val="32"/>
          <w:lang w:eastAsia="zh-CN"/>
        </w:rPr>
      </w:pPr>
      <w:r>
        <w:rPr>
          <w:rFonts w:hint="eastAsia" w:ascii="仿宋" w:hAnsi="仿宋" w:eastAsia="仿宋" w:cs="仿宋"/>
          <w:color w:val="000000" w:themeColor="text1"/>
          <w:sz w:val="32"/>
          <w:szCs w:val="32"/>
          <w14:textFill>
            <w14:solidFill>
              <w14:schemeClr w14:val="tx1"/>
            </w14:solidFill>
          </w14:textFill>
        </w:rPr>
        <w:t>2.部门决算中项目绩效自评结果</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我部门根据年初设定的绩效目标，①干部培训水电费项目自评得分为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90</w:t>
      </w:r>
      <w:r>
        <w:rPr>
          <w:rFonts w:hint="eastAsia" w:ascii="仿宋" w:hAnsi="仿宋" w:eastAsia="仿宋" w:cs="仿宋"/>
          <w:color w:val="000000" w:themeColor="text1"/>
          <w:sz w:val="32"/>
          <w:szCs w:val="32"/>
          <w14:textFill>
            <w14:solidFill>
              <w14:schemeClr w14:val="tx1"/>
            </w14:solidFill>
          </w14:textFill>
        </w:rPr>
        <w:t>分。发现的主要问题及原因：干部培训水电费</w:t>
      </w:r>
      <w:r>
        <w:rPr>
          <w:rFonts w:hint="eastAsia" w:ascii="仿宋" w:hAnsi="仿宋" w:eastAsia="仿宋" w:cs="仿宋"/>
          <w:color w:val="000000" w:themeColor="text1"/>
          <w:sz w:val="32"/>
          <w:szCs w:val="32"/>
          <w:lang w:eastAsia="zh-CN"/>
          <w14:textFill>
            <w14:solidFill>
              <w14:schemeClr w14:val="tx1"/>
            </w14:solidFill>
          </w14:textFill>
        </w:rPr>
        <w:t>项目预算金额与实际水电费发生支出金额不相符，</w:t>
      </w:r>
      <w:r>
        <w:rPr>
          <w:rFonts w:hint="eastAsia" w:ascii="仿宋" w:hAnsi="仿宋" w:eastAsia="仿宋" w:cs="仿宋"/>
          <w:color w:val="000000" w:themeColor="text1"/>
          <w:sz w:val="32"/>
          <w:szCs w:val="32"/>
          <w14:textFill>
            <w14:solidFill>
              <w14:schemeClr w14:val="tx1"/>
            </w14:solidFill>
          </w14:textFill>
        </w:rPr>
        <w:t>干部培训水电费</w:t>
      </w:r>
      <w:r>
        <w:rPr>
          <w:rFonts w:hint="eastAsia" w:ascii="仿宋" w:hAnsi="仿宋" w:eastAsia="仿宋" w:cs="仿宋"/>
          <w:color w:val="000000" w:themeColor="text1"/>
          <w:sz w:val="32"/>
          <w:szCs w:val="32"/>
          <w:lang w:eastAsia="zh-CN"/>
          <w14:textFill>
            <w14:solidFill>
              <w14:schemeClr w14:val="tx1"/>
            </w14:solidFill>
          </w14:textFill>
        </w:rPr>
        <w:t>项目年初预算数制定不合理。</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注重项目的科学合理安排，严格预算编制，提高资金使用效率。②党校常规管理业务经费项目自评得分为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90</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。③党员组织经费项目自评得分为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90</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。④奖励性补贴项目自评得分为</w:t>
      </w:r>
      <w:r>
        <w:rPr>
          <w:rFonts w:hint="eastAsia" w:ascii="仿宋" w:hAnsi="仿宋" w:eastAsia="仿宋" w:cs="仿宋"/>
          <w:color w:val="000000" w:themeColor="text1"/>
          <w:sz w:val="32"/>
          <w:szCs w:val="32"/>
          <w:lang w:val="en-US" w:eastAsia="zh-CN"/>
          <w14:textFill>
            <w14:solidFill>
              <w14:schemeClr w14:val="tx1"/>
            </w14:solidFill>
          </w14:textFill>
        </w:rPr>
        <w:t>90</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。⑤党校追加业务经费项目自评得分为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90</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。⑥环江县委党校评估验收建设项目经费目自评得分为</w:t>
      </w:r>
      <w:r>
        <w:rPr>
          <w:rFonts w:hint="eastAsia" w:ascii="仿宋" w:hAnsi="仿宋" w:eastAsia="仿宋" w:cs="仿宋"/>
          <w:color w:val="000000" w:themeColor="text1"/>
          <w:sz w:val="32"/>
          <w:szCs w:val="32"/>
          <w:lang w:val="en-US" w:eastAsia="zh-CN"/>
          <w14:textFill>
            <w14:solidFill>
              <w14:schemeClr w14:val="tx1"/>
            </w14:solidFill>
          </w14:textFill>
        </w:rPr>
        <w:t>90</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w:t>
      </w:r>
    </w:p>
    <w:p>
      <w:pPr>
        <w:jc w:val="both"/>
        <w:rPr>
          <w:rFonts w:hint="eastAsia" w:ascii="黑体" w:hAnsi="黑体" w:eastAsia="黑体" w:cs="黑体"/>
          <w:sz w:val="32"/>
          <w:szCs w:val="32"/>
          <w:highlight w:val="none"/>
        </w:rPr>
      </w:pPr>
      <w:bookmarkStart w:id="6" w:name="_GoBack"/>
      <w:bookmarkEnd w:id="6"/>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Fonts w:hint="eastAsia" w:ascii="仿宋" w:hAnsi="仿宋" w:eastAsia="仿宋" w:cs="仿宋"/>
          <w:sz w:val="32"/>
          <w:szCs w:val="32"/>
          <w:highlight w:val="none"/>
        </w:rPr>
      </w:pP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iOTZkYjkwN2Q1MTBhY2U1NDI3ZmEwNzcyMDM4OGMifQ=="/>
  </w:docVars>
  <w:rsids>
    <w:rsidRoot w:val="637D7558"/>
    <w:rsid w:val="00002C84"/>
    <w:rsid w:val="00022149"/>
    <w:rsid w:val="00047F6C"/>
    <w:rsid w:val="00093C26"/>
    <w:rsid w:val="00094B91"/>
    <w:rsid w:val="00097A1D"/>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0D5FC6"/>
    <w:rsid w:val="01234E98"/>
    <w:rsid w:val="015F1951"/>
    <w:rsid w:val="01C43576"/>
    <w:rsid w:val="01F11ABC"/>
    <w:rsid w:val="020C171D"/>
    <w:rsid w:val="0216715F"/>
    <w:rsid w:val="02E0291A"/>
    <w:rsid w:val="02E226C9"/>
    <w:rsid w:val="036F7D2F"/>
    <w:rsid w:val="042D4C6A"/>
    <w:rsid w:val="045F50B9"/>
    <w:rsid w:val="04B019C0"/>
    <w:rsid w:val="04E54546"/>
    <w:rsid w:val="05992762"/>
    <w:rsid w:val="05E73C3B"/>
    <w:rsid w:val="06CC51B2"/>
    <w:rsid w:val="07067916"/>
    <w:rsid w:val="07534192"/>
    <w:rsid w:val="07B0770E"/>
    <w:rsid w:val="07FC3326"/>
    <w:rsid w:val="08182C56"/>
    <w:rsid w:val="092D4D1C"/>
    <w:rsid w:val="0942143F"/>
    <w:rsid w:val="09EE1557"/>
    <w:rsid w:val="0A611896"/>
    <w:rsid w:val="0AC15133"/>
    <w:rsid w:val="0B1B4548"/>
    <w:rsid w:val="0B2C27CD"/>
    <w:rsid w:val="0B8E5780"/>
    <w:rsid w:val="0C331791"/>
    <w:rsid w:val="0D100297"/>
    <w:rsid w:val="0D202B45"/>
    <w:rsid w:val="0E160A2D"/>
    <w:rsid w:val="0E7A2CD0"/>
    <w:rsid w:val="0F14764B"/>
    <w:rsid w:val="0F8D4C87"/>
    <w:rsid w:val="10505FAA"/>
    <w:rsid w:val="105F7E7E"/>
    <w:rsid w:val="11E56B5B"/>
    <w:rsid w:val="125C77AB"/>
    <w:rsid w:val="130C6ECC"/>
    <w:rsid w:val="135B5D51"/>
    <w:rsid w:val="14CB726E"/>
    <w:rsid w:val="151B24AF"/>
    <w:rsid w:val="1549557C"/>
    <w:rsid w:val="15C00A3E"/>
    <w:rsid w:val="1606592F"/>
    <w:rsid w:val="166978E3"/>
    <w:rsid w:val="16A61C36"/>
    <w:rsid w:val="17DA0D2E"/>
    <w:rsid w:val="17E92249"/>
    <w:rsid w:val="186C3B20"/>
    <w:rsid w:val="18D304F1"/>
    <w:rsid w:val="19181A3A"/>
    <w:rsid w:val="19F32577"/>
    <w:rsid w:val="19F45B80"/>
    <w:rsid w:val="1A1D50D7"/>
    <w:rsid w:val="1B0C078D"/>
    <w:rsid w:val="1B2B31E2"/>
    <w:rsid w:val="1B4C295A"/>
    <w:rsid w:val="1B973C63"/>
    <w:rsid w:val="1BA1001E"/>
    <w:rsid w:val="1BE10BC8"/>
    <w:rsid w:val="1C07688A"/>
    <w:rsid w:val="1C4A27F6"/>
    <w:rsid w:val="1C4F6C7E"/>
    <w:rsid w:val="1C702A36"/>
    <w:rsid w:val="1C723D3B"/>
    <w:rsid w:val="1C89778E"/>
    <w:rsid w:val="1C931CF1"/>
    <w:rsid w:val="1CEE3304"/>
    <w:rsid w:val="1D317259"/>
    <w:rsid w:val="1DDC550B"/>
    <w:rsid w:val="1E512F4B"/>
    <w:rsid w:val="1E664F5B"/>
    <w:rsid w:val="1E744A11"/>
    <w:rsid w:val="1EB34BE1"/>
    <w:rsid w:val="1EB64E6E"/>
    <w:rsid w:val="1F0A017C"/>
    <w:rsid w:val="1FF00B97"/>
    <w:rsid w:val="205A0DA2"/>
    <w:rsid w:val="205F6F32"/>
    <w:rsid w:val="215E639F"/>
    <w:rsid w:val="21EC3183"/>
    <w:rsid w:val="22214E8B"/>
    <w:rsid w:val="225E72CD"/>
    <w:rsid w:val="24032E22"/>
    <w:rsid w:val="2466767A"/>
    <w:rsid w:val="246E2F77"/>
    <w:rsid w:val="254B4E2B"/>
    <w:rsid w:val="25B33FF6"/>
    <w:rsid w:val="275F60A7"/>
    <w:rsid w:val="276A4438"/>
    <w:rsid w:val="279D1605"/>
    <w:rsid w:val="280F0449"/>
    <w:rsid w:val="283D7C94"/>
    <w:rsid w:val="29480E03"/>
    <w:rsid w:val="2983634D"/>
    <w:rsid w:val="29CD16A4"/>
    <w:rsid w:val="2A3E73D9"/>
    <w:rsid w:val="2A9113E2"/>
    <w:rsid w:val="2AA50082"/>
    <w:rsid w:val="2AED757D"/>
    <w:rsid w:val="2B863EAA"/>
    <w:rsid w:val="2BB02055"/>
    <w:rsid w:val="2BC32A58"/>
    <w:rsid w:val="2BE30D8F"/>
    <w:rsid w:val="2C2220D9"/>
    <w:rsid w:val="2C252AFD"/>
    <w:rsid w:val="2C575A56"/>
    <w:rsid w:val="2D914B0D"/>
    <w:rsid w:val="2E3F536B"/>
    <w:rsid w:val="2EED7A8D"/>
    <w:rsid w:val="2EF31996"/>
    <w:rsid w:val="2F257714"/>
    <w:rsid w:val="2F3275E5"/>
    <w:rsid w:val="2FAF42C8"/>
    <w:rsid w:val="2FC20D6A"/>
    <w:rsid w:val="3012656A"/>
    <w:rsid w:val="305E0BE8"/>
    <w:rsid w:val="306B247C"/>
    <w:rsid w:val="30AA08EF"/>
    <w:rsid w:val="30D23D1C"/>
    <w:rsid w:val="31221CF5"/>
    <w:rsid w:val="31400178"/>
    <w:rsid w:val="31A237FE"/>
    <w:rsid w:val="31CD6840"/>
    <w:rsid w:val="321E3342"/>
    <w:rsid w:val="325A7729"/>
    <w:rsid w:val="327759C8"/>
    <w:rsid w:val="32A77828"/>
    <w:rsid w:val="32D1646E"/>
    <w:rsid w:val="32FB14B1"/>
    <w:rsid w:val="33185FE3"/>
    <w:rsid w:val="34792FA7"/>
    <w:rsid w:val="34CA1AAC"/>
    <w:rsid w:val="34EE2E36"/>
    <w:rsid w:val="360062A6"/>
    <w:rsid w:val="36777241"/>
    <w:rsid w:val="36F75539"/>
    <w:rsid w:val="371E78D5"/>
    <w:rsid w:val="38774730"/>
    <w:rsid w:val="38A951DB"/>
    <w:rsid w:val="38B31605"/>
    <w:rsid w:val="38F1355F"/>
    <w:rsid w:val="39003F4F"/>
    <w:rsid w:val="390B4FA4"/>
    <w:rsid w:val="39F32D23"/>
    <w:rsid w:val="3A1C60E6"/>
    <w:rsid w:val="3A6D4BEB"/>
    <w:rsid w:val="3B1C5C89"/>
    <w:rsid w:val="3BB37481"/>
    <w:rsid w:val="3BFB30F8"/>
    <w:rsid w:val="3C07002B"/>
    <w:rsid w:val="3C204232"/>
    <w:rsid w:val="3CBF08B8"/>
    <w:rsid w:val="3D0D152A"/>
    <w:rsid w:val="3D880301"/>
    <w:rsid w:val="3DD2747B"/>
    <w:rsid w:val="3DF62756"/>
    <w:rsid w:val="3E9F334C"/>
    <w:rsid w:val="3F1B7587"/>
    <w:rsid w:val="3F8A45CE"/>
    <w:rsid w:val="412368EE"/>
    <w:rsid w:val="41D50910"/>
    <w:rsid w:val="41E57B4F"/>
    <w:rsid w:val="432F26F6"/>
    <w:rsid w:val="433517D1"/>
    <w:rsid w:val="43592C8A"/>
    <w:rsid w:val="43880F63"/>
    <w:rsid w:val="441C5A6F"/>
    <w:rsid w:val="44241459"/>
    <w:rsid w:val="44516AA5"/>
    <w:rsid w:val="449E3321"/>
    <w:rsid w:val="44C44FCC"/>
    <w:rsid w:val="44CC7369"/>
    <w:rsid w:val="44D82202"/>
    <w:rsid w:val="457F5108"/>
    <w:rsid w:val="45FE41E2"/>
    <w:rsid w:val="46947F59"/>
    <w:rsid w:val="46951B6B"/>
    <w:rsid w:val="46C07B24"/>
    <w:rsid w:val="472055BF"/>
    <w:rsid w:val="47342061"/>
    <w:rsid w:val="474422FB"/>
    <w:rsid w:val="47B303B1"/>
    <w:rsid w:val="48154BD2"/>
    <w:rsid w:val="48C536F1"/>
    <w:rsid w:val="49A068D7"/>
    <w:rsid w:val="49A34401"/>
    <w:rsid w:val="49AE366E"/>
    <w:rsid w:val="4A144698"/>
    <w:rsid w:val="4A3E30AB"/>
    <w:rsid w:val="4A562B83"/>
    <w:rsid w:val="4AC14DAC"/>
    <w:rsid w:val="4BAD3134"/>
    <w:rsid w:val="4BF957B2"/>
    <w:rsid w:val="4C2B7286"/>
    <w:rsid w:val="4C4039A8"/>
    <w:rsid w:val="4C5216C4"/>
    <w:rsid w:val="4D154C85"/>
    <w:rsid w:val="4E79234E"/>
    <w:rsid w:val="4E8B5AEB"/>
    <w:rsid w:val="4EB35ECE"/>
    <w:rsid w:val="500F7E65"/>
    <w:rsid w:val="50280D8F"/>
    <w:rsid w:val="505450D7"/>
    <w:rsid w:val="508F4E24"/>
    <w:rsid w:val="50D90BB3"/>
    <w:rsid w:val="51461E90"/>
    <w:rsid w:val="51463753"/>
    <w:rsid w:val="52553A93"/>
    <w:rsid w:val="525C0D2F"/>
    <w:rsid w:val="52925986"/>
    <w:rsid w:val="53521F8B"/>
    <w:rsid w:val="53E22F47"/>
    <w:rsid w:val="54040192"/>
    <w:rsid w:val="54522FF8"/>
    <w:rsid w:val="545455E7"/>
    <w:rsid w:val="549902D9"/>
    <w:rsid w:val="54FF3501"/>
    <w:rsid w:val="55450629"/>
    <w:rsid w:val="559B1181"/>
    <w:rsid w:val="559C6C03"/>
    <w:rsid w:val="563325F9"/>
    <w:rsid w:val="56692963"/>
    <w:rsid w:val="568B0F48"/>
    <w:rsid w:val="56B20949"/>
    <w:rsid w:val="56C675EA"/>
    <w:rsid w:val="5750174C"/>
    <w:rsid w:val="5786217B"/>
    <w:rsid w:val="578B3EAF"/>
    <w:rsid w:val="57923D07"/>
    <w:rsid w:val="57AA6963"/>
    <w:rsid w:val="59337A15"/>
    <w:rsid w:val="59810274"/>
    <w:rsid w:val="5A20736C"/>
    <w:rsid w:val="5A4B01B0"/>
    <w:rsid w:val="5B705D94"/>
    <w:rsid w:val="5B7D1826"/>
    <w:rsid w:val="5BB2427F"/>
    <w:rsid w:val="5C4B3179"/>
    <w:rsid w:val="5CA96A00"/>
    <w:rsid w:val="5CB06720"/>
    <w:rsid w:val="5CF730BC"/>
    <w:rsid w:val="5E1D3074"/>
    <w:rsid w:val="5E5F0DCE"/>
    <w:rsid w:val="5E9268B6"/>
    <w:rsid w:val="5FA40A7B"/>
    <w:rsid w:val="5FA91901"/>
    <w:rsid w:val="5FD56D29"/>
    <w:rsid w:val="5FEC7F3F"/>
    <w:rsid w:val="6013352F"/>
    <w:rsid w:val="60F74BC3"/>
    <w:rsid w:val="616F7F68"/>
    <w:rsid w:val="61724770"/>
    <w:rsid w:val="617D3BF8"/>
    <w:rsid w:val="61841F6A"/>
    <w:rsid w:val="623007A9"/>
    <w:rsid w:val="62470050"/>
    <w:rsid w:val="62C04412"/>
    <w:rsid w:val="62DD39C2"/>
    <w:rsid w:val="637D7558"/>
    <w:rsid w:val="643F18F7"/>
    <w:rsid w:val="644F19AC"/>
    <w:rsid w:val="65AA4920"/>
    <w:rsid w:val="65E31D0B"/>
    <w:rsid w:val="65F8295A"/>
    <w:rsid w:val="65FC5ADD"/>
    <w:rsid w:val="663C4348"/>
    <w:rsid w:val="67694F1E"/>
    <w:rsid w:val="676C5123"/>
    <w:rsid w:val="67AD54A4"/>
    <w:rsid w:val="680B10C1"/>
    <w:rsid w:val="68407AB5"/>
    <w:rsid w:val="69475245"/>
    <w:rsid w:val="69597934"/>
    <w:rsid w:val="6B433D86"/>
    <w:rsid w:val="6B437609"/>
    <w:rsid w:val="6B964DDC"/>
    <w:rsid w:val="6BFB265E"/>
    <w:rsid w:val="6C0B5D4D"/>
    <w:rsid w:val="6C783074"/>
    <w:rsid w:val="6D9E65C6"/>
    <w:rsid w:val="6DA81947"/>
    <w:rsid w:val="6E596897"/>
    <w:rsid w:val="6E690201"/>
    <w:rsid w:val="6E827A5B"/>
    <w:rsid w:val="6EB66DE2"/>
    <w:rsid w:val="6ED3075F"/>
    <w:rsid w:val="6F0F0944"/>
    <w:rsid w:val="6F2A2D4B"/>
    <w:rsid w:val="6F33787F"/>
    <w:rsid w:val="6F8A0C1E"/>
    <w:rsid w:val="6FA220B1"/>
    <w:rsid w:val="6FF7503E"/>
    <w:rsid w:val="703F45D4"/>
    <w:rsid w:val="71236D2A"/>
    <w:rsid w:val="715D6546"/>
    <w:rsid w:val="717C2C3C"/>
    <w:rsid w:val="71BE069E"/>
    <w:rsid w:val="71E103E2"/>
    <w:rsid w:val="722F5F63"/>
    <w:rsid w:val="72587127"/>
    <w:rsid w:val="72C20D55"/>
    <w:rsid w:val="733A771A"/>
    <w:rsid w:val="73953409"/>
    <w:rsid w:val="73E069A3"/>
    <w:rsid w:val="74CB0B2C"/>
    <w:rsid w:val="750E2B18"/>
    <w:rsid w:val="758A32AE"/>
    <w:rsid w:val="767C6572"/>
    <w:rsid w:val="76FB0145"/>
    <w:rsid w:val="77086156"/>
    <w:rsid w:val="771741F2"/>
    <w:rsid w:val="77910638"/>
    <w:rsid w:val="77B030EB"/>
    <w:rsid w:val="77D323A7"/>
    <w:rsid w:val="78104AA8"/>
    <w:rsid w:val="78E257C5"/>
    <w:rsid w:val="791B013F"/>
    <w:rsid w:val="794B35BE"/>
    <w:rsid w:val="797D4961"/>
    <w:rsid w:val="7A9863B2"/>
    <w:rsid w:val="7B0A3A31"/>
    <w:rsid w:val="7B3360ED"/>
    <w:rsid w:val="7BDF037E"/>
    <w:rsid w:val="7BE414E6"/>
    <w:rsid w:val="7BF50948"/>
    <w:rsid w:val="7CE66A78"/>
    <w:rsid w:val="7D23564C"/>
    <w:rsid w:val="7D5E062D"/>
    <w:rsid w:val="7DF612B7"/>
    <w:rsid w:val="7DF76CD8"/>
    <w:rsid w:val="7E9868C2"/>
    <w:rsid w:val="7F695C26"/>
    <w:rsid w:val="7FCF62D3"/>
    <w:rsid w:val="7FE14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242.95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Sheet1!$A$2:$A$13</c:f>
              <c:strCach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strCache>
            </c:strRef>
          </c:cat>
          <c:val>
            <c:numRef>
              <c:f>Sheet1!$B$2:$B$13</c:f>
              <c:numCache>
                <c:formatCode>General</c:formatCode>
                <c:ptCount val="12"/>
                <c:pt idx="0">
                  <c:v>0</c:v>
                </c:pt>
                <c:pt idx="1">
                  <c:v>0</c:v>
                </c:pt>
                <c:pt idx="2">
                  <c:v>0</c:v>
                </c:pt>
                <c:pt idx="3">
                  <c:v>0</c:v>
                </c:pt>
                <c:pt idx="4">
                  <c:v>2.21</c:v>
                </c:pt>
                <c:pt idx="5">
                  <c:v>0</c:v>
                </c:pt>
                <c:pt idx="6">
                  <c:v>0</c:v>
                </c:pt>
                <c:pt idx="7">
                  <c:v>0</c:v>
                </c:pt>
                <c:pt idx="8">
                  <c:v>0.01</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Sheet1!$B$2:$B$6</c:f>
              <c:numCache>
                <c:formatCode>General</c:formatCode>
                <c:ptCount val="5"/>
                <c:pt idx="0">
                  <c:v>0</c:v>
                </c:pt>
                <c:pt idx="1">
                  <c:v>144.42</c:v>
                </c:pt>
                <c:pt idx="2">
                  <c:v>18.71</c:v>
                </c:pt>
                <c:pt idx="3">
                  <c:v>14.03</c:v>
                </c:pt>
                <c:pt idx="4">
                  <c:v>37.48</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Sheet1!$C$2:$C$6</c:f>
              <c:numCache>
                <c:formatCode>General</c:formatCode>
                <c:ptCount val="5"/>
                <c:pt idx="0">
                  <c:v>2.74</c:v>
                </c:pt>
                <c:pt idx="1">
                  <c:v>169.07</c:v>
                </c:pt>
                <c:pt idx="2">
                  <c:v>21.42</c:v>
                </c:pt>
                <c:pt idx="3">
                  <c:v>16.06</c:v>
                </c:pt>
                <c:pt idx="4">
                  <c:v>33.66</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2.74</c:v>
                </c:pt>
                <c:pt idx="1">
                  <c:v>2.74</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教育支出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2050802</c:v>
                </c:pt>
                <c:pt idx="1">
                  <c:v>205x</c:v>
                </c:pt>
              </c:strCache>
            </c:strRef>
          </c:cat>
          <c:val>
            <c:numRef>
              <c:f>Sheet1!$B$2:$B$3</c:f>
              <c:numCache>
                <c:formatCode>General</c:formatCode>
                <c:ptCount val="2"/>
                <c:pt idx="0">
                  <c:v>169.07</c:v>
                </c:pt>
                <c:pt idx="1">
                  <c:v>169.07</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21.42</c:v>
                </c:pt>
                <c:pt idx="1">
                  <c:v>21.42</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16.06</c:v>
                </c:pt>
                <c:pt idx="1">
                  <c:v>16.06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33.66</c:v>
                </c:pt>
                <c:pt idx="1">
                  <c:v>33.66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Sheet1!$A$2:$A$14</c:f>
              <c:strCach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strCache>
            </c:strRef>
          </c:cat>
          <c:val>
            <c:numRef>
              <c:f>Sheet1!$B$2:$B$14</c:f>
              <c:numCache>
                <c:formatCode>General</c:formatCode>
                <c:ptCount val="13"/>
                <c:pt idx="0">
                  <c:v>67.29</c:v>
                </c:pt>
                <c:pt idx="1">
                  <c:v>29.64</c:v>
                </c:pt>
                <c:pt idx="2">
                  <c:v>46.56</c:v>
                </c:pt>
                <c:pt idx="3">
                  <c:v>2.37</c:v>
                </c:pt>
                <c:pt idx="4">
                  <c:v>14.73</c:v>
                </c:pt>
                <c:pt idx="5">
                  <c:v>21.42</c:v>
                </c:pt>
                <c:pt idx="6">
                  <c:v>0</c:v>
                </c:pt>
                <c:pt idx="7">
                  <c:v>8.8</c:v>
                </c:pt>
                <c:pt idx="8">
                  <c:v>0</c:v>
                </c:pt>
                <c:pt idx="9">
                  <c:v>0.63</c:v>
                </c:pt>
                <c:pt idx="10">
                  <c:v>16.06</c:v>
                </c:pt>
                <c:pt idx="11">
                  <c:v>0</c:v>
                </c:pt>
                <c:pt idx="12">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Sheet1!$A$2:$A$28</c:f>
              <c:strCach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strCache>
            </c:strRef>
          </c:cat>
          <c:val>
            <c:numRef>
              <c:f>Sheet1!$B$2:$B$28</c:f>
              <c:numCache>
                <c:formatCode>General</c:formatCode>
                <c:ptCount val="27"/>
                <c:pt idx="0">
                  <c:v>1.19</c:v>
                </c:pt>
                <c:pt idx="1">
                  <c:v>0</c:v>
                </c:pt>
                <c:pt idx="2">
                  <c:v>0</c:v>
                </c:pt>
                <c:pt idx="3">
                  <c:v>0</c:v>
                </c:pt>
                <c:pt idx="4">
                  <c:v>0.52</c:v>
                </c:pt>
                <c:pt idx="5">
                  <c:v>0.04</c:v>
                </c:pt>
                <c:pt idx="6">
                  <c:v>1.13</c:v>
                </c:pt>
                <c:pt idx="7">
                  <c:v>0</c:v>
                </c:pt>
                <c:pt idx="8">
                  <c:v>0</c:v>
                </c:pt>
                <c:pt idx="9">
                  <c:v>0</c:v>
                </c:pt>
                <c:pt idx="10">
                  <c:v>0</c:v>
                </c:pt>
                <c:pt idx="11">
                  <c:v>0.22</c:v>
                </c:pt>
                <c:pt idx="12">
                  <c:v>0.09</c:v>
                </c:pt>
                <c:pt idx="13">
                  <c:v>0</c:v>
                </c:pt>
                <c:pt idx="14">
                  <c:v>0</c:v>
                </c:pt>
                <c:pt idx="15">
                  <c:v>0</c:v>
                </c:pt>
                <c:pt idx="16">
                  <c:v>0</c:v>
                </c:pt>
                <c:pt idx="17">
                  <c:v>0</c:v>
                </c:pt>
                <c:pt idx="18">
                  <c:v>0</c:v>
                </c:pt>
                <c:pt idx="19">
                  <c:v>0</c:v>
                </c:pt>
                <c:pt idx="20">
                  <c:v>0</c:v>
                </c:pt>
                <c:pt idx="21">
                  <c:v>2.74</c:v>
                </c:pt>
                <c:pt idx="22">
                  <c:v>0</c:v>
                </c:pt>
                <c:pt idx="23">
                  <c:v>0</c:v>
                </c:pt>
                <c:pt idx="24">
                  <c:v>0</c:v>
                </c:pt>
                <c:pt idx="25">
                  <c:v>0</c:v>
                </c:pt>
                <c:pt idx="26">
                  <c:v>0.59</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413</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cp:lastPrinted>2023-11-21T06:35:00Z</cp:lastPrinted>
  <dcterms:modified xsi:type="dcterms:W3CDTF">2023-11-28T00:46:44Z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BAC96A45213A427F973364F29D2FB93D</vt:lpwstr>
  </property>
</Properties>
</file>