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w:t>
      </w:r>
      <w:r>
        <w:rPr>
          <w:rFonts w:hint="eastAsia" w:ascii="黑体" w:hAnsi="黑体" w:eastAsia="黑体" w:cs="黑体"/>
          <w:b/>
          <w:bCs/>
          <w:sz w:val="52"/>
          <w:szCs w:val="52"/>
          <w:highlight w:val="none"/>
        </w:rPr>
        <w:t>毛南族自治县文化馆</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w:t>
      </w:r>
      <w:r>
        <w:rPr>
          <w:rFonts w:hint="eastAsia" w:ascii="黑体" w:hAnsi="黑体" w:eastAsia="黑体" w:cs="黑体"/>
          <w:b/>
          <w:bCs/>
          <w:sz w:val="52"/>
          <w:szCs w:val="52"/>
          <w:highlight w:val="none"/>
          <w:lang w:eastAsia="zh-CN"/>
        </w:rPr>
        <w:t>度</w:t>
      </w:r>
      <w:r>
        <w:rPr>
          <w:rFonts w:hint="eastAsia" w:ascii="黑体" w:hAnsi="黑体" w:eastAsia="黑体" w:cs="黑体"/>
          <w:b/>
          <w:bCs/>
          <w:sz w:val="52"/>
          <w:szCs w:val="52"/>
          <w:highlight w:val="none"/>
        </w:rPr>
        <w:t>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环江毛南族自治县文化馆</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环江毛南族自治县文化馆</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环江毛南族自治县文化馆</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环江毛南族自治县文化馆</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jc w:val="left"/>
        <w:rPr>
          <w:rFonts w:hint="eastAsia" w:ascii="仿宋" w:hAnsi="仿宋" w:eastAsia="仿宋" w:cs="仿宋"/>
          <w:color w:val="FF0000"/>
          <w:sz w:val="32"/>
          <w:szCs w:val="32"/>
          <w:lang w:val="en-US" w:eastAsia="zh-CN"/>
        </w:rPr>
      </w:pPr>
      <w:r>
        <w:rPr>
          <w:rFonts w:hint="eastAsia" w:ascii="仿宋" w:hAnsi="仿宋" w:eastAsia="仿宋" w:cs="仿宋"/>
          <w:sz w:val="32"/>
          <w:szCs w:val="32"/>
          <w:lang w:eastAsia="zh-CN"/>
        </w:rPr>
        <w:t>组织群众文化活动，繁荣群众文化事业，文化宣传；文艺活动组织；文艺创作培训；业余创作团体管理；业余文艺创作组织；村级文化室业务指导；群众文艺理论研究；文化交流。</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环江毛南族自治县文化馆财政全额拨款副科级单位事业单位。</w:t>
      </w:r>
    </w:p>
    <w:p>
      <w:pPr>
        <w:ind w:firstLine="640" w:firstLineChars="200"/>
        <w:jc w:val="left"/>
        <w:rPr>
          <w:rFonts w:hint="eastAsia" w:ascii="仿宋" w:hAnsi="仿宋" w:eastAsia="仿宋" w:cs="仿宋"/>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2240" w:firstLineChars="7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环江毛南族自治县文化馆</w:t>
      </w:r>
      <w:r>
        <w:rPr>
          <w:rFonts w:hint="eastAsia" w:ascii="黑体" w:hAnsi="黑体" w:eastAsia="黑体" w:cs="黑体"/>
          <w:sz w:val="32"/>
          <w:szCs w:val="32"/>
          <w:highlight w:val="none"/>
        </w:rPr>
        <w:t>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广西河池环江毛南族自治县文化馆</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115.33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环江毛南族自治县文化馆</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148.03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148.03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文化旅游体育与传媒支出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115.33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115.33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文化和旅游</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115.33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115.33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2070109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群众文化</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103.62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103.62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其他文化和旅游支出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11.71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11.71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环江毛南族自治县文化馆</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148.03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79.17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68.86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115.33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59.48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55.85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文化和旅游</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115.33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59.48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55.85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群众文化</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103.62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59.48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44.14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其他文化和旅游支出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11.71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11.71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13.01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13.01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13.01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环江毛南族自治县文化馆</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115.33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115.33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10.14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14.41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148.03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148.03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环江毛南族自治县文化馆</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148.03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79.17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68.86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115.33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59.48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55.85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文化和旅游</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115.33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59.48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55.85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群众文化</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103.62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59.48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44.14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其他文化和旅游支出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11.71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11.71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13.01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13.01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14.41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13.01</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环江毛南族自治县文化馆</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74.98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30.68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75.96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3.21</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环江毛南族自治县文化馆</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环江毛南族自治县文化馆</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环江毛南族自治县文化馆</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0.13</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0.13</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0.13</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0.13</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0.13</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0.13</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环江毛南族自治县文化馆</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148.03</w:t>
      </w:r>
      <w:r>
        <w:rPr>
          <w:rFonts w:hint="eastAsia" w:ascii="仿宋" w:hAnsi="仿宋" w:eastAsia="仿宋" w:cs="仿宋"/>
          <w:sz w:val="32"/>
          <w:szCs w:val="32"/>
          <w:highlight w:val="none"/>
        </w:rPr>
        <w:t>万元，较2021年度决算数</w:t>
      </w:r>
      <w:r>
        <w:rPr>
          <w:rFonts w:ascii="仿宋" w:hAnsi="仿宋" w:eastAsia="仿宋" w:cs="仿宋"/>
          <w:sz w:val="32"/>
          <w:u w:color="auto"/>
        </w:rPr>
        <w:t>减少17.22</w:t>
      </w:r>
      <w:r>
        <w:rPr>
          <w:rFonts w:hint="eastAsia" w:ascii="仿宋" w:hAnsi="仿宋" w:eastAsia="仿宋" w:cs="仿宋"/>
          <w:sz w:val="32"/>
          <w:szCs w:val="32"/>
          <w:highlight w:val="none"/>
        </w:rPr>
        <w:t>万元，</w:t>
      </w:r>
      <w:r>
        <w:rPr>
          <w:rFonts w:ascii="仿宋" w:hAnsi="仿宋" w:eastAsia="仿宋" w:cs="仿宋"/>
          <w:sz w:val="32"/>
          <w:u w:color="auto"/>
        </w:rPr>
        <w:t>下降10.42%</w:t>
      </w:r>
      <w:r>
        <w:rPr>
          <w:rFonts w:hint="eastAsia" w:ascii="仿宋" w:hAnsi="仿宋" w:eastAsia="仿宋" w:cs="仿宋"/>
          <w:sz w:val="32"/>
          <w:szCs w:val="32"/>
          <w:highlight w:val="none"/>
        </w:rPr>
        <w:t>，其中本年收入</w:t>
      </w:r>
      <w:r>
        <w:rPr>
          <w:rFonts w:ascii="仿宋" w:hAnsi="仿宋" w:eastAsia="仿宋" w:cs="仿宋"/>
          <w:sz w:val="32"/>
          <w:u w:color="auto"/>
        </w:rPr>
        <w:t>148.03</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148.03</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减少16.50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下降10.03%</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主要原因：人员减少。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w:t>
      </w:r>
      <w:r>
        <w:rPr>
          <w:rFonts w:ascii="仿宋" w:hAnsi="仿宋" w:eastAsia="仿宋" w:cs="仿宋"/>
          <w:color w:val="auto"/>
          <w:sz w:val="32"/>
          <w:u w:color="auto"/>
        </w:rPr>
        <w:t>长0%</w:t>
      </w:r>
      <w:r>
        <w:rPr>
          <w:rFonts w:hint="eastAsia" w:ascii="仿宋" w:hAnsi="仿宋" w:eastAsia="仿宋" w:cs="仿宋"/>
          <w:color w:val="auto"/>
          <w:kern w:val="2"/>
          <w:sz w:val="32"/>
          <w:szCs w:val="32"/>
          <w:highlight w:val="none"/>
          <w:lang w:val="en-US" w:eastAsia="zh-CN" w:bidi="ar"/>
        </w:rPr>
        <w:t>，主要原因：本单位没有政府性基金预算财政拨款收入。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kern w:val="2"/>
          <w:sz w:val="32"/>
          <w:szCs w:val="32"/>
          <w:highlight w:val="none"/>
          <w:lang w:val="en-US" w:eastAsia="zh-CN" w:bidi="ar"/>
        </w:rPr>
        <w:t>国有资本经营预算财政拨款</w:t>
      </w:r>
      <w:r>
        <w:rPr>
          <w:rFonts w:hint="eastAsia" w:ascii="仿宋" w:hAnsi="仿宋" w:eastAsia="仿宋" w:cs="仿宋"/>
          <w:color w:val="auto"/>
          <w:kern w:val="2"/>
          <w:sz w:val="32"/>
          <w:szCs w:val="32"/>
          <w:highlight w:val="none"/>
          <w:lang w:val="en-US" w:eastAsia="zh-CN" w:bidi="ar"/>
        </w:rPr>
        <w:t>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减少0.72</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2022年没有结余。</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861560" cy="3505835"/>
            <wp:effectExtent l="4445" t="4445" r="10795" b="1397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148.03</w:t>
      </w:r>
      <w:r>
        <w:rPr>
          <w:rFonts w:hint="eastAsia" w:ascii="仿宋" w:hAnsi="仿宋" w:eastAsia="仿宋" w:cs="仿宋"/>
          <w:sz w:val="32"/>
          <w:szCs w:val="32"/>
          <w:highlight w:val="none"/>
        </w:rPr>
        <w:t>万元，其中本年支出</w:t>
      </w:r>
      <w:r>
        <w:rPr>
          <w:rFonts w:ascii="仿宋" w:hAnsi="仿宋" w:eastAsia="仿宋" w:cs="仿宋"/>
          <w:sz w:val="32"/>
          <w:u w:color="auto"/>
        </w:rPr>
        <w:t>148.03</w:t>
      </w:r>
      <w:r>
        <w:rPr>
          <w:rFonts w:hint="eastAsia" w:ascii="仿宋" w:hAnsi="仿宋" w:eastAsia="仿宋" w:cs="仿宋"/>
          <w:sz w:val="32"/>
          <w:szCs w:val="32"/>
          <w:highlight w:val="none"/>
        </w:rPr>
        <w:t>万元，较2021年度决算数</w:t>
      </w:r>
      <w:r>
        <w:rPr>
          <w:rFonts w:ascii="仿宋" w:hAnsi="仿宋" w:eastAsia="仿宋" w:cs="仿宋"/>
          <w:sz w:val="32"/>
          <w:u w:color="auto"/>
        </w:rPr>
        <w:t>减少17.22</w:t>
      </w:r>
      <w:r>
        <w:rPr>
          <w:rFonts w:hint="eastAsia" w:ascii="仿宋" w:hAnsi="仿宋" w:eastAsia="仿宋" w:cs="仿宋"/>
          <w:sz w:val="32"/>
          <w:szCs w:val="32"/>
          <w:highlight w:val="none"/>
        </w:rPr>
        <w:t>万元，</w:t>
      </w:r>
      <w:r>
        <w:rPr>
          <w:rFonts w:ascii="仿宋" w:hAnsi="仿宋" w:eastAsia="仿宋" w:cs="仿宋"/>
          <w:sz w:val="32"/>
          <w:u w:color="auto"/>
        </w:rPr>
        <w:t>下降10.42%</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1.36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工会经费</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增加1.36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增长100%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主要原因是：2021年没有工会经费。</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文化旅游体育与传媒支出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207</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115.33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用于群众文化活动开支</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减少7.99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下降6.48%</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主要原因是：活动减少。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10.14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付职工养老保险</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减少0.58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下降5.41%</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6.79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：付职工住房公积金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减少1.83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下降21.23%</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14.41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：付职工奖励性补贴</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减少8.19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下降36.24%</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人员减少。</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color w:val="auto"/>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2022年没有结余分配。</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_GB2312" w:cs="仿宋"/>
          <w:color w:val="auto"/>
          <w:sz w:val="32"/>
          <w:szCs w:val="32"/>
          <w:highlight w:val="none"/>
          <w:lang w:val="en-US" w:eastAsia="zh-CN" w:bidi="ar"/>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2022年没有结余分配。</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89475" cy="2346960"/>
            <wp:effectExtent l="4445" t="4445" r="11430" b="1079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环江毛南族自治县文化馆2022年度一般公共预算财政拨款支出</w:t>
      </w:r>
      <w:r>
        <w:rPr>
          <w:rFonts w:ascii="仿宋" w:hAnsi="仿宋" w:eastAsia="仿宋" w:cs="仿宋"/>
          <w:sz w:val="32"/>
          <w:u w:color="auto"/>
        </w:rPr>
        <w:t>148.03</w:t>
      </w:r>
      <w:r>
        <w:rPr>
          <w:rFonts w:hint="eastAsia" w:ascii="仿宋" w:hAnsi="仿宋" w:eastAsia="仿宋" w:cs="仿宋"/>
          <w:sz w:val="32"/>
          <w:szCs w:val="32"/>
          <w:highlight w:val="none"/>
        </w:rPr>
        <w:t>万元，较2021年度决算数</w:t>
      </w:r>
      <w:r>
        <w:rPr>
          <w:rFonts w:ascii="仿宋" w:hAnsi="仿宋" w:eastAsia="仿宋" w:cs="仿宋"/>
          <w:sz w:val="32"/>
          <w:u w:color="auto"/>
        </w:rPr>
        <w:t>减少17.22</w:t>
      </w:r>
      <w:r>
        <w:rPr>
          <w:rFonts w:hint="eastAsia" w:ascii="仿宋" w:hAnsi="仿宋" w:eastAsia="仿宋" w:cs="仿宋"/>
          <w:sz w:val="32"/>
          <w:szCs w:val="32"/>
          <w:highlight w:val="none"/>
        </w:rPr>
        <w:t>万元，</w:t>
      </w:r>
      <w:r>
        <w:rPr>
          <w:rFonts w:ascii="仿宋" w:hAnsi="仿宋" w:eastAsia="仿宋" w:cs="仿宋"/>
          <w:sz w:val="32"/>
          <w:u w:color="auto"/>
        </w:rPr>
        <w:t>下降10.42%</w:t>
      </w:r>
      <w:r>
        <w:rPr>
          <w:rFonts w:hint="eastAsia" w:ascii="仿宋" w:hAnsi="仿宋" w:eastAsia="仿宋" w:cs="仿宋"/>
          <w:sz w:val="32"/>
          <w:szCs w:val="32"/>
          <w:highlight w:val="none"/>
        </w:rPr>
        <w:t>。其中：基本支出</w:t>
      </w:r>
      <w:r>
        <w:rPr>
          <w:rFonts w:ascii="仿宋" w:hAnsi="仿宋" w:eastAsia="仿宋" w:cs="仿宋"/>
          <w:sz w:val="32"/>
          <w:u w:color="auto"/>
        </w:rPr>
        <w:t>79.17</w:t>
      </w:r>
      <w:r>
        <w:rPr>
          <w:rFonts w:hint="eastAsia" w:ascii="仿宋" w:hAnsi="仿宋" w:eastAsia="仿宋" w:cs="仿宋"/>
          <w:sz w:val="32"/>
          <w:szCs w:val="32"/>
          <w:highlight w:val="none"/>
        </w:rPr>
        <w:t>万元，项目支出</w:t>
      </w:r>
      <w:r>
        <w:rPr>
          <w:rFonts w:ascii="仿宋" w:hAnsi="仿宋" w:eastAsia="仿宋" w:cs="仿宋"/>
          <w:sz w:val="32"/>
          <w:u w:color="auto"/>
        </w:rPr>
        <w:t>68.86</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环江毛南族自治县文化馆2022 年度一般公共预算财政拨款支出年初预算为</w:t>
      </w:r>
      <w:r>
        <w:rPr>
          <w:rFonts w:ascii="仿宋" w:hAnsi="仿宋" w:eastAsia="仿宋" w:cs="仿宋"/>
          <w:sz w:val="32"/>
          <w:u w:color="auto"/>
        </w:rPr>
        <w:t>100.11</w:t>
      </w:r>
      <w:r>
        <w:rPr>
          <w:rFonts w:hint="eastAsia" w:ascii="仿宋" w:hAnsi="仿宋" w:eastAsia="仿宋" w:cs="仿宋"/>
          <w:sz w:val="32"/>
          <w:szCs w:val="32"/>
          <w:highlight w:val="none"/>
        </w:rPr>
        <w:t>万元，支出决算为</w:t>
      </w:r>
      <w:r>
        <w:rPr>
          <w:rFonts w:ascii="仿宋" w:hAnsi="仿宋" w:eastAsia="仿宋" w:cs="仿宋"/>
          <w:sz w:val="32"/>
          <w:u w:color="auto"/>
        </w:rPr>
        <w:t>148.03</w:t>
      </w:r>
      <w:r>
        <w:rPr>
          <w:rFonts w:hint="eastAsia" w:ascii="仿宋" w:hAnsi="仿宋" w:eastAsia="仿宋" w:cs="仿宋"/>
          <w:sz w:val="32"/>
          <w:szCs w:val="32"/>
          <w:highlight w:val="none"/>
        </w:rPr>
        <w:t>万元，完成年初预算的</w:t>
      </w:r>
      <w:r>
        <w:rPr>
          <w:rFonts w:ascii="仿宋" w:hAnsi="仿宋" w:eastAsia="仿宋" w:cs="仿宋"/>
          <w:sz w:val="32"/>
          <w:u w:color="auto"/>
        </w:rPr>
        <w:t>147.87%</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default" w:eastAsia="仿宋"/>
          <w:color w:val="auto"/>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1.36</w:t>
      </w:r>
      <w:r>
        <w:rPr>
          <w:rFonts w:hint="eastAsia" w:ascii="仿宋" w:hAnsi="仿宋" w:eastAsia="仿宋"/>
          <w:sz w:val="32"/>
          <w:szCs w:val="32"/>
          <w:highlight w:val="none"/>
        </w:rPr>
        <w:t>万元，支出决算为</w:t>
      </w:r>
      <w:r>
        <w:rPr>
          <w:rFonts w:ascii="仿宋" w:hAnsi="仿宋" w:eastAsia="仿宋"/>
          <w:sz w:val="32"/>
          <w:szCs w:val="32"/>
          <w:highlight w:val="none"/>
        </w:rPr>
        <w:t>1.36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2022年无工会经费预算，但是有工会经费的支出。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单位工会经费的支出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eastAsia="仿宋"/>
                <w:color w:val="auto"/>
                <w:sz w:val="13"/>
                <w:szCs w:val="13"/>
                <w:highlight w:val="none"/>
                <w:lang w:val="en-US" w:eastAsia="zh-CN"/>
              </w:rPr>
            </w:pPr>
            <w:r>
              <w:rPr>
                <w:rFonts w:hint="eastAsia" w:ascii="仿宋" w:hAnsi="仿宋" w:eastAsia="仿宋" w:cs="仿宋"/>
                <w:color w:val="auto"/>
                <w:kern w:val="2"/>
                <w:sz w:val="13"/>
                <w:szCs w:val="13"/>
                <w:highlight w:val="none"/>
                <w:lang w:val="en-US" w:eastAsia="zh-CN" w:bidi="ar"/>
              </w:rPr>
              <w:t>2022年无工会经费预算，但是有工会经费的支出。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文化旅游体育与传媒支出</w:t>
      </w:r>
      <w:r>
        <w:rPr>
          <w:rFonts w:ascii="仿宋" w:hAnsi="仿宋" w:eastAsia="仿宋"/>
          <w:sz w:val="32"/>
          <w:u w:color="auto"/>
        </w:rPr>
        <w:t>（207</w:t>
      </w:r>
      <w:r>
        <w:rPr>
          <w:rFonts w:hint="eastAsia" w:ascii="仿宋" w:hAnsi="仿宋" w:eastAsia="仿宋"/>
          <w:sz w:val="32"/>
          <w:szCs w:val="32"/>
          <w:highlight w:val="none"/>
        </w:rPr>
        <w:t>类）年初预算为</w:t>
      </w:r>
      <w:r>
        <w:rPr>
          <w:rFonts w:ascii="仿宋" w:hAnsi="仿宋" w:eastAsia="仿宋"/>
          <w:sz w:val="32"/>
          <w:szCs w:val="32"/>
          <w:highlight w:val="none"/>
        </w:rPr>
        <w:t>79.65</w:t>
      </w:r>
      <w:r>
        <w:rPr>
          <w:rFonts w:hint="eastAsia" w:ascii="仿宋" w:hAnsi="仿宋" w:eastAsia="仿宋"/>
          <w:sz w:val="32"/>
          <w:szCs w:val="32"/>
          <w:highlight w:val="none"/>
        </w:rPr>
        <w:t>万元，支出决算为</w:t>
      </w:r>
      <w:r>
        <w:rPr>
          <w:rFonts w:ascii="仿宋" w:hAnsi="仿宋" w:eastAsia="仿宋"/>
          <w:sz w:val="32"/>
          <w:szCs w:val="32"/>
          <w:highlight w:val="none"/>
        </w:rPr>
        <w:t>115.33</w:t>
      </w:r>
      <w:r>
        <w:rPr>
          <w:rFonts w:hint="eastAsia" w:ascii="仿宋" w:hAnsi="仿宋" w:eastAsia="仿宋"/>
          <w:sz w:val="32"/>
          <w:szCs w:val="32"/>
          <w:highlight w:val="none"/>
        </w:rPr>
        <w:t>万元，完成年初预算的</w:t>
      </w:r>
      <w:r>
        <w:rPr>
          <w:rFonts w:ascii="仿宋" w:hAnsi="仿宋" w:eastAsia="仿宋"/>
          <w:sz w:val="32"/>
          <w:szCs w:val="32"/>
          <w:highlight w:val="none"/>
        </w:rPr>
        <w:t>144.80%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原因是：活动增加，年中追加经费较多。</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群众文化</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79.65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103.62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130.09%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用于开展群众活动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auto"/>
                <w:sz w:val="15"/>
                <w:szCs w:val="15"/>
                <w:highlight w:val="none"/>
                <w:lang w:val="en-US" w:eastAsia="zh-CN"/>
              </w:rPr>
            </w:pPr>
            <w:r>
              <w:rPr>
                <w:rFonts w:hint="eastAsia" w:ascii="仿宋" w:hAnsi="仿宋" w:eastAsia="仿宋"/>
                <w:color w:val="auto"/>
                <w:sz w:val="15"/>
                <w:szCs w:val="15"/>
                <w:highlight w:val="none"/>
                <w:lang w:val="en-US" w:eastAsia="zh-CN"/>
              </w:rPr>
              <w:t>活动增加，年中追加经费较多。</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其他文化和旅游支出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用于开展群众活动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上级拨款，无年初预算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79.65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115.33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10.91</w:t>
      </w:r>
      <w:r>
        <w:rPr>
          <w:rFonts w:hint="eastAsia" w:ascii="仿宋" w:hAnsi="仿宋" w:eastAsia="仿宋"/>
          <w:sz w:val="32"/>
          <w:szCs w:val="32"/>
          <w:highlight w:val="none"/>
        </w:rPr>
        <w:t>万元，支出决算为</w:t>
      </w:r>
      <w:r>
        <w:rPr>
          <w:rFonts w:ascii="仿宋" w:hAnsi="仿宋" w:eastAsia="仿宋"/>
          <w:sz w:val="32"/>
          <w:szCs w:val="32"/>
          <w:highlight w:val="none"/>
        </w:rPr>
        <w:t>10.14</w:t>
      </w:r>
      <w:r>
        <w:rPr>
          <w:rFonts w:hint="eastAsia" w:ascii="仿宋" w:hAnsi="仿宋" w:eastAsia="仿宋"/>
          <w:sz w:val="32"/>
          <w:szCs w:val="32"/>
          <w:highlight w:val="none"/>
        </w:rPr>
        <w:t>万元，完成年初预算的</w:t>
      </w:r>
      <w:r>
        <w:rPr>
          <w:rFonts w:ascii="仿宋" w:hAnsi="仿宋" w:eastAsia="仿宋"/>
          <w:sz w:val="32"/>
          <w:szCs w:val="32"/>
          <w:highlight w:val="none"/>
        </w:rPr>
        <w:t>92.94%</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10.14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92.94%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用于职工养老保险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10.14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768600"/>
            <wp:effectExtent l="4445" t="4445" r="16510" b="825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8.19</w:t>
      </w:r>
      <w:r>
        <w:rPr>
          <w:rFonts w:hint="eastAsia" w:ascii="仿宋" w:hAnsi="仿宋" w:eastAsia="仿宋"/>
          <w:sz w:val="32"/>
          <w:szCs w:val="32"/>
          <w:highlight w:val="none"/>
        </w:rPr>
        <w:t>万元，支出决算为</w:t>
      </w:r>
      <w:r>
        <w:rPr>
          <w:rFonts w:ascii="仿宋" w:hAnsi="仿宋" w:eastAsia="仿宋"/>
          <w:sz w:val="32"/>
          <w:szCs w:val="32"/>
          <w:highlight w:val="none"/>
        </w:rPr>
        <w:t>6.79</w:t>
      </w:r>
      <w:r>
        <w:rPr>
          <w:rFonts w:hint="eastAsia" w:ascii="仿宋" w:hAnsi="仿宋" w:eastAsia="仿宋"/>
          <w:sz w:val="32"/>
          <w:szCs w:val="32"/>
          <w:highlight w:val="none"/>
        </w:rPr>
        <w:t>万元，完成年初预算的</w:t>
      </w:r>
      <w:r>
        <w:rPr>
          <w:rFonts w:ascii="仿宋" w:hAnsi="仿宋" w:eastAsia="仿宋"/>
          <w:sz w:val="32"/>
          <w:szCs w:val="32"/>
          <w:highlight w:val="none"/>
        </w:rPr>
        <w:t>82.91%</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不员减少。</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8.19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6.79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82.91%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32"/>
                <w:szCs w:val="32"/>
                <w:highlight w:val="none"/>
                <w:lang w:val="en-US" w:eastAsia="zh-CN" w:bidi="ar"/>
              </w:rPr>
              <w:t>不员减少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8.19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6.79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615565"/>
            <wp:effectExtent l="4445" t="4445" r="16510" b="8890"/>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14.41</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用于职工奖励性补贴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14.41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环江毛南族自治县文化馆2022年度一般公共预算财政拨款基本支出</w:t>
      </w:r>
      <w:r>
        <w:rPr>
          <w:rFonts w:ascii="仿宋" w:hAnsi="仿宋" w:eastAsia="仿宋" w:cs="仿宋"/>
          <w:sz w:val="32"/>
          <w:u w:color="auto"/>
        </w:rPr>
        <w:t>79.17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75.96</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3.21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ascii="仿宋" w:hAnsi="仿宋" w:eastAsia="仿宋" w:cs="仿宋"/>
          <w:sz w:val="32"/>
          <w:u w:color="auto"/>
        </w:rPr>
        <w:t>74.98万元，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95.64%</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人员减少。</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30.68万元，30102津贴补贴1.68万元，30103奖金6.90万元，30106伙食补助费1.40万元，30107绩效工资12.89万元，30108机关事业单位基本养老保险缴费10.14万元，30110职工基本医疗保险缴费4.25万元，30112其他社会保障缴费0.27万元，30113住房公积金6.79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商品和服务支出</w:t>
      </w:r>
      <w:r>
        <w:rPr>
          <w:rFonts w:ascii="仿宋" w:hAnsi="仿宋" w:eastAsia="仿宋" w:cs="仿宋"/>
          <w:sz w:val="32"/>
          <w:u w:color="auto"/>
        </w:rPr>
        <w:t>3.21万元，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80.45%</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未能及时支付。</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30201办公费0.11万元，30205水费0.09万元，30206电费0.49万元，30207邮电费1.02万元，30228工会经费1.36万元，30231公务用车运行维护费0.13万元。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0.98万元，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163.33%</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年初无预算。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30305生活补助0.98万元。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主要原因是：本单位无其他支出。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环江毛南族自治县文化馆2022年度政府性基金支出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环江毛南族自治县文化馆2022年度政府性基金支出年初预算为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环江毛南族自治县文化馆</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环江毛南族自治县文化馆2022年度国有资本经营预算支出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环江毛南族自治县文化馆2022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环江毛南族自治县文化馆</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2022年预算财政拨款安排的“三公”经费支出</w:t>
      </w:r>
      <w:r>
        <w:rPr>
          <w:rFonts w:ascii="仿宋" w:hAnsi="仿宋" w:eastAsia="仿宋" w:cs="仿宋"/>
          <w:sz w:val="32"/>
          <w:szCs w:val="32"/>
          <w:highlight w:val="none"/>
        </w:rPr>
        <w:t>0.13</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13.68%</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增加0.13</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公务用车维修及购买保险。</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0.13</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0.13</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5"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5"/>
      <w:r>
        <w:rPr>
          <w:rFonts w:hint="eastAsia" w:ascii="仿宋" w:hAnsi="仿宋" w:eastAsia="仿宋" w:cs="仿宋"/>
          <w:color w:val="auto"/>
          <w:sz w:val="32"/>
          <w:szCs w:val="32"/>
        </w:rPr>
        <w:t>。</w:t>
      </w:r>
    </w:p>
    <w:p>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0.13</w:t>
      </w:r>
      <w:r>
        <w:rPr>
          <w:rFonts w:hint="eastAsia" w:ascii="仿宋" w:hAnsi="仿宋" w:eastAsia="仿宋" w:cs="仿宋"/>
          <w:sz w:val="32"/>
          <w:szCs w:val="32"/>
          <w:highlight w:val="none"/>
        </w:rPr>
        <w:t>万元，完成年初预算的</w:t>
      </w:r>
      <w:r>
        <w:rPr>
          <w:rFonts w:ascii="仿宋" w:hAnsi="仿宋" w:eastAsia="仿宋" w:cs="仿宋"/>
          <w:sz w:val="32"/>
          <w:u w:color="auto"/>
        </w:rPr>
        <w:t>13.68%</w:t>
      </w:r>
      <w:r>
        <w:rPr>
          <w:rFonts w:hint="eastAsia" w:ascii="仿宋" w:hAnsi="仿宋" w:eastAsia="仿宋" w:cs="仿宋"/>
          <w:sz w:val="32"/>
          <w:szCs w:val="32"/>
          <w:highlight w:val="none"/>
        </w:rPr>
        <w:t>，比上年</w:t>
      </w:r>
      <w:r>
        <w:rPr>
          <w:rFonts w:ascii="仿宋" w:hAnsi="仿宋" w:eastAsia="仿宋" w:cs="仿宋"/>
          <w:sz w:val="32"/>
          <w:u w:color="auto"/>
        </w:rPr>
        <w:t>增加0.13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lang w:eastAsia="zh-CN"/>
        </w:rPr>
        <w:t>车辆</w:t>
      </w:r>
      <w:r>
        <w:rPr>
          <w:rFonts w:hint="eastAsia" w:ascii="仿宋" w:hAnsi="仿宋" w:eastAsia="仿宋" w:cs="仿宋"/>
          <w:color w:val="auto"/>
          <w:sz w:val="32"/>
          <w:szCs w:val="32"/>
          <w:highlight w:val="none"/>
        </w:rPr>
        <w:t>维修费、保险费等。2022年，</w:t>
      </w:r>
      <w:r>
        <w:rPr>
          <w:rFonts w:ascii="仿宋" w:hAnsi="仿宋" w:eastAsia="仿宋" w:cs="仿宋"/>
          <w:color w:val="auto"/>
          <w:sz w:val="32"/>
          <w:u w:color="auto"/>
        </w:rPr>
        <w:t>环江毛南族自治县文化馆</w:t>
      </w:r>
      <w:r>
        <w:rPr>
          <w:rFonts w:hint="eastAsia" w:ascii="仿宋" w:hAnsi="仿宋" w:eastAsia="仿宋" w:cs="仿宋"/>
          <w:color w:val="auto"/>
          <w:sz w:val="32"/>
          <w:szCs w:val="32"/>
          <w:highlight w:val="none"/>
        </w:rPr>
        <w:t>所</w:t>
      </w:r>
      <w:r>
        <w:rPr>
          <w:rFonts w:hint="eastAsia" w:ascii="仿宋" w:hAnsi="仿宋" w:eastAsia="仿宋" w:cs="仿宋"/>
          <w:sz w:val="32"/>
          <w:szCs w:val="32"/>
          <w:highlight w:val="none"/>
        </w:rPr>
        <w:t>属单位开支财政拨款的公务用车保有量为</w:t>
      </w:r>
      <w:r>
        <w:rPr>
          <w:rFonts w:ascii="仿宋" w:hAnsi="仿宋" w:eastAsia="仿宋" w:cs="仿宋"/>
          <w:sz w:val="32"/>
          <w:u w:color="auto"/>
        </w:rPr>
        <w:t>1</w:t>
      </w:r>
      <w:r>
        <w:rPr>
          <w:rFonts w:hint="eastAsia" w:ascii="仿宋" w:hAnsi="仿宋" w:eastAsia="仿宋" w:cs="仿宋"/>
          <w:sz w:val="32"/>
          <w:szCs w:val="32"/>
          <w:highlight w:val="none"/>
        </w:rPr>
        <w:t>辆，全年运行费支出</w:t>
      </w:r>
      <w:r>
        <w:rPr>
          <w:rFonts w:ascii="仿宋" w:hAnsi="仿宋" w:eastAsia="仿宋" w:cs="仿宋"/>
          <w:sz w:val="32"/>
          <w:u w:color="auto"/>
        </w:rPr>
        <w:t>0.13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主要原因是：无公务接待。</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bookmarkStart w:id="6" w:name="_GoBack"/>
      <w:bookmarkEnd w:id="6"/>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减少3.99</w:t>
      </w:r>
      <w:r>
        <w:rPr>
          <w:rFonts w:hint="eastAsia" w:ascii="仿宋" w:hAnsi="仿宋" w:eastAsia="仿宋" w:cs="仿宋"/>
          <w:sz w:val="32"/>
          <w:szCs w:val="32"/>
          <w:highlight w:val="none"/>
        </w:rPr>
        <w:t>万元，</w:t>
      </w:r>
      <w:r>
        <w:rPr>
          <w:rFonts w:ascii="仿宋" w:hAnsi="仿宋" w:eastAsia="仿宋" w:cs="仿宋"/>
          <w:sz w:val="32"/>
          <w:szCs w:val="32"/>
          <w:highlight w:val="none"/>
        </w:rPr>
        <w:t>下降100%</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eastAsia="zh-CN"/>
        </w:rPr>
        <w:t>未及时支付，</w:t>
      </w:r>
      <w:r>
        <w:rPr>
          <w:rFonts w:hint="eastAsia" w:ascii="仿宋" w:hAnsi="仿宋" w:eastAsia="仿宋" w:cs="仿宋"/>
          <w:color w:val="auto"/>
          <w:sz w:val="32"/>
          <w:szCs w:val="32"/>
          <w:highlight w:val="none"/>
        </w:rPr>
        <w:t>落实过紧日子要求压减支出</w:t>
      </w:r>
      <w:r>
        <w:rPr>
          <w:rFonts w:hint="eastAsia" w:ascii="仿宋" w:hAnsi="仿宋" w:eastAsia="仿宋" w:cs="仿宋"/>
          <w:color w:val="auto"/>
          <w:sz w:val="32"/>
          <w:szCs w:val="32"/>
          <w:highlight w:val="none"/>
          <w:lang w:eastAsia="zh-CN"/>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1</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100.12</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59.19</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业务费</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58.26</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县级免费开放资金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eastAsia="zh-CN"/>
          <w14:textFill>
            <w14:solidFill>
              <w14:schemeClr w14:val="tx1"/>
            </w14:solidFill>
          </w14:textFill>
        </w:rPr>
        <w:t>业务经费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85.06</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eastAsia="zh-CN"/>
          <w14:textFill>
            <w14:solidFill>
              <w14:schemeClr w14:val="tx1"/>
            </w14:solidFill>
          </w14:textFill>
        </w:rPr>
        <w:t>公共数字文化建设资金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eastAsia="zh-CN"/>
          <w14:textFill>
            <w14:solidFill>
              <w14:schemeClr w14:val="tx1"/>
            </w14:solidFill>
          </w14:textFill>
        </w:rPr>
        <w:t>文化馆免费开放经费中央资金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文化志愿者经费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录音棚</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奖励性补贴</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龙门乐坊购买乐器</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保安经费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96.09</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演出服装费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99.54</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及时支付</w:t>
      </w:r>
      <w:r>
        <w:rPr>
          <w:rFonts w:hint="eastAsia" w:ascii="仿宋" w:hAnsi="仿宋" w:eastAsia="仿宋" w:cs="仿宋"/>
          <w:color w:val="000000" w:themeColor="text1"/>
          <w:sz w:val="32"/>
          <w:szCs w:val="32"/>
          <w14:textFill>
            <w14:solidFill>
              <w14:schemeClr w14:val="tx1"/>
            </w14:solidFill>
          </w14:textFill>
        </w:rPr>
        <w:t>。</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二、事业收入：指事业单位开展专业业务活动及辅助活动所取得的收入。</w:t>
      </w:r>
      <w:r>
        <w:rPr>
          <w:rFonts w:hint="eastAsia" w:ascii="仿宋" w:hAnsi="仿宋" w:eastAsia="仿宋" w:cs="仿宋"/>
          <w:sz w:val="32"/>
          <w:szCs w:val="32"/>
          <w:highlight w:val="none"/>
          <w:lang w:val="en-US" w:eastAsia="zh-CN"/>
        </w:rPr>
        <w:t xml:space="preserve">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120" w:firstLineChars="1600"/>
        <w:jc w:val="left"/>
        <w:rPr>
          <w:rFonts w:hint="default" w:ascii="仿宋" w:hAnsi="仿宋" w:eastAsia="仿宋" w:cs="仿宋"/>
          <w:sz w:val="32"/>
          <w:szCs w:val="32"/>
          <w:highlight w:val="none"/>
          <w:lang w:val="en-US" w:eastAsia="zh-CN"/>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66B8A682"/>
    <w:multiLevelType w:val="singleLevel"/>
    <w:tmpl w:val="66B8A68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942143F"/>
    <w:rsid w:val="0D100297"/>
    <w:rsid w:val="0D202B45"/>
    <w:rsid w:val="0F8D4C87"/>
    <w:rsid w:val="10505FAA"/>
    <w:rsid w:val="105F7E7E"/>
    <w:rsid w:val="11E56B5B"/>
    <w:rsid w:val="125C77AB"/>
    <w:rsid w:val="13453C91"/>
    <w:rsid w:val="14CB726E"/>
    <w:rsid w:val="17E92249"/>
    <w:rsid w:val="18D304F1"/>
    <w:rsid w:val="19F32577"/>
    <w:rsid w:val="19F45B80"/>
    <w:rsid w:val="1A9A517B"/>
    <w:rsid w:val="1B0C078D"/>
    <w:rsid w:val="1B2B31E2"/>
    <w:rsid w:val="1B4C295A"/>
    <w:rsid w:val="1B973C63"/>
    <w:rsid w:val="1BA1001E"/>
    <w:rsid w:val="1D317259"/>
    <w:rsid w:val="1DE70B86"/>
    <w:rsid w:val="1E664F5B"/>
    <w:rsid w:val="1EB34BE1"/>
    <w:rsid w:val="215E639F"/>
    <w:rsid w:val="21EC3183"/>
    <w:rsid w:val="225E72CD"/>
    <w:rsid w:val="246E2F77"/>
    <w:rsid w:val="254B4E2B"/>
    <w:rsid w:val="25A57C9B"/>
    <w:rsid w:val="283D7C94"/>
    <w:rsid w:val="29480E03"/>
    <w:rsid w:val="2983634D"/>
    <w:rsid w:val="2BB02055"/>
    <w:rsid w:val="2C575A56"/>
    <w:rsid w:val="2F257714"/>
    <w:rsid w:val="2F3275E5"/>
    <w:rsid w:val="30AA08EF"/>
    <w:rsid w:val="30D23D1C"/>
    <w:rsid w:val="31221CF5"/>
    <w:rsid w:val="31400178"/>
    <w:rsid w:val="321E3342"/>
    <w:rsid w:val="327759C8"/>
    <w:rsid w:val="33185FE3"/>
    <w:rsid w:val="34EE2E36"/>
    <w:rsid w:val="36777241"/>
    <w:rsid w:val="371E78D5"/>
    <w:rsid w:val="38A951DB"/>
    <w:rsid w:val="38B31605"/>
    <w:rsid w:val="39003F4F"/>
    <w:rsid w:val="3C07002B"/>
    <w:rsid w:val="3D0D152A"/>
    <w:rsid w:val="3DF62756"/>
    <w:rsid w:val="3F1B7587"/>
    <w:rsid w:val="41E57B4F"/>
    <w:rsid w:val="432F26F6"/>
    <w:rsid w:val="43880F63"/>
    <w:rsid w:val="43F43113"/>
    <w:rsid w:val="441C5A6F"/>
    <w:rsid w:val="44C44FCC"/>
    <w:rsid w:val="44CC7369"/>
    <w:rsid w:val="457F5108"/>
    <w:rsid w:val="46951B6B"/>
    <w:rsid w:val="49A34401"/>
    <w:rsid w:val="4A3E30AB"/>
    <w:rsid w:val="4AC14DAC"/>
    <w:rsid w:val="4D154C85"/>
    <w:rsid w:val="4EB35ECE"/>
    <w:rsid w:val="508F4E24"/>
    <w:rsid w:val="51461E90"/>
    <w:rsid w:val="51463753"/>
    <w:rsid w:val="52553A93"/>
    <w:rsid w:val="53521F8B"/>
    <w:rsid w:val="53E22F47"/>
    <w:rsid w:val="54522FF8"/>
    <w:rsid w:val="55450629"/>
    <w:rsid w:val="56692963"/>
    <w:rsid w:val="568B0F48"/>
    <w:rsid w:val="5786217B"/>
    <w:rsid w:val="58642D87"/>
    <w:rsid w:val="59337A15"/>
    <w:rsid w:val="59810274"/>
    <w:rsid w:val="5CA96A00"/>
    <w:rsid w:val="5CF730BC"/>
    <w:rsid w:val="5E5F0DCE"/>
    <w:rsid w:val="5FA40A7B"/>
    <w:rsid w:val="5FD56D29"/>
    <w:rsid w:val="5FEC7F3F"/>
    <w:rsid w:val="60F74BC3"/>
    <w:rsid w:val="617D3BF8"/>
    <w:rsid w:val="61841F6A"/>
    <w:rsid w:val="623007A9"/>
    <w:rsid w:val="62952920"/>
    <w:rsid w:val="637D7558"/>
    <w:rsid w:val="644F19AC"/>
    <w:rsid w:val="657808F1"/>
    <w:rsid w:val="65AA4920"/>
    <w:rsid w:val="65E31D0B"/>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148.03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0.98</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文化旅游体育与传媒支出</c:v>
                </c:pt>
                <c:pt idx="2">
                  <c:v>社会保障和就业支出</c:v>
                </c:pt>
                <c:pt idx="3">
                  <c:v>住房保障支出</c:v>
                </c:pt>
                <c:pt idx="4">
                  <c:v>其他支出</c:v>
                </c:pt>
              </c:strCache>
            </c:strRef>
          </c:cat>
          <c:val>
            <c:numRef>
              <c:f>Sheet1!$B$2:$B$6</c:f>
              <c:numCache>
                <c:formatCode>General</c:formatCode>
                <c:ptCount val="5"/>
                <c:pt idx="0">
                  <c:v>0</c:v>
                </c:pt>
                <c:pt idx="1">
                  <c:v>123.32</c:v>
                </c:pt>
                <c:pt idx="2">
                  <c:v>10.72</c:v>
                </c:pt>
                <c:pt idx="3">
                  <c:v>8.62</c:v>
                </c:pt>
                <c:pt idx="4">
                  <c:v>22.6</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文化旅游体育与传媒支出</c:v>
                </c:pt>
                <c:pt idx="2">
                  <c:v>社会保障和就业支出</c:v>
                </c:pt>
                <c:pt idx="3">
                  <c:v>住房保障支出</c:v>
                </c:pt>
                <c:pt idx="4">
                  <c:v>其他支出</c:v>
                </c:pt>
              </c:strCache>
            </c:strRef>
          </c:cat>
          <c:val>
            <c:numRef>
              <c:f>Sheet1!$C$2:$C$6</c:f>
              <c:numCache>
                <c:formatCode>General</c:formatCode>
                <c:ptCount val="5"/>
                <c:pt idx="0">
                  <c:v>1.36</c:v>
                </c:pt>
                <c:pt idx="1">
                  <c:v>115.33</c:v>
                </c:pt>
                <c:pt idx="2">
                  <c:v>10.14</c:v>
                </c:pt>
                <c:pt idx="3">
                  <c:v>6.79</c:v>
                </c:pt>
                <c:pt idx="4">
                  <c:v>14.41</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1.36</c:v>
                </c:pt>
                <c:pt idx="1">
                  <c:v>1.36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文化旅游体育与传媒支出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2070109</c:v>
                </c:pt>
                <c:pt idx="1">
                  <c:v>2070199</c:v>
                </c:pt>
                <c:pt idx="2">
                  <c:v>207x</c:v>
                </c:pt>
              </c:strCache>
            </c:strRef>
          </c:cat>
          <c:val>
            <c:numRef>
              <c:f>Sheet1!$B$2:$B$4</c:f>
              <c:numCache>
                <c:formatCode>General</c:formatCode>
                <c:ptCount val="3"/>
                <c:pt idx="0">
                  <c:v>103.62</c:v>
                </c:pt>
                <c:pt idx="1">
                  <c:v>11.71</c:v>
                </c:pt>
                <c:pt idx="2">
                  <c:v>115.33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10.14</c:v>
                </c:pt>
                <c:pt idx="1">
                  <c:v>10.14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6.79</c:v>
                </c:pt>
                <c:pt idx="1">
                  <c:v>6.79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14.41</c:v>
                </c:pt>
                <c:pt idx="1">
                  <c:v>14.41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30.68</c:v>
                </c:pt>
                <c:pt idx="1">
                  <c:v>1.68</c:v>
                </c:pt>
                <c:pt idx="2">
                  <c:v>6.9</c:v>
                </c:pt>
                <c:pt idx="3">
                  <c:v>1.4</c:v>
                </c:pt>
                <c:pt idx="4">
                  <c:v>12.89</c:v>
                </c:pt>
                <c:pt idx="5">
                  <c:v>10.14</c:v>
                </c:pt>
                <c:pt idx="6">
                  <c:v>0</c:v>
                </c:pt>
                <c:pt idx="7">
                  <c:v>4.25</c:v>
                </c:pt>
                <c:pt idx="8">
                  <c:v>0</c:v>
                </c:pt>
                <c:pt idx="9">
                  <c:v>0.27</c:v>
                </c:pt>
                <c:pt idx="10">
                  <c:v>6.79</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0.11</c:v>
                </c:pt>
                <c:pt idx="1">
                  <c:v>0</c:v>
                </c:pt>
                <c:pt idx="2">
                  <c:v>0</c:v>
                </c:pt>
                <c:pt idx="3">
                  <c:v>0</c:v>
                </c:pt>
                <c:pt idx="4">
                  <c:v>0.09</c:v>
                </c:pt>
                <c:pt idx="5">
                  <c:v>0.49</c:v>
                </c:pt>
                <c:pt idx="6">
                  <c:v>1.02</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1.36</c:v>
                </c:pt>
                <c:pt idx="22">
                  <c:v>0</c:v>
                </c:pt>
                <c:pt idx="23">
                  <c:v>0.13</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0</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2023-11-21T01:38:00Z</cp:lastPrinted>
  <dcterms:modified xsi:type="dcterms:W3CDTF">2023-11-28T09:42:00Z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