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环江毛南族自治县图书馆</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环江毛南族自治县图书馆</w:t>
      </w:r>
      <w:r>
        <w:rPr>
          <w:rFonts w:hint="eastAsia" w:ascii="黑体" w:hAnsi="黑体" w:eastAsia="黑体" w:cs="黑体"/>
          <w:sz w:val="32"/>
          <w:szCs w:val="32"/>
          <w:highlight w:val="none"/>
        </w:rPr>
        <w:t>概况</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环江毛南族自治县图书馆</w:t>
      </w:r>
      <w:r>
        <w:rPr>
          <w:rFonts w:hint="eastAsia" w:ascii="黑体" w:hAnsi="黑体" w:eastAsia="黑体" w:cs="黑体"/>
          <w:sz w:val="32"/>
          <w:szCs w:val="32"/>
          <w:highlight w:val="none"/>
        </w:rPr>
        <w:t>2022年度部门决算报表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环江毛南族自治县图书馆</w:t>
      </w:r>
      <w:r>
        <w:rPr>
          <w:rFonts w:hint="eastAsia" w:ascii="黑体" w:hAnsi="黑体" w:eastAsia="黑体" w:cs="黑体"/>
          <w:sz w:val="32"/>
          <w:szCs w:val="32"/>
          <w:highlight w:val="none"/>
        </w:rPr>
        <w:t>2022年度部门决算情况说明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环江毛南族自治县图书馆</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jc w:val="left"/>
        <w:rPr>
          <w:rFonts w:hint="eastAsia" w:ascii="仿宋" w:hAnsi="仿宋" w:eastAsia="仿宋" w:cs="仿宋"/>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环江毛南族自治县图书馆</w:t>
      </w:r>
      <w:r>
        <w:rPr>
          <w:rFonts w:hint="eastAsia" w:ascii="仿宋_GB2312" w:hAnsi="仿宋_GB2312" w:eastAsia="仿宋_GB2312" w:cs="仿宋_GB2312"/>
          <w:color w:val="000000" w:themeColor="text1"/>
          <w:sz w:val="32"/>
          <w:szCs w:val="32"/>
          <w14:textFill>
            <w14:solidFill>
              <w14:schemeClr w14:val="tx1"/>
            </w14:solidFill>
          </w14:textFill>
        </w:rPr>
        <w:t>的主要职能是：</w:t>
      </w:r>
      <w:r>
        <w:rPr>
          <w:rFonts w:hint="eastAsia" w:ascii="仿宋_GB2312" w:hAnsi="仿宋_GB2312" w:eastAsia="仿宋_GB2312" w:cs="仿宋_GB2312"/>
          <w:sz w:val="32"/>
          <w:szCs w:val="32"/>
          <w:highlight w:val="none"/>
          <w:lang w:eastAsia="zh-CN"/>
        </w:rPr>
        <w:t>专门从事文献资料的收集、整理、保存以及传播，并对其管理的文献资料加以利用，服务于广大社会群众的科学、文化、教育和科研机构。保存人类文化遗产、传递科学知识信息、实施社会教育、开发智力资源。</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没有下属单位，按照部门决算编报要求，单独编制本</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决算。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环江毛南族自治县图书馆是财政全额拨款副科级公益性一类事业单位，内设置有办公室、财务室、采编室。</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587" w:bottom="1440" w:left="1587" w:header="851" w:footer="992" w:gutter="0"/>
          <w:cols w:space="425" w:num="1"/>
          <w:docGrid w:type="lines" w:linePitch="312" w:charSpace="0"/>
        </w:sectPr>
      </w:pPr>
    </w:p>
    <w:p>
      <w:pPr>
        <w:ind w:firstLine="1600" w:firstLineChars="5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环江毛南族自治县图书馆</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135.63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135.63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图书馆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74.52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74.52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135.63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85.40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50.23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36.18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图书馆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74.52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10.39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25.79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8.04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14.06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100.31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100.31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15.46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135.63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135.63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135.63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135.63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85.40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50.23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100.31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文化和旅游</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100.31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36.18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图书馆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74.52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10.39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其他文化和旅游支出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25.79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25.79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14.06</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78.95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7.56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0.62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81.75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3.65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环江毛南族自治县图书馆</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0.62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0.62</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0.62</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0.62</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0.62</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0.62</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环江毛南族自治县图书馆</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135.63</w:t>
      </w:r>
      <w:r>
        <w:rPr>
          <w:rFonts w:hint="eastAsia" w:ascii="仿宋" w:hAnsi="仿宋" w:eastAsia="仿宋" w:cs="仿宋"/>
          <w:sz w:val="32"/>
          <w:szCs w:val="32"/>
          <w:highlight w:val="none"/>
        </w:rPr>
        <w:t>万元，较2021年度决算数</w:t>
      </w:r>
      <w:r>
        <w:rPr>
          <w:rFonts w:ascii="仿宋" w:hAnsi="仿宋" w:eastAsia="仿宋" w:cs="仿宋"/>
          <w:sz w:val="32"/>
          <w:u w:color="auto"/>
        </w:rPr>
        <w:t>增加0.69</w:t>
      </w:r>
      <w:r>
        <w:rPr>
          <w:rFonts w:hint="eastAsia" w:ascii="仿宋" w:hAnsi="仿宋" w:eastAsia="仿宋" w:cs="仿宋"/>
          <w:sz w:val="32"/>
          <w:szCs w:val="32"/>
          <w:highlight w:val="none"/>
        </w:rPr>
        <w:t>万元，</w:t>
      </w:r>
      <w:r>
        <w:rPr>
          <w:rFonts w:ascii="仿宋" w:hAnsi="仿宋" w:eastAsia="仿宋" w:cs="仿宋"/>
          <w:sz w:val="32"/>
          <w:u w:color="auto"/>
        </w:rPr>
        <w:t>增长0.51%</w:t>
      </w:r>
      <w:r>
        <w:rPr>
          <w:rFonts w:hint="eastAsia" w:ascii="仿宋" w:hAnsi="仿宋" w:eastAsia="仿宋" w:cs="仿宋"/>
          <w:sz w:val="32"/>
          <w:szCs w:val="32"/>
          <w:highlight w:val="none"/>
        </w:rPr>
        <w:t>，其中本年收入</w:t>
      </w:r>
      <w:r>
        <w:rPr>
          <w:rFonts w:ascii="仿宋" w:hAnsi="仿宋" w:eastAsia="仿宋" w:cs="仿宋"/>
          <w:sz w:val="32"/>
          <w:u w:color="auto"/>
        </w:rPr>
        <w:t>135.63</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135.63</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增加13.52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增长11.07%</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主要原因：工资福利增加，奖励性补贴增加。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kern w:val="2"/>
          <w:sz w:val="32"/>
          <w:szCs w:val="32"/>
          <w:highlight w:val="none"/>
          <w:lang w:val="en-US" w:eastAsia="zh-CN" w:bidi="ar"/>
        </w:rPr>
        <w:t>政府性基金预算财政拨款收入</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减少12.83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24866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135.63</w:t>
      </w:r>
      <w:r>
        <w:rPr>
          <w:rFonts w:hint="eastAsia" w:ascii="仿宋" w:hAnsi="仿宋" w:eastAsia="仿宋" w:cs="仿宋"/>
          <w:sz w:val="32"/>
          <w:szCs w:val="32"/>
          <w:highlight w:val="none"/>
        </w:rPr>
        <w:t>万元，其中本年支出</w:t>
      </w:r>
      <w:r>
        <w:rPr>
          <w:rFonts w:ascii="仿宋" w:hAnsi="仿宋" w:eastAsia="仿宋" w:cs="仿宋"/>
          <w:sz w:val="32"/>
          <w:u w:color="auto"/>
        </w:rPr>
        <w:t>135.63</w:t>
      </w:r>
      <w:r>
        <w:rPr>
          <w:rFonts w:hint="eastAsia" w:ascii="仿宋" w:hAnsi="仿宋" w:eastAsia="仿宋" w:cs="仿宋"/>
          <w:sz w:val="32"/>
          <w:szCs w:val="32"/>
          <w:highlight w:val="none"/>
        </w:rPr>
        <w:t>万元，较2021年度决算数</w:t>
      </w:r>
      <w:r>
        <w:rPr>
          <w:rFonts w:ascii="仿宋" w:hAnsi="仿宋" w:eastAsia="仿宋" w:cs="仿宋"/>
          <w:sz w:val="32"/>
          <w:u w:color="auto"/>
        </w:rPr>
        <w:t>增加0.69</w:t>
      </w:r>
      <w:r>
        <w:rPr>
          <w:rFonts w:hint="eastAsia" w:ascii="仿宋" w:hAnsi="仿宋" w:eastAsia="仿宋" w:cs="仿宋"/>
          <w:sz w:val="32"/>
          <w:szCs w:val="32"/>
          <w:highlight w:val="none"/>
        </w:rPr>
        <w:t>万元，</w:t>
      </w:r>
      <w:r>
        <w:rPr>
          <w:rFonts w:ascii="仿宋" w:hAnsi="仿宋" w:eastAsia="仿宋" w:cs="仿宋"/>
          <w:sz w:val="32"/>
          <w:u w:color="auto"/>
        </w:rPr>
        <w:t>增长0.51%</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1.35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工会活动经费支出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2022年工会活动经费由单位支出。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100.31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单位运行、文化惠民活动支出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增加5.58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增长5.89%</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主要原因是：保障单位运行、文化惠民活动增加，经费支出增长</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10.47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用于支付养老保险缴费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减少0.05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下降0.48%</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主要原因是：有在职职工转退休，养老保险支出减少。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8.04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用于支付职工住房公积金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增加0.10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增长1.26%</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主要原因是：工资福利待遇增加，故住房公积金支出增加。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15.46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：职工</w:t>
      </w:r>
      <w:r>
        <w:rPr>
          <w:rFonts w:hint="eastAsia" w:ascii="仿宋" w:hAnsi="仿宋" w:eastAsia="仿宋" w:cs="仿宋"/>
          <w:color w:val="auto"/>
          <w:sz w:val="32"/>
          <w:szCs w:val="32"/>
          <w:highlight w:val="none"/>
          <w:lang w:val="en-US" w:eastAsia="zh-CN"/>
        </w:rPr>
        <w:t>奖励性补贴支出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减少6.30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下降28.95%</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有在职人员转退休，奖励性补贴支出减少。</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color w:val="000000" w:themeColor="text1"/>
          <w:sz w:val="32"/>
          <w:szCs w:val="32"/>
          <w:highlight w:val="none"/>
          <w:lang w:val="en-US" w:eastAsia="zh-CN" w:bidi="ar"/>
          <w14:textFill>
            <w14:solidFill>
              <w14:schemeClr w14:val="tx1"/>
            </w14:solidFill>
          </w14:textFill>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：本单位无结余分配资金。</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主要原因是：本单位无年末结转和结余资金。</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51350" cy="2689225"/>
            <wp:effectExtent l="4445" t="4445" r="2095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环江毛南族自治县图书馆2022年度一般公共预算财政拨款支出</w:t>
      </w:r>
      <w:r>
        <w:rPr>
          <w:rFonts w:ascii="仿宋" w:hAnsi="仿宋" w:eastAsia="仿宋" w:cs="仿宋"/>
          <w:sz w:val="32"/>
          <w:u w:color="auto"/>
        </w:rPr>
        <w:t>135.63</w:t>
      </w:r>
      <w:r>
        <w:rPr>
          <w:rFonts w:hint="eastAsia" w:ascii="仿宋" w:hAnsi="仿宋" w:eastAsia="仿宋" w:cs="仿宋"/>
          <w:sz w:val="32"/>
          <w:szCs w:val="32"/>
          <w:highlight w:val="none"/>
        </w:rPr>
        <w:t>万元，较2021年度决算数</w:t>
      </w:r>
      <w:r>
        <w:rPr>
          <w:rFonts w:ascii="仿宋" w:hAnsi="仿宋" w:eastAsia="仿宋" w:cs="仿宋"/>
          <w:sz w:val="32"/>
          <w:u w:color="auto"/>
        </w:rPr>
        <w:t>增加0.69</w:t>
      </w:r>
      <w:r>
        <w:rPr>
          <w:rFonts w:hint="eastAsia" w:ascii="仿宋" w:hAnsi="仿宋" w:eastAsia="仿宋" w:cs="仿宋"/>
          <w:sz w:val="32"/>
          <w:szCs w:val="32"/>
          <w:highlight w:val="none"/>
        </w:rPr>
        <w:t>万元，</w:t>
      </w:r>
      <w:r>
        <w:rPr>
          <w:rFonts w:ascii="仿宋" w:hAnsi="仿宋" w:eastAsia="仿宋" w:cs="仿宋"/>
          <w:sz w:val="32"/>
          <w:u w:color="auto"/>
        </w:rPr>
        <w:t>增长0.51%</w:t>
      </w:r>
      <w:r>
        <w:rPr>
          <w:rFonts w:hint="eastAsia" w:ascii="仿宋" w:hAnsi="仿宋" w:eastAsia="仿宋" w:cs="仿宋"/>
          <w:sz w:val="32"/>
          <w:szCs w:val="32"/>
          <w:highlight w:val="none"/>
        </w:rPr>
        <w:t>。其中：基本支出</w:t>
      </w:r>
      <w:r>
        <w:rPr>
          <w:rFonts w:ascii="仿宋" w:hAnsi="仿宋" w:eastAsia="仿宋" w:cs="仿宋"/>
          <w:sz w:val="32"/>
          <w:u w:color="auto"/>
        </w:rPr>
        <w:t>85.40</w:t>
      </w:r>
      <w:r>
        <w:rPr>
          <w:rFonts w:hint="eastAsia" w:ascii="仿宋" w:hAnsi="仿宋" w:eastAsia="仿宋" w:cs="仿宋"/>
          <w:sz w:val="32"/>
          <w:szCs w:val="32"/>
          <w:highlight w:val="none"/>
        </w:rPr>
        <w:t>万元，项目支出</w:t>
      </w:r>
      <w:r>
        <w:rPr>
          <w:rFonts w:ascii="仿宋" w:hAnsi="仿宋" w:eastAsia="仿宋" w:cs="仿宋"/>
          <w:sz w:val="32"/>
          <w:u w:color="auto"/>
        </w:rPr>
        <w:t>50.23</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环江毛南族自治县图书馆2022 年度一般公共预算财政拨款支出年初预算为</w:t>
      </w:r>
      <w:r>
        <w:rPr>
          <w:rFonts w:ascii="仿宋" w:hAnsi="仿宋" w:eastAsia="仿宋" w:cs="仿宋"/>
          <w:sz w:val="32"/>
          <w:u w:color="auto"/>
        </w:rPr>
        <w:t>96.76</w:t>
      </w:r>
      <w:r>
        <w:rPr>
          <w:rFonts w:hint="eastAsia" w:ascii="仿宋" w:hAnsi="仿宋" w:eastAsia="仿宋" w:cs="仿宋"/>
          <w:sz w:val="32"/>
          <w:szCs w:val="32"/>
          <w:highlight w:val="none"/>
        </w:rPr>
        <w:t>万元，支出决算为</w:t>
      </w:r>
      <w:r>
        <w:rPr>
          <w:rFonts w:ascii="仿宋" w:hAnsi="仿宋" w:eastAsia="仿宋" w:cs="仿宋"/>
          <w:sz w:val="32"/>
          <w:u w:color="auto"/>
        </w:rPr>
        <w:t>135.63</w:t>
      </w:r>
      <w:r>
        <w:rPr>
          <w:rFonts w:hint="eastAsia" w:ascii="仿宋" w:hAnsi="仿宋" w:eastAsia="仿宋" w:cs="仿宋"/>
          <w:sz w:val="32"/>
          <w:szCs w:val="32"/>
          <w:highlight w:val="none"/>
        </w:rPr>
        <w:t>万元，完成年初预算的</w:t>
      </w:r>
      <w:r>
        <w:rPr>
          <w:rFonts w:ascii="仿宋" w:hAnsi="仿宋" w:eastAsia="仿宋" w:cs="仿宋"/>
          <w:sz w:val="32"/>
          <w:u w:color="auto"/>
        </w:rPr>
        <w:t>140.17%</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1.35</w:t>
      </w:r>
      <w:r>
        <w:rPr>
          <w:rFonts w:hint="eastAsia" w:ascii="仿宋" w:hAnsi="仿宋" w:eastAsia="仿宋"/>
          <w:sz w:val="32"/>
          <w:szCs w:val="32"/>
          <w:highlight w:val="none"/>
        </w:rPr>
        <w:t>万元，支出决算为</w:t>
      </w:r>
      <w:r>
        <w:rPr>
          <w:rFonts w:ascii="仿宋" w:hAnsi="仿宋" w:eastAsia="仿宋"/>
          <w:sz w:val="32"/>
          <w:szCs w:val="32"/>
          <w:highlight w:val="none"/>
        </w:rPr>
        <w:t>1.35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2022年预算无工会经费，决算时单位有工会经费的支出。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单位工会费支出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2022年预算无工会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文化旅游体育与传媒支出</w:t>
      </w:r>
      <w:r>
        <w:rPr>
          <w:rFonts w:ascii="仿宋" w:hAnsi="仿宋" w:eastAsia="仿宋"/>
          <w:sz w:val="32"/>
          <w:u w:color="auto"/>
        </w:rPr>
        <w:t>（207</w:t>
      </w:r>
      <w:r>
        <w:rPr>
          <w:rFonts w:hint="eastAsia" w:ascii="仿宋" w:hAnsi="仿宋" w:eastAsia="仿宋"/>
          <w:sz w:val="32"/>
          <w:szCs w:val="32"/>
          <w:highlight w:val="none"/>
        </w:rPr>
        <w:t>类）年初预算为</w:t>
      </w:r>
      <w:r>
        <w:rPr>
          <w:rFonts w:ascii="仿宋" w:hAnsi="仿宋" w:eastAsia="仿宋"/>
          <w:sz w:val="32"/>
          <w:szCs w:val="32"/>
          <w:highlight w:val="none"/>
        </w:rPr>
        <w:t>76.46</w:t>
      </w:r>
      <w:r>
        <w:rPr>
          <w:rFonts w:hint="eastAsia" w:ascii="仿宋" w:hAnsi="仿宋" w:eastAsia="仿宋"/>
          <w:sz w:val="32"/>
          <w:szCs w:val="32"/>
          <w:highlight w:val="none"/>
        </w:rPr>
        <w:t>万元，支出决算为</w:t>
      </w:r>
      <w:r>
        <w:rPr>
          <w:rFonts w:ascii="仿宋" w:hAnsi="仿宋" w:eastAsia="仿宋"/>
          <w:sz w:val="32"/>
          <w:szCs w:val="32"/>
          <w:highlight w:val="none"/>
        </w:rPr>
        <w:t>100.31</w:t>
      </w:r>
      <w:r>
        <w:rPr>
          <w:rFonts w:hint="eastAsia" w:ascii="仿宋" w:hAnsi="仿宋" w:eastAsia="仿宋"/>
          <w:sz w:val="32"/>
          <w:szCs w:val="32"/>
          <w:highlight w:val="none"/>
        </w:rPr>
        <w:t>万元，完成年初预算的</w:t>
      </w:r>
      <w:r>
        <w:rPr>
          <w:rFonts w:ascii="仿宋" w:hAnsi="仿宋" w:eastAsia="仿宋"/>
          <w:sz w:val="32"/>
          <w:szCs w:val="32"/>
          <w:highlight w:val="none"/>
        </w:rPr>
        <w:t>131.19%</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免费开放经费为上级经费，不在年初预算内，故预决算出现差异。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图书馆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74.52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97.46%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单位运行、文化惠民活动费支出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部分项目未支付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其他文化和旅游支出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25.79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场馆免费开放支出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年初预算无免费开放资金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082165"/>
            <wp:effectExtent l="5080" t="4445" r="15875" b="889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10.83</w:t>
      </w:r>
      <w:r>
        <w:rPr>
          <w:rFonts w:hint="eastAsia" w:ascii="仿宋" w:hAnsi="仿宋" w:eastAsia="仿宋"/>
          <w:sz w:val="32"/>
          <w:szCs w:val="32"/>
          <w:highlight w:val="none"/>
        </w:rPr>
        <w:t>万元，支出决算为</w:t>
      </w:r>
      <w:r>
        <w:rPr>
          <w:rFonts w:ascii="仿宋" w:hAnsi="仿宋" w:eastAsia="仿宋"/>
          <w:sz w:val="32"/>
          <w:szCs w:val="32"/>
          <w:highlight w:val="none"/>
        </w:rPr>
        <w:t>10.47</w:t>
      </w:r>
      <w:r>
        <w:rPr>
          <w:rFonts w:hint="eastAsia" w:ascii="仿宋" w:hAnsi="仿宋" w:eastAsia="仿宋"/>
          <w:sz w:val="32"/>
          <w:szCs w:val="32"/>
          <w:highlight w:val="none"/>
        </w:rPr>
        <w:t>万元，完成年初预算的</w:t>
      </w:r>
      <w:r>
        <w:rPr>
          <w:rFonts w:ascii="仿宋" w:hAnsi="仿宋" w:eastAsia="仿宋"/>
          <w:sz w:val="32"/>
          <w:szCs w:val="32"/>
          <w:highlight w:val="none"/>
        </w:rPr>
        <w:t>96.68%</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有在职人员退休，养老保险支出减少。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96.68%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在职人员退休，养老保险支出减少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844800"/>
            <wp:effectExtent l="4445" t="4445" r="16510" b="825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8.12</w:t>
      </w:r>
      <w:r>
        <w:rPr>
          <w:rFonts w:hint="eastAsia" w:ascii="仿宋" w:hAnsi="仿宋" w:eastAsia="仿宋"/>
          <w:sz w:val="32"/>
          <w:szCs w:val="32"/>
          <w:highlight w:val="none"/>
        </w:rPr>
        <w:t>万元，支出决算为</w:t>
      </w:r>
      <w:r>
        <w:rPr>
          <w:rFonts w:ascii="仿宋" w:hAnsi="仿宋" w:eastAsia="仿宋"/>
          <w:sz w:val="32"/>
          <w:szCs w:val="32"/>
          <w:highlight w:val="none"/>
        </w:rPr>
        <w:t>8.04</w:t>
      </w:r>
      <w:r>
        <w:rPr>
          <w:rFonts w:hint="eastAsia" w:ascii="仿宋" w:hAnsi="仿宋" w:eastAsia="仿宋"/>
          <w:sz w:val="32"/>
          <w:szCs w:val="32"/>
          <w:highlight w:val="none"/>
        </w:rPr>
        <w:t>万元，完成年初预算的</w:t>
      </w:r>
      <w:r>
        <w:rPr>
          <w:rFonts w:ascii="仿宋" w:hAnsi="仿宋" w:eastAsia="仿宋"/>
          <w:sz w:val="32"/>
          <w:szCs w:val="32"/>
          <w:highlight w:val="none"/>
        </w:rPr>
        <w:t>99.01%</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有在职人员退休，住房公积金支出减少。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99.01%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有在职人员退休，住房公积金支出减少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15.46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原因是：其他支出为奖励性补贴，年初预算时无预算</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奖励性补贴支出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年初预算无此项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15.46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环江毛南族自治县图书馆2022年度一般公共预算财政拨款基本支出</w:t>
      </w:r>
      <w:r>
        <w:rPr>
          <w:rFonts w:ascii="仿宋" w:hAnsi="仿宋" w:eastAsia="仿宋" w:cs="仿宋"/>
          <w:sz w:val="32"/>
          <w:u w:color="auto"/>
        </w:rPr>
        <w:t>85.40</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81.75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3.65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工资福利支出</w:t>
      </w:r>
      <w:r>
        <w:rPr>
          <w:rFonts w:ascii="仿宋" w:hAnsi="仿宋" w:eastAsia="仿宋" w:cs="仿宋"/>
          <w:sz w:val="32"/>
          <w:u w:color="auto"/>
        </w:rPr>
        <w:t>78.95万元，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101.86%</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主要原因是：职工工资福利增加。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31.03万元，30102津贴补贴1.77万元，30103奖金7.56万元，30106伙食补助费1.40万元，30107绩效工资13.93万元，30108机关事业单位基本养老保险缴费10.47万元，30110职工基本医疗保险缴费4.43万元，30112其他社会保障缴费0.32万元，30113住房公积金8.04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21000"/>
            <wp:effectExtent l="4445" t="4445" r="16510" b="825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3.65万元，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91.71%</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部分项目未能支付。</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30205水费0.10万元，30206电费0.39万元，30211差旅费1.16万元，30228工会经费1.35万元，30231公务用车运行维护费0.62万元，30299其他商品和服务支出0.03万元。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68625"/>
            <wp:effectExtent l="4445" t="4445" r="16510"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对个人和家庭的补助</w:t>
      </w:r>
      <w:r>
        <w:rPr>
          <w:rFonts w:ascii="仿宋" w:hAnsi="仿宋" w:eastAsia="仿宋" w:cs="仿宋"/>
          <w:sz w:val="32"/>
          <w:u w:color="auto"/>
        </w:rPr>
        <w:t>2.79万元，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101.45%</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主要原因是：遗嘱补助发放标准提高。</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30305生活补助2.79万元。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58465"/>
            <wp:effectExtent l="4445" t="4445" r="16510" b="889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资本性支出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40025"/>
            <wp:effectExtent l="4445" t="4445" r="16510" b="1778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环江毛南族自治县图书馆</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环江毛南族自治县图书馆</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0.62</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65.26%</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增加0.51</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主要原因是：公务用车的维修及保险的支出。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0.62</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个所属单位出国团组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0.62</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主要原因是</w:t>
      </w:r>
      <w:r>
        <w:rPr>
          <w:rFonts w:hint="eastAsia" w:ascii="仿宋" w:hAnsi="仿宋" w:eastAsia="仿宋" w:cs="仿宋"/>
          <w:color w:val="000000" w:themeColor="text1"/>
          <w:sz w:val="32"/>
          <w:szCs w:val="32"/>
          <w:lang w:val="en-US" w:eastAsia="zh-CN"/>
          <w14:textFill>
            <w14:solidFill>
              <w14:schemeClr w14:val="tx1"/>
            </w14:solidFill>
          </w14:textFill>
        </w:rPr>
        <w:t>公务用车的日常维护保养及购买保险支出</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0.62</w:t>
      </w:r>
      <w:r>
        <w:rPr>
          <w:rFonts w:hint="eastAsia" w:ascii="仿宋" w:hAnsi="仿宋" w:eastAsia="仿宋" w:cs="仿宋"/>
          <w:sz w:val="32"/>
          <w:szCs w:val="32"/>
          <w:highlight w:val="none"/>
        </w:rPr>
        <w:t>万元，完成年初预算的</w:t>
      </w:r>
      <w:r>
        <w:rPr>
          <w:rFonts w:ascii="仿宋" w:hAnsi="仿宋" w:eastAsia="仿宋" w:cs="仿宋"/>
          <w:sz w:val="32"/>
          <w:u w:color="auto"/>
        </w:rPr>
        <w:t>65.26%</w:t>
      </w:r>
      <w:r>
        <w:rPr>
          <w:rFonts w:hint="eastAsia" w:ascii="仿宋" w:hAnsi="仿宋" w:eastAsia="仿宋" w:cs="仿宋"/>
          <w:sz w:val="32"/>
          <w:szCs w:val="32"/>
          <w:highlight w:val="none"/>
        </w:rPr>
        <w:t>，比上年</w:t>
      </w:r>
      <w:r>
        <w:rPr>
          <w:rFonts w:ascii="仿宋" w:hAnsi="仿宋" w:eastAsia="仿宋" w:cs="仿宋"/>
          <w:sz w:val="32"/>
          <w:u w:color="auto"/>
        </w:rPr>
        <w:t>增加0.51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eastAsia" w:ascii="仿宋" w:hAnsi="仿宋" w:eastAsia="仿宋" w:cs="仿宋"/>
          <w:color w:val="000000" w:themeColor="text1"/>
          <w:sz w:val="32"/>
          <w:szCs w:val="32"/>
          <w:highlight w:val="none"/>
          <w14:textFill>
            <w14:solidFill>
              <w14:schemeClr w14:val="tx1"/>
            </w14:solidFill>
          </w14:textFill>
        </w:rPr>
        <w:t>内开展</w:t>
      </w:r>
      <w:r>
        <w:rPr>
          <w:rFonts w:hint="eastAsia" w:ascii="仿宋" w:hAnsi="仿宋" w:eastAsia="仿宋" w:cs="仿宋"/>
          <w:color w:val="000000" w:themeColor="text1"/>
          <w:sz w:val="32"/>
          <w:szCs w:val="32"/>
          <w:highlight w:val="none"/>
          <w:lang w:val="en-US" w:eastAsia="zh-CN"/>
          <w14:textFill>
            <w14:solidFill>
              <w14:schemeClr w14:val="tx1"/>
            </w14:solidFill>
          </w14:textFill>
        </w:rPr>
        <w:t>送书下乡</w:t>
      </w:r>
      <w:r>
        <w:rPr>
          <w:rFonts w:hint="eastAsia" w:ascii="仿宋" w:hAnsi="仿宋" w:eastAsia="仿宋" w:cs="仿宋"/>
          <w:color w:val="000000" w:themeColor="text1"/>
          <w:sz w:val="32"/>
          <w:szCs w:val="32"/>
          <w:highlight w:val="none"/>
          <w14:textFill>
            <w14:solidFill>
              <w14:schemeClr w14:val="tx1"/>
            </w14:solidFill>
          </w14:textFill>
        </w:rPr>
        <w:t>业务所需车辆燃料费、维修费、保险费等。</w:t>
      </w:r>
      <w:r>
        <w:rPr>
          <w:rFonts w:hint="eastAsia" w:ascii="仿宋" w:hAnsi="仿宋" w:eastAsia="仿宋" w:cs="仿宋"/>
          <w:sz w:val="32"/>
          <w:szCs w:val="32"/>
          <w:highlight w:val="none"/>
        </w:rPr>
        <w:t>2022年，</w:t>
      </w:r>
      <w:r>
        <w:rPr>
          <w:rFonts w:ascii="仿宋" w:hAnsi="仿宋" w:eastAsia="仿宋" w:cs="仿宋"/>
          <w:sz w:val="32"/>
          <w:u w:color="auto"/>
        </w:rPr>
        <w:t>环江毛南族自治县图书馆</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1 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1</w:t>
      </w:r>
      <w:r>
        <w:rPr>
          <w:rFonts w:hint="eastAsia" w:ascii="仿宋" w:hAnsi="仿宋" w:eastAsia="仿宋" w:cs="仿宋"/>
          <w:sz w:val="32"/>
          <w:szCs w:val="32"/>
          <w:highlight w:val="none"/>
        </w:rPr>
        <w:t>辆，全年运行费支出</w:t>
      </w:r>
      <w:r>
        <w:rPr>
          <w:rFonts w:ascii="仿宋" w:hAnsi="仿宋" w:eastAsia="仿宋" w:cs="仿宋"/>
          <w:sz w:val="32"/>
          <w:u w:color="auto"/>
        </w:rPr>
        <w:t>0.62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平均每辆</w:t>
      </w:r>
      <w:bookmarkStart w:id="5" w:name="_GoBack"/>
      <w:bookmarkEnd w:id="5"/>
      <w:r>
        <w:rPr>
          <w:rFonts w:hint="eastAsia" w:ascii="仿宋" w:hAnsi="仿宋" w:eastAsia="仿宋" w:cs="仿宋"/>
          <w:color w:val="000000" w:themeColor="text1"/>
          <w:sz w:val="32"/>
          <w:szCs w:val="32"/>
          <w:highlight w:val="none"/>
          <w:lang w:val="en-US" w:eastAsia="zh-CN"/>
          <w14:textFill>
            <w14:solidFill>
              <w14:schemeClr w14:val="tx1"/>
            </w14:solidFill>
          </w14:textFill>
        </w:rPr>
        <w:t>0.62</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主要原因是：本单位无公务接待。</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减少3.98</w:t>
      </w:r>
      <w:r>
        <w:rPr>
          <w:rFonts w:hint="eastAsia" w:ascii="仿宋" w:hAnsi="仿宋" w:eastAsia="仿宋" w:cs="仿宋"/>
          <w:sz w:val="32"/>
          <w:szCs w:val="32"/>
          <w:highlight w:val="none"/>
        </w:rPr>
        <w:t>万元，</w:t>
      </w:r>
      <w:r>
        <w:rPr>
          <w:rFonts w:ascii="仿宋" w:hAnsi="仿宋" w:eastAsia="仿宋" w:cs="仿宋"/>
          <w:sz w:val="32"/>
          <w:szCs w:val="32"/>
          <w:highlight w:val="none"/>
        </w:rPr>
        <w:t>下降100%</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原因是：办公设施设备购置经费减少、资产运行维护支出减少、落实过紧日子要求压减支出等。</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49.98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60.26</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kern w:val="0"/>
          <w:sz w:val="32"/>
          <w:szCs w:val="32"/>
        </w:rPr>
        <w:t>202</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年度</w:t>
      </w:r>
      <w:r>
        <w:rPr>
          <w:rFonts w:hint="eastAsia" w:ascii="Times New Roman" w:hAnsi="Times New Roman" w:eastAsia="仿宋_GB2312" w:cs="Times New Roman"/>
          <w:b w:val="0"/>
          <w:bCs w:val="0"/>
          <w:kern w:val="0"/>
          <w:sz w:val="32"/>
          <w:szCs w:val="32"/>
          <w:lang w:eastAsia="zh-CN"/>
        </w:rPr>
        <w:t>本单位无政府性基金预算，故无</w:t>
      </w:r>
      <w:r>
        <w:rPr>
          <w:rFonts w:hint="default" w:ascii="Times New Roman" w:hAnsi="Times New Roman" w:eastAsia="仿宋_GB2312" w:cs="Times New Roman"/>
          <w:b w:val="0"/>
          <w:bCs w:val="0"/>
          <w:kern w:val="0"/>
          <w:sz w:val="32"/>
          <w:szCs w:val="32"/>
        </w:rPr>
        <w:t>政府性基金预算项目支出开展绩效自评，共涉及资金</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万元，占政府性基金预算项目支出总额的</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%。202</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年度</w:t>
      </w:r>
      <w:r>
        <w:rPr>
          <w:rFonts w:hint="eastAsia" w:ascii="Times New Roman" w:hAnsi="Times New Roman" w:eastAsia="仿宋_GB2312" w:cs="Times New Roman"/>
          <w:b w:val="0"/>
          <w:bCs w:val="0"/>
          <w:kern w:val="0"/>
          <w:sz w:val="32"/>
          <w:szCs w:val="32"/>
          <w:lang w:eastAsia="zh-CN"/>
        </w:rPr>
        <w:t>本单位无国有资本经营预算，故无</w:t>
      </w:r>
      <w:r>
        <w:rPr>
          <w:rFonts w:hint="default" w:ascii="Times New Roman" w:hAnsi="Times New Roman" w:eastAsia="仿宋_GB2312" w:cs="Times New Roman"/>
          <w:b w:val="0"/>
          <w:bCs w:val="0"/>
          <w:kern w:val="0"/>
          <w:sz w:val="32"/>
          <w:szCs w:val="32"/>
        </w:rPr>
        <w:t>国有资本经营预算项目支出开展绩效自评，共涉及资金</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万元，占国有资本经营预算项目支出总额的</w:t>
      </w:r>
      <w:r>
        <w:rPr>
          <w:rFonts w:hint="eastAsia" w:ascii="Times New Roman" w:hAnsi="Times New Roman" w:eastAsia="仿宋_GB2312" w:cs="Times New Roman"/>
          <w:b w:val="0"/>
          <w:bCs w:val="0"/>
          <w:kern w:val="0"/>
          <w:sz w:val="32"/>
          <w:szCs w:val="32"/>
          <w:lang w:val="en-US" w:eastAsia="zh-CN"/>
        </w:rPr>
        <w:t>0</w:t>
      </w:r>
      <w:r>
        <w:rPr>
          <w:rFonts w:hint="default" w:ascii="Times New Roman" w:hAnsi="Times New Roman" w:eastAsia="仿宋_GB2312" w:cs="Times New Roman"/>
          <w:b w:val="0"/>
          <w:bCs w:val="0"/>
          <w:kern w:val="0"/>
          <w:sz w:val="32"/>
          <w:szCs w:val="32"/>
        </w:rPr>
        <w:t>%</w:t>
      </w:r>
    </w:p>
    <w:p>
      <w:pPr>
        <w:ind w:firstLine="640" w:firstLineChars="200"/>
        <w:jc w:val="left"/>
        <w:rPr>
          <w:rFonts w:hint="eastAsia" w:ascii="仿宋" w:hAnsi="仿宋" w:eastAsia="仿宋_GB2312"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29.35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default" w:ascii="Times New Roman" w:hAnsi="Times New Roman" w:eastAsia="仿宋_GB2312" w:cs="Times New Roman"/>
          <w:b w:val="0"/>
          <w:bCs w:val="0"/>
          <w:kern w:val="0"/>
          <w:sz w:val="32"/>
          <w:szCs w:val="32"/>
        </w:rPr>
        <w:t>通过开展日常工作：用于办公费</w:t>
      </w:r>
      <w:r>
        <w:rPr>
          <w:rFonts w:hint="eastAsia"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印刷费、差旅费、会议培训费等日常运行工作，完成各项业务工作</w:t>
      </w:r>
      <w:r>
        <w:rPr>
          <w:rFonts w:hint="eastAsia" w:ascii="Times New Roman" w:hAnsi="Times New Roman" w:eastAsia="仿宋_GB2312" w:cs="Times New Roman"/>
          <w:b w:val="0"/>
          <w:bCs w:val="0"/>
          <w:kern w:val="0"/>
          <w:sz w:val="32"/>
          <w:szCs w:val="32"/>
          <w:lang w:eastAsia="zh-CN"/>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保安经费项目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lang w:eastAsia="zh-CN"/>
          <w14:textFill>
            <w14:solidFill>
              <w14:schemeClr w14:val="tx1"/>
            </w14:solidFill>
          </w14:textFill>
        </w:rPr>
        <w:t>专项业务费</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88.54</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eastAsia="zh-CN"/>
          <w14:textFill>
            <w14:solidFill>
              <w14:schemeClr w14:val="tx1"/>
            </w14:solidFill>
          </w14:textFill>
        </w:rPr>
        <w:t>业务开展不及时</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部分业务开展后未能及时支付</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eastAsia="zh-CN"/>
          <w14:textFill>
            <w14:solidFill>
              <w14:schemeClr w14:val="tx1"/>
            </w14:solidFill>
          </w14:textFill>
        </w:rPr>
        <w:t>完善各项业务的开展计划</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业务开展后及时支付款项；公共图书馆免费开放专项资金</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97.51</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eastAsia="zh-CN"/>
          <w14:textFill>
            <w14:solidFill>
              <w14:schemeClr w14:val="tx1"/>
            </w14:solidFill>
          </w14:textFill>
        </w:rPr>
        <w:t>部分业务开展后未能及时支付。</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eastAsia="zh-CN"/>
          <w14:textFill>
            <w14:solidFill>
              <w14:schemeClr w14:val="tx1"/>
            </w14:solidFill>
          </w14:textFill>
        </w:rPr>
        <w:t>完善各项业务的开展计划</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业务开展后及时支付款项；奖励性补贴</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电梯维护费</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免费开放县级配套资金</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90.46</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eastAsia="zh-CN"/>
          <w14:textFill>
            <w14:solidFill>
              <w14:schemeClr w14:val="tx1"/>
            </w14:solidFill>
          </w14:textFill>
        </w:rPr>
        <w:t>免费开放活动开展不及时，部分业务开展后未能及时支付</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eastAsia="zh-CN"/>
          <w14:textFill>
            <w14:solidFill>
              <w14:schemeClr w14:val="tx1"/>
            </w14:solidFill>
          </w14:textFill>
        </w:rPr>
        <w:t>完善各项业务的开展计划及时开展活动</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业务开展后及时支付款项；图书购置费</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NDJlMGQ2ZjdmMTgxMzU4NjJjNjBhMjNiMzg3Nm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84B36C3"/>
    <w:rsid w:val="084D7140"/>
    <w:rsid w:val="0942143F"/>
    <w:rsid w:val="0ACC6482"/>
    <w:rsid w:val="0D100297"/>
    <w:rsid w:val="0D202B45"/>
    <w:rsid w:val="0E8B742D"/>
    <w:rsid w:val="0F8D4C87"/>
    <w:rsid w:val="10505FAA"/>
    <w:rsid w:val="105F7E7E"/>
    <w:rsid w:val="11BC28CE"/>
    <w:rsid w:val="11E56B5B"/>
    <w:rsid w:val="123957CC"/>
    <w:rsid w:val="125C77AB"/>
    <w:rsid w:val="13C55F7C"/>
    <w:rsid w:val="14CB726E"/>
    <w:rsid w:val="169173BC"/>
    <w:rsid w:val="17E92249"/>
    <w:rsid w:val="18D304F1"/>
    <w:rsid w:val="19F32577"/>
    <w:rsid w:val="19F45B80"/>
    <w:rsid w:val="1A2F4EE2"/>
    <w:rsid w:val="1A8C7197"/>
    <w:rsid w:val="1B0C078D"/>
    <w:rsid w:val="1B2B31E2"/>
    <w:rsid w:val="1B4C295A"/>
    <w:rsid w:val="1B973C63"/>
    <w:rsid w:val="1BA1001E"/>
    <w:rsid w:val="1C0D3DD3"/>
    <w:rsid w:val="1D317259"/>
    <w:rsid w:val="1DA44905"/>
    <w:rsid w:val="1E664F5B"/>
    <w:rsid w:val="1EB34BE1"/>
    <w:rsid w:val="1F295F43"/>
    <w:rsid w:val="215E639F"/>
    <w:rsid w:val="21EC3183"/>
    <w:rsid w:val="225E72CD"/>
    <w:rsid w:val="236E2ABD"/>
    <w:rsid w:val="23735317"/>
    <w:rsid w:val="23BF2680"/>
    <w:rsid w:val="246E2F77"/>
    <w:rsid w:val="254B4E2B"/>
    <w:rsid w:val="283D7C94"/>
    <w:rsid w:val="286602E5"/>
    <w:rsid w:val="29480E03"/>
    <w:rsid w:val="2983634D"/>
    <w:rsid w:val="2AF35FD0"/>
    <w:rsid w:val="2BB02055"/>
    <w:rsid w:val="2C575A56"/>
    <w:rsid w:val="2F257714"/>
    <w:rsid w:val="2F3275E5"/>
    <w:rsid w:val="30AA08EF"/>
    <w:rsid w:val="30D23D1C"/>
    <w:rsid w:val="30E24E51"/>
    <w:rsid w:val="31221CF5"/>
    <w:rsid w:val="31400178"/>
    <w:rsid w:val="321E3342"/>
    <w:rsid w:val="327759C8"/>
    <w:rsid w:val="33185FE3"/>
    <w:rsid w:val="33BB07E2"/>
    <w:rsid w:val="34EE2E36"/>
    <w:rsid w:val="36777241"/>
    <w:rsid w:val="371E78D5"/>
    <w:rsid w:val="38A951DB"/>
    <w:rsid w:val="38B31605"/>
    <w:rsid w:val="39003F4F"/>
    <w:rsid w:val="3BD2180D"/>
    <w:rsid w:val="3C07002B"/>
    <w:rsid w:val="3D0D152A"/>
    <w:rsid w:val="3DF62756"/>
    <w:rsid w:val="3F1B7587"/>
    <w:rsid w:val="41E57B4F"/>
    <w:rsid w:val="42D3303D"/>
    <w:rsid w:val="432F26F6"/>
    <w:rsid w:val="43880F63"/>
    <w:rsid w:val="43C5172E"/>
    <w:rsid w:val="441C5A6F"/>
    <w:rsid w:val="44C44FCC"/>
    <w:rsid w:val="44CC7369"/>
    <w:rsid w:val="457F5108"/>
    <w:rsid w:val="46951B6B"/>
    <w:rsid w:val="497C7B9F"/>
    <w:rsid w:val="49952B23"/>
    <w:rsid w:val="49A34401"/>
    <w:rsid w:val="4A1B12EF"/>
    <w:rsid w:val="4A3E30AB"/>
    <w:rsid w:val="4AC14DAC"/>
    <w:rsid w:val="4D154C85"/>
    <w:rsid w:val="4EB35ECE"/>
    <w:rsid w:val="50307C8A"/>
    <w:rsid w:val="508F4E24"/>
    <w:rsid w:val="51461E90"/>
    <w:rsid w:val="51463753"/>
    <w:rsid w:val="514F15EF"/>
    <w:rsid w:val="52553A93"/>
    <w:rsid w:val="53521F8B"/>
    <w:rsid w:val="53E22F47"/>
    <w:rsid w:val="54522FF8"/>
    <w:rsid w:val="55450629"/>
    <w:rsid w:val="56692963"/>
    <w:rsid w:val="568B0F48"/>
    <w:rsid w:val="568B1FD5"/>
    <w:rsid w:val="573B1A89"/>
    <w:rsid w:val="5786217B"/>
    <w:rsid w:val="59337A15"/>
    <w:rsid w:val="59810274"/>
    <w:rsid w:val="5CA96A00"/>
    <w:rsid w:val="5CF730BC"/>
    <w:rsid w:val="5E5F0DCE"/>
    <w:rsid w:val="5F363D32"/>
    <w:rsid w:val="5FA40A7B"/>
    <w:rsid w:val="5FAC0868"/>
    <w:rsid w:val="5FD56D29"/>
    <w:rsid w:val="5FEC7F3F"/>
    <w:rsid w:val="601826F2"/>
    <w:rsid w:val="60F74BC3"/>
    <w:rsid w:val="617D3BF8"/>
    <w:rsid w:val="61841F6A"/>
    <w:rsid w:val="623007A9"/>
    <w:rsid w:val="637D7558"/>
    <w:rsid w:val="644F19AC"/>
    <w:rsid w:val="65AA4920"/>
    <w:rsid w:val="65E31D0B"/>
    <w:rsid w:val="669B46A8"/>
    <w:rsid w:val="673443D5"/>
    <w:rsid w:val="67694F1E"/>
    <w:rsid w:val="67C45CBA"/>
    <w:rsid w:val="69597934"/>
    <w:rsid w:val="6AA24ECC"/>
    <w:rsid w:val="6AB354B9"/>
    <w:rsid w:val="6B964DDC"/>
    <w:rsid w:val="6C25433C"/>
    <w:rsid w:val="6C783074"/>
    <w:rsid w:val="6D9E65C6"/>
    <w:rsid w:val="6DA81947"/>
    <w:rsid w:val="6EB66DE2"/>
    <w:rsid w:val="6ED3075F"/>
    <w:rsid w:val="6F1042CF"/>
    <w:rsid w:val="6F2A2D4B"/>
    <w:rsid w:val="6F8A0C1E"/>
    <w:rsid w:val="703F45D4"/>
    <w:rsid w:val="715D6546"/>
    <w:rsid w:val="71BE069E"/>
    <w:rsid w:val="73953409"/>
    <w:rsid w:val="73E069A3"/>
    <w:rsid w:val="78104AA8"/>
    <w:rsid w:val="78E257C5"/>
    <w:rsid w:val="794B35BE"/>
    <w:rsid w:val="79C749A8"/>
    <w:rsid w:val="7B0A3A31"/>
    <w:rsid w:val="7B3360ED"/>
    <w:rsid w:val="7BDF037E"/>
    <w:rsid w:val="7BF50948"/>
    <w:rsid w:val="7CAC65D6"/>
    <w:rsid w:val="7CE66A78"/>
    <w:rsid w:val="7D23564C"/>
    <w:rsid w:val="7D5E062D"/>
    <w:rsid w:val="7DF76CD8"/>
    <w:rsid w:val="7F695C26"/>
    <w:rsid w:val="7FCF62D3"/>
    <w:rsid w:val="7FE5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135.63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2.79</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Sheet1!$B$2:$B$6</c:f>
              <c:numCache>
                <c:formatCode>General</c:formatCode>
                <c:ptCount val="5"/>
                <c:pt idx="0">
                  <c:v>0</c:v>
                </c:pt>
                <c:pt idx="1">
                  <c:v>94.73</c:v>
                </c:pt>
                <c:pt idx="2">
                  <c:v>10.52</c:v>
                </c:pt>
                <c:pt idx="3">
                  <c:v>7.94</c:v>
                </c:pt>
                <c:pt idx="4">
                  <c:v>21.76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文化旅游体育与传媒支出</c:v>
                </c:pt>
                <c:pt idx="2">
                  <c:v>社会保障和就业支出</c:v>
                </c:pt>
                <c:pt idx="3">
                  <c:v>住房保障支出</c:v>
                </c:pt>
                <c:pt idx="4">
                  <c:v>其他支出</c:v>
                </c:pt>
              </c:strCache>
            </c:strRef>
          </c:cat>
          <c:val>
            <c:numRef>
              <c:f>Sheet1!$C$2:$C$6</c:f>
              <c:numCache>
                <c:formatCode>General</c:formatCode>
                <c:ptCount val="5"/>
                <c:pt idx="0">
                  <c:v>1.35</c:v>
                </c:pt>
                <c:pt idx="1">
                  <c:v>100.31</c:v>
                </c:pt>
                <c:pt idx="2">
                  <c:v>10.47</c:v>
                </c:pt>
                <c:pt idx="3">
                  <c:v>8.04</c:v>
                </c:pt>
                <c:pt idx="4">
                  <c:v>15.46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1.35</c:v>
                </c:pt>
                <c:pt idx="1">
                  <c:v>1.35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2070104</c:v>
                </c:pt>
                <c:pt idx="1">
                  <c:v>2070199</c:v>
                </c:pt>
                <c:pt idx="2">
                  <c:v>207x</c:v>
                </c:pt>
              </c:strCache>
            </c:strRef>
          </c:cat>
          <c:val>
            <c:numRef>
              <c:f>Sheet1!$B$2:$B$4</c:f>
              <c:numCache>
                <c:formatCode>General</c:formatCode>
                <c:ptCount val="3"/>
                <c:pt idx="0">
                  <c:v>74.52</c:v>
                </c:pt>
                <c:pt idx="1">
                  <c:v>25.79</c:v>
                </c:pt>
                <c:pt idx="2">
                  <c:v>100.31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10.47</c:v>
                </c:pt>
                <c:pt idx="1">
                  <c:v>10.47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8.04</c:v>
                </c:pt>
                <c:pt idx="1">
                  <c:v>8.04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15.46</c:v>
                </c:pt>
                <c:pt idx="1">
                  <c:v>15.46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31.03</c:v>
                </c:pt>
                <c:pt idx="1">
                  <c:v>1.77</c:v>
                </c:pt>
                <c:pt idx="2">
                  <c:v>7.56</c:v>
                </c:pt>
                <c:pt idx="3">
                  <c:v>1.4</c:v>
                </c:pt>
                <c:pt idx="4">
                  <c:v>13.93</c:v>
                </c:pt>
                <c:pt idx="5">
                  <c:v>10.47</c:v>
                </c:pt>
                <c:pt idx="6">
                  <c:v>0</c:v>
                </c:pt>
                <c:pt idx="7">
                  <c:v>4.43</c:v>
                </c:pt>
                <c:pt idx="8">
                  <c:v>0</c:v>
                </c:pt>
                <c:pt idx="9">
                  <c:v>0.32</c:v>
                </c:pt>
                <c:pt idx="10">
                  <c:v>8.04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c:v>
                </c:pt>
                <c:pt idx="1">
                  <c:v>0</c:v>
                </c:pt>
                <c:pt idx="2">
                  <c:v>0</c:v>
                </c:pt>
                <c:pt idx="3">
                  <c:v>0</c:v>
                </c:pt>
                <c:pt idx="4">
                  <c:v>0.1</c:v>
                </c:pt>
                <c:pt idx="5">
                  <c:v>0.39</c:v>
                </c:pt>
                <c:pt idx="6">
                  <c:v>0</c:v>
                </c:pt>
                <c:pt idx="7">
                  <c:v>0</c:v>
                </c:pt>
                <c:pt idx="8">
                  <c:v>0</c:v>
                </c:pt>
                <c:pt idx="9">
                  <c:v>1.16</c:v>
                </c:pt>
                <c:pt idx="10">
                  <c:v>0</c:v>
                </c:pt>
                <c:pt idx="11">
                  <c:v>0</c:v>
                </c:pt>
                <c:pt idx="12">
                  <c:v>0</c:v>
                </c:pt>
                <c:pt idx="13">
                  <c:v>0</c:v>
                </c:pt>
                <c:pt idx="14">
                  <c:v>0</c:v>
                </c:pt>
                <c:pt idx="15">
                  <c:v>0</c:v>
                </c:pt>
                <c:pt idx="16">
                  <c:v>0</c:v>
                </c:pt>
                <c:pt idx="17">
                  <c:v>0</c:v>
                </c:pt>
                <c:pt idx="18">
                  <c:v>0</c:v>
                </c:pt>
                <c:pt idx="19">
                  <c:v>0</c:v>
                </c:pt>
                <c:pt idx="20">
                  <c:v>0</c:v>
                </c:pt>
                <c:pt idx="21">
                  <c:v>1.35</c:v>
                </c:pt>
                <c:pt idx="22">
                  <c:v>0</c:v>
                </c:pt>
                <c:pt idx="23">
                  <c:v>0.62</c:v>
                </c:pt>
                <c:pt idx="24">
                  <c:v>0</c:v>
                </c:pt>
                <c:pt idx="25">
                  <c:v>0</c:v>
                </c:pt>
                <c:pt idx="26">
                  <c:v>0.03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42</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2023-11-20T08:38:00Z</cp:lastPrinted>
  <dcterms:modified xsi:type="dcterms:W3CDTF">2023-11-27T08:11:07Z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