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ascii="黑体" w:hAnsi="黑体" w:eastAsia="黑体" w:cs="黑体"/>
          <w:b/>
          <w:bCs/>
          <w:color w:val="auto"/>
          <w:sz w:val="52"/>
          <w:szCs w:val="52"/>
        </w:rPr>
      </w:pPr>
      <w:bookmarkStart w:id="3" w:name="_GoBack"/>
      <w:r>
        <w:rPr>
          <w:rFonts w:hint="eastAsia" w:ascii="黑体" w:hAnsi="黑体" w:eastAsia="黑体" w:cs="黑体"/>
          <w:b/>
          <w:bCs/>
          <w:color w:val="auto"/>
          <w:sz w:val="52"/>
          <w:szCs w:val="52"/>
        </w:rPr>
        <w:t>环江毛南族自治县人民医院</w:t>
      </w:r>
    </w:p>
    <w:bookmarkEnd w:id="3"/>
    <w:p>
      <w:pPr>
        <w:jc w:val="center"/>
        <w:rPr>
          <w:rFonts w:ascii="黑体" w:hAnsi="黑体" w:eastAsia="黑体" w:cs="黑体"/>
          <w:b/>
          <w:bCs/>
          <w:color w:val="auto"/>
          <w:sz w:val="52"/>
          <w:szCs w:val="52"/>
        </w:rPr>
      </w:pPr>
      <w:r>
        <w:rPr>
          <w:rFonts w:hint="eastAsia" w:ascii="黑体" w:hAnsi="黑体" w:eastAsia="黑体" w:cs="黑体"/>
          <w:b/>
          <w:bCs/>
          <w:color w:val="auto"/>
          <w:sz w:val="52"/>
          <w:szCs w:val="52"/>
        </w:rPr>
        <w:t>2022年度部门决算</w:t>
      </w:r>
    </w:p>
    <w:p>
      <w:pPr>
        <w:jc w:val="center"/>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p>
    <w:p>
      <w:pPr>
        <w:jc w:val="center"/>
        <w:rPr>
          <w:rFonts w:ascii="黑体" w:hAnsi="黑体" w:eastAsia="黑体" w:cs="黑体"/>
          <w:b/>
          <w:bCs/>
          <w:color w:val="auto"/>
          <w:sz w:val="36"/>
          <w:szCs w:val="36"/>
        </w:rPr>
      </w:pPr>
      <w:r>
        <w:rPr>
          <w:rFonts w:hint="eastAsia" w:ascii="黑体" w:hAnsi="黑体" w:eastAsia="黑体" w:cs="黑体"/>
          <w:b/>
          <w:bCs/>
          <w:color w:val="auto"/>
          <w:sz w:val="36"/>
          <w:szCs w:val="36"/>
        </w:rPr>
        <w:t>2023年10月</w:t>
      </w:r>
    </w:p>
    <w:p>
      <w:pPr>
        <w:rPr>
          <w:rFonts w:ascii="仿宋" w:hAnsi="仿宋" w:eastAsia="仿宋" w:cs="仿宋"/>
          <w:color w:val="auto"/>
          <w:sz w:val="32"/>
          <w:szCs w:val="32"/>
        </w:rPr>
      </w:pPr>
      <w:r>
        <w:rPr>
          <w:rFonts w:ascii="仿宋" w:hAnsi="仿宋" w:eastAsia="仿宋" w:cs="仿宋"/>
          <w:color w:val="auto"/>
          <w:sz w:val="32"/>
          <w:szCs w:val="32"/>
        </w:rPr>
        <w:br w:type="page"/>
      </w:r>
    </w:p>
    <w:p>
      <w:pPr>
        <w:jc w:val="center"/>
        <w:rPr>
          <w:rFonts w:ascii="黑体" w:hAnsi="黑体" w:eastAsia="黑体" w:cs="黑体"/>
          <w:b/>
          <w:bCs/>
          <w:color w:val="auto"/>
          <w:sz w:val="36"/>
          <w:szCs w:val="36"/>
        </w:rPr>
      </w:pPr>
      <w:r>
        <w:rPr>
          <w:rFonts w:hint="eastAsia" w:ascii="黑体" w:hAnsi="黑体" w:eastAsia="黑体" w:cs="黑体"/>
          <w:b/>
          <w:bCs/>
          <w:color w:val="auto"/>
          <w:sz w:val="36"/>
          <w:szCs w:val="36"/>
        </w:rPr>
        <w:t>目   录</w:t>
      </w:r>
    </w:p>
    <w:p>
      <w:pPr>
        <w:jc w:val="left"/>
        <w:rPr>
          <w:rFonts w:ascii="黑体" w:hAnsi="黑体" w:eastAsia="黑体" w:cs="黑体"/>
          <w:b/>
          <w:bCs/>
          <w:color w:val="auto"/>
          <w:sz w:val="36"/>
          <w:szCs w:val="36"/>
        </w:rPr>
      </w:pPr>
    </w:p>
    <w:p>
      <w:pPr>
        <w:jc w:val="left"/>
        <w:rPr>
          <w:rFonts w:ascii="仿宋" w:hAnsi="仿宋" w:eastAsia="仿宋" w:cs="仿宋"/>
          <w:color w:val="auto"/>
          <w:sz w:val="32"/>
          <w:szCs w:val="32"/>
        </w:rPr>
      </w:pPr>
      <w:r>
        <w:rPr>
          <w:rFonts w:hint="eastAsia" w:ascii="黑体" w:hAnsi="黑体" w:eastAsia="黑体" w:cs="黑体"/>
          <w:color w:val="auto"/>
          <w:sz w:val="32"/>
          <w:szCs w:val="32"/>
        </w:rPr>
        <w:t>第一部分：</w:t>
      </w:r>
      <w:r>
        <w:rPr>
          <w:rFonts w:hint="eastAsia" w:ascii="黑体" w:hAnsi="黑体" w:eastAsia="黑体" w:cs="黑体"/>
          <w:color w:val="auto"/>
          <w:sz w:val="32"/>
          <w:lang w:val="en-US" w:eastAsia="zh-CN"/>
        </w:rPr>
        <w:t>环江毛南族自治县人民医院</w:t>
      </w:r>
      <w:r>
        <w:rPr>
          <w:rFonts w:hint="eastAsia" w:ascii="黑体" w:hAnsi="黑体" w:eastAsia="黑体" w:cs="黑体"/>
          <w:color w:val="auto"/>
          <w:sz w:val="32"/>
          <w:szCs w:val="32"/>
        </w:rPr>
        <w:t>概况</w:t>
      </w:r>
    </w:p>
    <w:p>
      <w:pPr>
        <w:jc w:val="left"/>
        <w:rPr>
          <w:rFonts w:ascii="仿宋" w:hAnsi="仿宋" w:eastAsia="仿宋" w:cs="仿宋"/>
          <w:color w:val="auto"/>
          <w:sz w:val="32"/>
          <w:szCs w:val="32"/>
        </w:rPr>
      </w:pPr>
      <w:r>
        <w:rPr>
          <w:rFonts w:hint="eastAsia" w:ascii="仿宋" w:hAnsi="仿宋" w:eastAsia="仿宋" w:cs="仿宋"/>
          <w:color w:val="auto"/>
          <w:sz w:val="32"/>
          <w:szCs w:val="32"/>
        </w:rPr>
        <w:t>一、主要职能</w:t>
      </w:r>
    </w:p>
    <w:p>
      <w:pPr>
        <w:jc w:val="left"/>
        <w:rPr>
          <w:rFonts w:ascii="仿宋" w:hAnsi="仿宋" w:eastAsia="仿宋" w:cs="仿宋"/>
          <w:color w:val="auto"/>
          <w:sz w:val="32"/>
          <w:szCs w:val="32"/>
        </w:rPr>
      </w:pPr>
      <w:r>
        <w:rPr>
          <w:rFonts w:hint="eastAsia" w:ascii="仿宋" w:hAnsi="仿宋" w:eastAsia="仿宋" w:cs="仿宋"/>
          <w:color w:val="auto"/>
          <w:sz w:val="32"/>
          <w:szCs w:val="32"/>
        </w:rPr>
        <w:t>二、部门决算单位构成</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w:t>
      </w:r>
      <w:r>
        <w:rPr>
          <w:rFonts w:hint="eastAsia" w:ascii="黑体" w:hAnsi="黑体" w:eastAsia="黑体" w:cs="黑体"/>
          <w:color w:val="auto"/>
          <w:sz w:val="32"/>
          <w:lang w:val="en-US" w:eastAsia="zh-CN"/>
        </w:rPr>
        <w:t>环江毛南族自治县人民医院</w:t>
      </w:r>
      <w:r>
        <w:rPr>
          <w:rFonts w:hint="eastAsia" w:ascii="黑体" w:hAnsi="黑体" w:eastAsia="黑体" w:cs="黑体"/>
          <w:color w:val="auto"/>
          <w:sz w:val="32"/>
          <w:szCs w:val="32"/>
        </w:rPr>
        <w:t>2022年度部门决算报表</w:t>
      </w:r>
    </w:p>
    <w:p>
      <w:pPr>
        <w:rPr>
          <w:rFonts w:ascii="仿宋_GB2312" w:eastAsia="仿宋_GB2312"/>
          <w:color w:val="auto"/>
          <w:sz w:val="32"/>
          <w:szCs w:val="32"/>
        </w:rPr>
      </w:pPr>
      <w:r>
        <w:rPr>
          <w:rFonts w:hint="eastAsia" w:ascii="仿宋_GB2312" w:eastAsia="仿宋_GB2312"/>
          <w:color w:val="auto"/>
          <w:sz w:val="32"/>
          <w:szCs w:val="32"/>
        </w:rPr>
        <w:t>表一：收入支出决算总表</w:t>
      </w:r>
    </w:p>
    <w:p>
      <w:pPr>
        <w:rPr>
          <w:rFonts w:ascii="仿宋_GB2312" w:eastAsia="仿宋_GB2312"/>
          <w:color w:val="auto"/>
          <w:sz w:val="32"/>
          <w:szCs w:val="32"/>
        </w:rPr>
      </w:pPr>
      <w:r>
        <w:rPr>
          <w:rFonts w:hint="eastAsia" w:ascii="仿宋_GB2312" w:eastAsia="仿宋_GB2312"/>
          <w:color w:val="auto"/>
          <w:sz w:val="32"/>
          <w:szCs w:val="32"/>
        </w:rPr>
        <w:t>表二：收入决算表</w:t>
      </w:r>
    </w:p>
    <w:p>
      <w:pPr>
        <w:rPr>
          <w:rFonts w:ascii="仿宋_GB2312" w:eastAsia="仿宋_GB2312"/>
          <w:color w:val="auto"/>
          <w:sz w:val="32"/>
          <w:szCs w:val="32"/>
        </w:rPr>
      </w:pPr>
      <w:r>
        <w:rPr>
          <w:rFonts w:hint="eastAsia" w:ascii="仿宋_GB2312" w:eastAsia="仿宋_GB2312"/>
          <w:color w:val="auto"/>
          <w:sz w:val="32"/>
          <w:szCs w:val="32"/>
        </w:rPr>
        <w:t>表三：支出决算表</w:t>
      </w:r>
    </w:p>
    <w:p>
      <w:pPr>
        <w:rPr>
          <w:rFonts w:ascii="仿宋_GB2312" w:eastAsia="仿宋_GB2312"/>
          <w:color w:val="auto"/>
          <w:sz w:val="32"/>
          <w:szCs w:val="32"/>
        </w:rPr>
      </w:pPr>
      <w:r>
        <w:rPr>
          <w:rFonts w:hint="eastAsia" w:ascii="仿宋_GB2312" w:eastAsia="仿宋_GB2312"/>
          <w:color w:val="auto"/>
          <w:sz w:val="32"/>
          <w:szCs w:val="32"/>
        </w:rPr>
        <w:t>表四：财政拨款收入支出决算总表</w:t>
      </w:r>
    </w:p>
    <w:p>
      <w:pPr>
        <w:rPr>
          <w:rFonts w:ascii="仿宋_GB2312" w:eastAsia="仿宋_GB2312"/>
          <w:color w:val="auto"/>
          <w:sz w:val="32"/>
          <w:szCs w:val="32"/>
        </w:rPr>
      </w:pPr>
      <w:r>
        <w:rPr>
          <w:rFonts w:hint="eastAsia" w:ascii="仿宋_GB2312" w:eastAsia="仿宋_GB2312"/>
          <w:color w:val="auto"/>
          <w:sz w:val="32"/>
          <w:szCs w:val="32"/>
        </w:rPr>
        <w:t>表五：一般公共预算财政拨款支出决算表</w:t>
      </w:r>
    </w:p>
    <w:p>
      <w:pPr>
        <w:rPr>
          <w:rFonts w:ascii="仿宋_GB2312" w:eastAsia="仿宋_GB2312"/>
          <w:color w:val="auto"/>
          <w:sz w:val="32"/>
          <w:szCs w:val="32"/>
        </w:rPr>
      </w:pPr>
      <w:r>
        <w:rPr>
          <w:rFonts w:hint="eastAsia" w:ascii="仿宋_GB2312" w:eastAsia="仿宋_GB2312"/>
          <w:color w:val="auto"/>
          <w:sz w:val="32"/>
          <w:szCs w:val="32"/>
        </w:rPr>
        <w:t>表六：一般公共预算财政拨款基本支出决算明细表</w:t>
      </w:r>
    </w:p>
    <w:p>
      <w:pPr>
        <w:rPr>
          <w:rFonts w:ascii="仿宋_GB2312" w:eastAsia="仿宋_GB2312"/>
          <w:color w:val="auto"/>
          <w:sz w:val="32"/>
          <w:szCs w:val="32"/>
        </w:rPr>
      </w:pPr>
      <w:r>
        <w:rPr>
          <w:rFonts w:hint="eastAsia" w:ascii="仿宋_GB2312" w:eastAsia="仿宋_GB2312"/>
          <w:color w:val="auto"/>
          <w:sz w:val="32"/>
          <w:szCs w:val="32"/>
        </w:rPr>
        <w:t>表七：政府性基金</w:t>
      </w:r>
      <w:r>
        <w:rPr>
          <w:rFonts w:hint="eastAsia" w:ascii="仿宋_GB2312" w:hAnsi="黑体" w:eastAsia="仿宋_GB2312"/>
          <w:color w:val="auto"/>
          <w:sz w:val="32"/>
          <w:szCs w:val="32"/>
        </w:rPr>
        <w:t>预算财政拨款</w:t>
      </w:r>
      <w:r>
        <w:rPr>
          <w:rFonts w:hint="eastAsia" w:ascii="仿宋_GB2312" w:eastAsia="仿宋_GB2312"/>
          <w:color w:val="auto"/>
          <w:sz w:val="32"/>
          <w:szCs w:val="32"/>
        </w:rPr>
        <w:t>收入支出决算表</w:t>
      </w:r>
    </w:p>
    <w:p>
      <w:pPr>
        <w:rPr>
          <w:rFonts w:ascii="仿宋_GB2312" w:eastAsia="仿宋_GB2312"/>
          <w:color w:val="auto"/>
          <w:sz w:val="32"/>
          <w:szCs w:val="32"/>
        </w:rPr>
      </w:pPr>
      <w:r>
        <w:rPr>
          <w:rFonts w:hint="eastAsia" w:ascii="仿宋_GB2312" w:eastAsia="仿宋_GB2312"/>
          <w:color w:val="auto"/>
          <w:sz w:val="32"/>
          <w:szCs w:val="32"/>
        </w:rPr>
        <w:t>表八：国有资本经营预算</w:t>
      </w:r>
      <w:r>
        <w:rPr>
          <w:rFonts w:hint="eastAsia" w:ascii="仿宋_GB2312" w:hAnsi="黑体" w:eastAsia="仿宋_GB2312"/>
          <w:color w:val="auto"/>
          <w:sz w:val="32"/>
          <w:szCs w:val="32"/>
        </w:rPr>
        <w:t>财政拨款</w:t>
      </w:r>
      <w:r>
        <w:rPr>
          <w:rFonts w:hint="eastAsia" w:ascii="仿宋_GB2312" w:eastAsia="仿宋_GB2312"/>
          <w:color w:val="auto"/>
          <w:sz w:val="32"/>
          <w:szCs w:val="32"/>
        </w:rPr>
        <w:t>支出决算表</w:t>
      </w:r>
    </w:p>
    <w:p>
      <w:pPr>
        <w:rPr>
          <w:rFonts w:ascii="仿宋_GB2312" w:eastAsia="仿宋_GB2312"/>
          <w:color w:val="auto"/>
          <w:sz w:val="32"/>
          <w:szCs w:val="32"/>
        </w:rPr>
      </w:pPr>
      <w:r>
        <w:rPr>
          <w:rFonts w:hint="eastAsia" w:ascii="仿宋_GB2312" w:eastAsia="仿宋_GB2312"/>
          <w:color w:val="auto"/>
          <w:sz w:val="32"/>
          <w:szCs w:val="32"/>
        </w:rPr>
        <w:t>表九：一般公共预算财政拨款安排的“三公”经费支出决算表</w:t>
      </w:r>
    </w:p>
    <w:p>
      <w:pPr>
        <w:jc w:val="left"/>
        <w:rPr>
          <w:rFonts w:ascii="仿宋" w:hAnsi="仿宋" w:eastAsia="仿宋" w:cs="仿宋"/>
          <w:color w:val="auto"/>
          <w:sz w:val="32"/>
          <w:szCs w:val="32"/>
        </w:rPr>
      </w:pPr>
      <w:r>
        <w:rPr>
          <w:rFonts w:hint="eastAsia" w:ascii="黑体" w:hAnsi="黑体" w:eastAsia="黑体" w:cs="黑体"/>
          <w:color w:val="auto"/>
          <w:sz w:val="32"/>
          <w:szCs w:val="32"/>
        </w:rPr>
        <w:t>第三部分：</w:t>
      </w:r>
      <w:r>
        <w:rPr>
          <w:rFonts w:hint="eastAsia" w:ascii="黑体" w:hAnsi="黑体" w:eastAsia="黑体" w:cs="黑体"/>
          <w:color w:val="auto"/>
          <w:sz w:val="32"/>
          <w:lang w:val="en-US" w:eastAsia="zh-CN"/>
        </w:rPr>
        <w:t>环江毛南族自治县人民医院</w:t>
      </w:r>
      <w:r>
        <w:rPr>
          <w:rFonts w:hint="eastAsia" w:ascii="黑体" w:hAnsi="黑体" w:eastAsia="黑体" w:cs="黑体"/>
          <w:color w:val="auto"/>
          <w:sz w:val="32"/>
          <w:szCs w:val="32"/>
        </w:rPr>
        <w:t>2022年度部门决算情况说明</w:t>
      </w:r>
    </w:p>
    <w:p>
      <w:pPr>
        <w:autoSpaceDE w:val="0"/>
        <w:autoSpaceDN w:val="0"/>
        <w:adjustRightInd w:val="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一、</w:t>
      </w:r>
      <w:r>
        <w:rPr>
          <w:rFonts w:hint="eastAsia" w:ascii="仿宋_GB2312" w:eastAsia="仿宋_GB2312"/>
          <w:color w:val="auto"/>
          <w:kern w:val="0"/>
          <w:sz w:val="32"/>
          <w:szCs w:val="32"/>
        </w:rPr>
        <w:t>2022</w:t>
      </w:r>
      <w:r>
        <w:rPr>
          <w:rFonts w:hint="eastAsia" w:ascii="仿宋_GB2312" w:eastAsia="仿宋_GB2312" w:cs="仿宋_GB2312"/>
          <w:color w:val="auto"/>
          <w:kern w:val="0"/>
          <w:sz w:val="32"/>
          <w:szCs w:val="32"/>
        </w:rPr>
        <w:t>年度收入支出决算总体情况。</w:t>
      </w:r>
    </w:p>
    <w:p>
      <w:pPr>
        <w:autoSpaceDE w:val="0"/>
        <w:autoSpaceDN w:val="0"/>
        <w:adjustRightInd w:val="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二、</w:t>
      </w:r>
      <w:r>
        <w:rPr>
          <w:rFonts w:hint="eastAsia" w:ascii="仿宋_GB2312" w:eastAsia="仿宋_GB2312"/>
          <w:color w:val="auto"/>
          <w:kern w:val="0"/>
          <w:sz w:val="32"/>
          <w:szCs w:val="32"/>
        </w:rPr>
        <w:t>2022</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公共预算财政拨款支出决算情况。</w:t>
      </w:r>
    </w:p>
    <w:p>
      <w:pPr>
        <w:autoSpaceDE w:val="0"/>
        <w:autoSpaceDN w:val="0"/>
        <w:adjustRightInd w:val="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三、2022年度一般公共预算财政拨款基本支出决算情况说明。</w:t>
      </w:r>
    </w:p>
    <w:p>
      <w:pPr>
        <w:autoSpaceDE w:val="0"/>
        <w:autoSpaceDN w:val="0"/>
        <w:adjustRightInd w:val="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四、</w:t>
      </w:r>
      <w:r>
        <w:rPr>
          <w:rFonts w:hint="eastAsia" w:ascii="仿宋_GB2312" w:eastAsia="仿宋_GB2312"/>
          <w:color w:val="auto"/>
          <w:kern w:val="0"/>
          <w:sz w:val="32"/>
          <w:szCs w:val="32"/>
        </w:rPr>
        <w:t>2022</w:t>
      </w:r>
      <w:r>
        <w:rPr>
          <w:rFonts w:hint="eastAsia" w:ascii="仿宋_GB2312" w:eastAsia="仿宋_GB2312" w:cs="仿宋_GB2312"/>
          <w:color w:val="auto"/>
          <w:kern w:val="0"/>
          <w:sz w:val="32"/>
          <w:szCs w:val="32"/>
        </w:rPr>
        <w:t>年度政府性基金支出决算情况。</w:t>
      </w:r>
    </w:p>
    <w:p>
      <w:pPr>
        <w:autoSpaceDE w:val="0"/>
        <w:autoSpaceDN w:val="0"/>
        <w:adjustRightInd w:val="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五、2022年度国有资本经营预算支出决算情况。</w:t>
      </w:r>
    </w:p>
    <w:p>
      <w:pPr>
        <w:autoSpaceDE w:val="0"/>
        <w:autoSpaceDN w:val="0"/>
        <w:adjustRightInd w:val="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六、</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公共预算财政拨款安排的“三公”经费支出决算情况说明。</w:t>
      </w:r>
    </w:p>
    <w:p>
      <w:pPr>
        <w:autoSpaceDE w:val="0"/>
        <w:autoSpaceDN w:val="0"/>
        <w:adjustRightInd w:val="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七、其他重要事项情况说明。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第四部分：名词解释</w:t>
      </w:r>
    </w:p>
    <w:p>
      <w:pPr>
        <w:jc w:val="left"/>
        <w:rPr>
          <w:rFonts w:ascii="黑体" w:hAnsi="黑体" w:eastAsia="黑体" w:cs="黑体"/>
          <w:color w:val="auto"/>
          <w:sz w:val="32"/>
          <w:szCs w:val="32"/>
        </w:rPr>
      </w:pPr>
      <w:r>
        <w:rPr>
          <w:rFonts w:hint="eastAsia" w:ascii="黑体" w:hAnsi="黑体" w:eastAsia="黑体" w:cs="黑体"/>
          <w:color w:val="auto"/>
          <w:sz w:val="32"/>
          <w:szCs w:val="32"/>
        </w:rPr>
        <w:br w:type="page"/>
      </w:r>
    </w:p>
    <w:p>
      <w:pPr>
        <w:jc w:val="center"/>
        <w:rPr>
          <w:rFonts w:ascii="仿宋" w:hAnsi="仿宋" w:eastAsia="仿宋" w:cs="仿宋"/>
          <w:color w:val="auto"/>
          <w:sz w:val="32"/>
          <w:szCs w:val="32"/>
        </w:rPr>
      </w:pPr>
      <w:r>
        <w:rPr>
          <w:rFonts w:hint="eastAsia" w:ascii="黑体" w:hAnsi="黑体" w:eastAsia="黑体" w:cs="黑体"/>
          <w:b/>
          <w:bCs/>
          <w:color w:val="auto"/>
          <w:sz w:val="32"/>
          <w:szCs w:val="32"/>
        </w:rPr>
        <w:t>第一部分：</w:t>
      </w:r>
      <w:r>
        <w:rPr>
          <w:rFonts w:hint="eastAsia" w:ascii="黑体" w:hAnsi="黑体" w:eastAsia="黑体" w:cs="黑体"/>
          <w:b/>
          <w:color w:val="auto"/>
          <w:sz w:val="32"/>
          <w:lang w:val="en-US" w:eastAsia="zh-CN"/>
        </w:rPr>
        <w:t>环江毛南族自治县人民医院</w:t>
      </w:r>
      <w:r>
        <w:rPr>
          <w:rFonts w:hint="eastAsia" w:ascii="黑体" w:hAnsi="黑体" w:eastAsia="黑体" w:cs="黑体"/>
          <w:b/>
          <w:bCs/>
          <w:color w:val="auto"/>
          <w:sz w:val="32"/>
          <w:szCs w:val="32"/>
        </w:rPr>
        <w:t>概况</w:t>
      </w:r>
    </w:p>
    <w:p>
      <w:pPr>
        <w:jc w:val="left"/>
        <w:rPr>
          <w:rFonts w:ascii="仿宋" w:hAnsi="仿宋" w:eastAsia="仿宋" w:cs="仿宋"/>
          <w:color w:val="auto"/>
          <w:sz w:val="32"/>
          <w:szCs w:val="32"/>
        </w:rPr>
      </w:pPr>
      <w:r>
        <w:rPr>
          <w:rFonts w:hint="eastAsia" w:ascii="黑体" w:hAnsi="黑体" w:eastAsia="黑体" w:cs="黑体"/>
          <w:color w:val="auto"/>
          <w:sz w:val="32"/>
          <w:szCs w:val="32"/>
        </w:rPr>
        <w:t>一、主要职能</w:t>
      </w:r>
    </w:p>
    <w:p>
      <w:pPr>
        <w:widowControl/>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环江毛南族</w:t>
      </w:r>
      <w:r>
        <w:rPr>
          <w:rFonts w:hint="eastAsia" w:ascii="仿宋_GB2312" w:hAnsi="仿宋_GB2312" w:eastAsia="仿宋_GB2312" w:cs="仿宋_GB2312"/>
          <w:color w:val="auto"/>
          <w:sz w:val="32"/>
          <w:szCs w:val="32"/>
        </w:rPr>
        <w:t xml:space="preserve">自治县人民医院的主要职责是：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主要承担自治县域常见病、多发病、地方病和一般疑难疾病诊疗；危急重症病人救治，重大疑难疾病的救治或转诊；适宜医疗技术的推广应用；承担基层医疗卫生机构、各类卫生技术人员的进修和培训，卫生院校临床教学和实习任务；指导乡镇卫生院做好医疗、预防、保健、康复、精神卫生等技术工作；承担部分公共卫生服务以及自然灾害和突发公共卫生事件医疗救治等工作；承办上级卫生行政部门交办的其它任务。</w:t>
      </w:r>
    </w:p>
    <w:p>
      <w:pPr>
        <w:jc w:val="left"/>
        <w:rPr>
          <w:rFonts w:ascii="仿宋" w:hAnsi="仿宋" w:eastAsia="仿宋" w:cs="仿宋"/>
          <w:color w:val="auto"/>
          <w:sz w:val="32"/>
          <w:szCs w:val="32"/>
        </w:rPr>
      </w:pPr>
      <w:r>
        <w:rPr>
          <w:rFonts w:hint="eastAsia" w:ascii="黑体" w:hAnsi="黑体" w:eastAsia="黑体" w:cs="黑体"/>
          <w:color w:val="auto"/>
          <w:sz w:val="32"/>
          <w:szCs w:val="32"/>
        </w:rPr>
        <w:t>二、部门决算单位构成</w:t>
      </w:r>
    </w:p>
    <w:p>
      <w:pPr>
        <w:jc w:val="center"/>
        <w:rPr>
          <w:rFonts w:ascii="黑体" w:hAnsi="黑体" w:eastAsia="黑体" w:cs="黑体"/>
          <w:color w:val="auto"/>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2"/>
          <w:szCs w:val="32"/>
        </w:rPr>
        <w:t>我部门没有下属单位，按照部门决算编报要求，单独编制算。</w:t>
      </w:r>
    </w:p>
    <w:p>
      <w:pPr>
        <w:ind w:firstLine="2240" w:firstLineChars="700"/>
        <w:jc w:val="both"/>
        <w:rPr>
          <w:rFonts w:hint="eastAsia" w:ascii="黑体" w:hAnsi="黑体" w:eastAsia="黑体" w:cs="黑体"/>
          <w:color w:val="auto"/>
          <w:sz w:val="32"/>
          <w:szCs w:val="32"/>
        </w:rPr>
      </w:pPr>
      <w:r>
        <w:rPr>
          <w:rFonts w:hint="eastAsia" w:ascii="黑体" w:hAnsi="黑体" w:eastAsia="黑体" w:cs="黑体"/>
          <w:color w:val="auto"/>
          <w:sz w:val="32"/>
          <w:szCs w:val="32"/>
        </w:rPr>
        <w:t>第二部分：</w:t>
      </w:r>
      <w:r>
        <w:rPr>
          <w:rFonts w:hint="eastAsia" w:ascii="黑体" w:hAnsi="黑体" w:eastAsia="黑体" w:cs="黑体"/>
          <w:color w:val="auto"/>
          <w:sz w:val="32"/>
        </w:rPr>
        <w:t>环江毛南族自治县人民医院</w:t>
      </w:r>
      <w:r>
        <w:rPr>
          <w:rFonts w:hint="eastAsia" w:ascii="黑体" w:hAnsi="黑体" w:eastAsia="黑体" w:cs="黑体"/>
          <w:color w:val="auto"/>
          <w:sz w:val="32"/>
          <w:szCs w:val="32"/>
        </w:rPr>
        <w:t>2022年度部门决算报表</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表一：</w:t>
      </w:r>
      <w:r>
        <w:rPr>
          <w:rFonts w:hint="eastAsia" w:ascii="仿宋" w:hAnsi="仿宋" w:eastAsia="仿宋" w:cs="仿宋"/>
          <w:color w:val="auto"/>
          <w:kern w:val="0"/>
          <w:sz w:val="24"/>
          <w:szCs w:val="24"/>
        </w:rPr>
        <w:t>收入支出决算总表</w:t>
      </w:r>
    </w:p>
    <w:tbl>
      <w:tblPr>
        <w:tblStyle w:val="7"/>
        <w:tblW w:w="5000" w:type="pct"/>
        <w:tblInd w:w="0" w:type="dxa"/>
        <w:tblLayout w:type="autofit"/>
        <w:tblCellMar>
          <w:top w:w="0" w:type="dxa"/>
          <w:left w:w="108" w:type="dxa"/>
          <w:bottom w:w="0" w:type="dxa"/>
          <w:right w:w="108" w:type="dxa"/>
        </w:tblCellMar>
      </w:tblPr>
      <w:tblGrid>
        <w:gridCol w:w="5035"/>
        <w:gridCol w:w="782"/>
        <w:gridCol w:w="1440"/>
        <w:gridCol w:w="4198"/>
        <w:gridCol w:w="782"/>
        <w:gridCol w:w="1937"/>
      </w:tblGrid>
      <w:tr>
        <w:tblPrEx>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30"/>
                <w:szCs w:val="30"/>
              </w:rPr>
            </w:pPr>
            <w:r>
              <w:rPr>
                <w:rFonts w:hint="eastAsia" w:ascii="宋体" w:hAnsi="宋体" w:eastAsia="宋体" w:cs="宋体"/>
                <w:color w:val="auto"/>
                <w:kern w:val="0"/>
                <w:sz w:val="30"/>
                <w:szCs w:val="30"/>
              </w:rPr>
              <w:t>收入支出决算总表</w:t>
            </w:r>
          </w:p>
        </w:tc>
      </w:tr>
      <w:tr>
        <w:tblPrEx>
          <w:tblCellMar>
            <w:top w:w="0" w:type="dxa"/>
            <w:left w:w="108" w:type="dxa"/>
            <w:bottom w:w="0" w:type="dxa"/>
            <w:right w:w="108" w:type="dxa"/>
          </w:tblCellMar>
        </w:tblPrEx>
        <w:trPr>
          <w:trHeight w:val="255" w:hRule="atLeast"/>
        </w:trPr>
        <w:tc>
          <w:tcPr>
            <w:tcW w:w="177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7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07"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48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7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68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公开01表</w:t>
            </w:r>
          </w:p>
        </w:tc>
      </w:tr>
      <w:tr>
        <w:tblPrEx>
          <w:tblCellMar>
            <w:top w:w="0" w:type="dxa"/>
            <w:left w:w="108" w:type="dxa"/>
            <w:bottom w:w="0" w:type="dxa"/>
            <w:right w:w="108" w:type="dxa"/>
          </w:tblCellMar>
        </w:tblPrEx>
        <w:trPr>
          <w:trHeight w:val="255" w:hRule="atLeast"/>
        </w:trPr>
        <w:tc>
          <w:tcPr>
            <w:tcW w:w="1776" w:type="pct"/>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27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07"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48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7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68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256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收入</w:t>
            </w:r>
          </w:p>
        </w:tc>
        <w:tc>
          <w:tcPr>
            <w:tcW w:w="2439" w:type="pct"/>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支出</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行次</w:t>
            </w:r>
          </w:p>
        </w:tc>
        <w:tc>
          <w:tcPr>
            <w:tcW w:w="507"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金额</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行次</w:t>
            </w:r>
          </w:p>
        </w:tc>
        <w:tc>
          <w:tcPr>
            <w:tcW w:w="682"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金额</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276" w:type="pct"/>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507"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276" w:type="pct"/>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682"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一、一般公共预算财政拨款收入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2,963.41</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一、一般公共服务支出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32</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二、政府性基金预算财政拨款收入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二、外交支出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33</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三、国有资本经营预算财政拨款收入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三、国防支出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34</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四、上级补助收入</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0.68</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四、公共安全支出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35</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五、事业收入</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13,538.42</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五、教育支出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36</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六、经营收入</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六、科学技术支出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37</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七、附属单位上缴收入</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7</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七、文化旅游体育与传媒支出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38</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八、其他收入</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72.92</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八、社会保障和就业支出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39</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九、卫生健康支出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40</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16,338.39</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十、节能环保支出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41</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11</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十一、城乡社区支出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42</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十二、农林水支出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43</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十三、交通运输支出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44</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14</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十四、资源勘探工业信息等支出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45</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15</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十五、商业服务业等支出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46</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十六、金融支出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17</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十七、援助其他地区支出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48</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18</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十八、自然资源海洋气象等支出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49</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19</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十九、住房保障支出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50</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二十、粮油物资储备支出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51</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二十一、国有资本经营预算支出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52</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二十二、灾害防治及应急管理支出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53</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23</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二十三、其他支出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54</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eastAsia="宋体" w:cs="宋体"/>
                <w:b/>
                <w:bCs/>
                <w:color w:val="auto"/>
                <w:sz w:val="20"/>
                <w:szCs w:val="20"/>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24</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0"/>
                <w:szCs w:val="20"/>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二十四、债务还本支出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55</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0"/>
                <w:szCs w:val="20"/>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25</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0"/>
                <w:szCs w:val="20"/>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二十五、债务付息支出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56</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0"/>
                <w:szCs w:val="20"/>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26</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0"/>
                <w:szCs w:val="20"/>
              </w:rPr>
            </w:pP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二十六、抗疫特别国债安排的支出</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57</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本年收入合计</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27</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16,575.42</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本年支出合计</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58</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16,546.41</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使用非财政拨款结余</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28</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结余分配</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59</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29.02</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年初结转和结余</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年末结转和结余</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60</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w:t>
            </w: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481"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61</w:t>
            </w:r>
          </w:p>
        </w:tc>
        <w:tc>
          <w:tcPr>
            <w:tcW w:w="682" w:type="pct"/>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77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总计</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w:t>
            </w:r>
          </w:p>
        </w:tc>
        <w:tc>
          <w:tcPr>
            <w:tcW w:w="50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16,575.42</w:t>
            </w:r>
          </w:p>
        </w:tc>
        <w:tc>
          <w:tcPr>
            <w:tcW w:w="148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总计</w:t>
            </w:r>
          </w:p>
        </w:tc>
        <w:tc>
          <w:tcPr>
            <w:tcW w:w="27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62</w:t>
            </w:r>
          </w:p>
        </w:tc>
        <w:tc>
          <w:tcPr>
            <w:tcW w:w="68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16,575.42</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注：1.本表反映部门本年度的总收支和年末结转结余情况。</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2.本套报表金额单位转换时可能存在尾数误差。</w:t>
            </w:r>
          </w:p>
        </w:tc>
      </w:tr>
    </w:tbl>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表二：</w:t>
      </w:r>
      <w:r>
        <w:rPr>
          <w:rFonts w:hint="eastAsia" w:ascii="仿宋" w:hAnsi="仿宋" w:eastAsia="仿宋" w:cs="仿宋"/>
          <w:color w:val="auto"/>
          <w:kern w:val="0"/>
          <w:sz w:val="24"/>
          <w:szCs w:val="24"/>
        </w:rPr>
        <w:t>收入决算表</w:t>
      </w:r>
    </w:p>
    <w:tbl>
      <w:tblPr>
        <w:tblStyle w:val="7"/>
        <w:tblW w:w="5000" w:type="pct"/>
        <w:tblInd w:w="0" w:type="dxa"/>
        <w:tblLayout w:type="autofit"/>
        <w:tblCellMar>
          <w:top w:w="0" w:type="dxa"/>
          <w:left w:w="108" w:type="dxa"/>
          <w:bottom w:w="0" w:type="dxa"/>
          <w:right w:w="108" w:type="dxa"/>
        </w:tblCellMar>
      </w:tblPr>
      <w:tblGrid>
        <w:gridCol w:w="3746"/>
        <w:gridCol w:w="221"/>
        <w:gridCol w:w="221"/>
        <w:gridCol w:w="3517"/>
        <w:gridCol w:w="1097"/>
        <w:gridCol w:w="999"/>
        <w:gridCol w:w="608"/>
        <w:gridCol w:w="1097"/>
        <w:gridCol w:w="608"/>
        <w:gridCol w:w="608"/>
        <w:gridCol w:w="1452"/>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30"/>
                <w:szCs w:val="30"/>
              </w:rPr>
            </w:pPr>
            <w:r>
              <w:rPr>
                <w:rFonts w:hint="eastAsia" w:ascii="宋体" w:hAnsi="宋体" w:eastAsia="宋体" w:cs="宋体"/>
                <w:color w:val="auto"/>
                <w:kern w:val="0"/>
                <w:sz w:val="30"/>
                <w:szCs w:val="30"/>
              </w:rPr>
              <w:t>收入决算表</w:t>
            </w:r>
          </w:p>
        </w:tc>
      </w:tr>
      <w:tr>
        <w:tblPrEx>
          <w:tblCellMar>
            <w:top w:w="0" w:type="dxa"/>
            <w:left w:w="108" w:type="dxa"/>
            <w:bottom w:w="0" w:type="dxa"/>
            <w:right w:w="108" w:type="dxa"/>
          </w:tblCellMar>
        </w:tblPrEx>
        <w:trPr>
          <w:trHeight w:val="255" w:hRule="atLeast"/>
        </w:trPr>
        <w:tc>
          <w:tcPr>
            <w:tcW w:w="1194"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7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7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12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27"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92"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27"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公开02表</w:t>
            </w:r>
          </w:p>
        </w:tc>
      </w:tr>
      <w:tr>
        <w:tblPrEx>
          <w:tblCellMar>
            <w:top w:w="0" w:type="dxa"/>
            <w:left w:w="108" w:type="dxa"/>
            <w:bottom w:w="0" w:type="dxa"/>
            <w:right w:w="108" w:type="dxa"/>
          </w:tblCellMar>
        </w:tblPrEx>
        <w:trPr>
          <w:trHeight w:val="255" w:hRule="atLeast"/>
        </w:trPr>
        <w:tc>
          <w:tcPr>
            <w:tcW w:w="1194" w:type="pct"/>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7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7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12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27"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92"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27"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247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427"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本年收入合计</w:t>
            </w:r>
          </w:p>
        </w:tc>
        <w:tc>
          <w:tcPr>
            <w:tcW w:w="392"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财政拨款收入</w:t>
            </w:r>
          </w:p>
        </w:tc>
        <w:tc>
          <w:tcPr>
            <w:tcW w:w="255"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上级补助收入</w:t>
            </w:r>
          </w:p>
        </w:tc>
        <w:tc>
          <w:tcPr>
            <w:tcW w:w="427"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事业收入</w:t>
            </w:r>
          </w:p>
        </w:tc>
        <w:tc>
          <w:tcPr>
            <w:tcW w:w="255"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经营收入</w:t>
            </w:r>
          </w:p>
        </w:tc>
        <w:tc>
          <w:tcPr>
            <w:tcW w:w="255"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附属单位上缴收入</w:t>
            </w:r>
          </w:p>
        </w:tc>
        <w:tc>
          <w:tcPr>
            <w:tcW w:w="512"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其他收入</w:t>
            </w:r>
          </w:p>
        </w:tc>
      </w:tr>
      <w:tr>
        <w:tblPrEx>
          <w:tblCellMar>
            <w:top w:w="0" w:type="dxa"/>
            <w:left w:w="108" w:type="dxa"/>
            <w:bottom w:w="0" w:type="dxa"/>
            <w:right w:w="108" w:type="dxa"/>
          </w:tblCellMar>
        </w:tblPrEx>
        <w:trPr>
          <w:trHeight w:val="312" w:hRule="atLeast"/>
        </w:trPr>
        <w:tc>
          <w:tcPr>
            <w:tcW w:w="1351"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科目代码</w:t>
            </w:r>
          </w:p>
        </w:tc>
        <w:tc>
          <w:tcPr>
            <w:tcW w:w="1121"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科目名称</w:t>
            </w:r>
          </w:p>
        </w:tc>
        <w:tc>
          <w:tcPr>
            <w:tcW w:w="42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42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12" w:hRule="atLeast"/>
        </w:trPr>
        <w:tc>
          <w:tcPr>
            <w:tcW w:w="135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12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42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42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12" w:hRule="atLeast"/>
        </w:trPr>
        <w:tc>
          <w:tcPr>
            <w:tcW w:w="135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12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42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9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42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5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2472"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427"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392"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25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c>
          <w:tcPr>
            <w:tcW w:w="427"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w:t>
            </w:r>
          </w:p>
        </w:tc>
        <w:tc>
          <w:tcPr>
            <w:tcW w:w="25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w:t>
            </w:r>
          </w:p>
        </w:tc>
        <w:tc>
          <w:tcPr>
            <w:tcW w:w="25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w:t>
            </w:r>
          </w:p>
        </w:tc>
        <w:tc>
          <w:tcPr>
            <w:tcW w:w="512"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7</w:t>
            </w:r>
          </w:p>
        </w:tc>
      </w:tr>
      <w:tr>
        <w:tblPrEx>
          <w:tblCellMar>
            <w:top w:w="0" w:type="dxa"/>
            <w:left w:w="108" w:type="dxa"/>
            <w:bottom w:w="0" w:type="dxa"/>
            <w:right w:w="108" w:type="dxa"/>
          </w:tblCellMar>
        </w:tblPrEx>
        <w:trPr>
          <w:trHeight w:val="308" w:hRule="atLeast"/>
        </w:trPr>
        <w:tc>
          <w:tcPr>
            <w:tcW w:w="2472"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16,575.42</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2,963.41</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0.68</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13,538.42</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72.92</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社会保障和就业支出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20805</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行政事业单位养老支出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2080505</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机关事业单位基本养老保险缴费支出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卫生健康支出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16,367.41</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2,755.39</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0.68</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13,538.42</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72.92</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公立医院</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15,403.87</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1,791.86</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0.68</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13,538.42</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72.92</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2100201</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综合医院</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15,362.79</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1,750.78</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0.68</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13,538.42</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72.92</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2100299</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其他公立医院支出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41.08</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41.08</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公共卫生</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848.81</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848.81</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2100401</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疾病预防控制机构</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148.79</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148.79</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2100408</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基本公共卫生服务</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1.20</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2100409</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重大公共卫生服务</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90.08</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90.08</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2100410</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突发公共卫生事件应急处理</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608.75</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608.75</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21006</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中医药</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2100601</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中医（民族医）药专项</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21011</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行政事业单位医疗</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2101199</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其他行政事业单位医疗支出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21099</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其他卫生健康支出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2109999</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其他卫生健康支出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住房保障支出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22102</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住房改革支出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2210201</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住房公积金</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22999</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351"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2299999</w:t>
            </w:r>
          </w:p>
        </w:tc>
        <w:tc>
          <w:tcPr>
            <w:tcW w:w="11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其他支出</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4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1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注：本表反映部门本年度取得的各项收入情况。</w:t>
            </w:r>
          </w:p>
        </w:tc>
      </w:tr>
    </w:tbl>
    <w:p>
      <w:pPr>
        <w:rPr>
          <w:rFonts w:ascii="宋体" w:hAnsi="宋体" w:eastAsia="宋体" w:cs="宋体"/>
          <w:color w:val="auto"/>
          <w:kern w:val="0"/>
          <w:sz w:val="30"/>
          <w:szCs w:val="30"/>
        </w:rPr>
      </w:pPr>
    </w:p>
    <w:p>
      <w:pPr>
        <w:jc w:val="center"/>
        <w:rPr>
          <w:rFonts w:ascii="仿宋" w:hAnsi="仿宋" w:eastAsia="仿宋" w:cs="仿宋"/>
          <w:color w:val="auto"/>
          <w:sz w:val="24"/>
        </w:rPr>
      </w:pPr>
    </w:p>
    <w:p>
      <w:pPr>
        <w:rPr>
          <w:rFonts w:ascii="仿宋" w:hAnsi="仿宋" w:eastAsia="仿宋" w:cs="仿宋"/>
          <w:color w:val="auto"/>
          <w:sz w:val="24"/>
        </w:rPr>
      </w:pPr>
      <w:r>
        <w:rPr>
          <w:rFonts w:ascii="仿宋" w:hAnsi="仿宋" w:eastAsia="仿宋" w:cs="仿宋"/>
          <w:color w:val="auto"/>
          <w:sz w:val="24"/>
        </w:rPr>
        <w:br w:type="page"/>
      </w:r>
    </w:p>
    <w:p>
      <w:pPr>
        <w:jc w:val="center"/>
        <w:rPr>
          <w:rFonts w:ascii="仿宋" w:hAnsi="仿宋" w:eastAsia="仿宋" w:cs="仿宋"/>
          <w:color w:val="auto"/>
          <w:sz w:val="24"/>
        </w:rPr>
      </w:pPr>
    </w:p>
    <w:p>
      <w:pPr>
        <w:jc w:val="left"/>
        <w:rPr>
          <w:rFonts w:ascii="仿宋" w:hAnsi="仿宋" w:eastAsia="仿宋" w:cs="仿宋"/>
          <w:color w:val="auto"/>
          <w:sz w:val="24"/>
        </w:rPr>
      </w:pPr>
      <w:r>
        <w:rPr>
          <w:rFonts w:hint="eastAsia" w:ascii="仿宋" w:hAnsi="仿宋" w:eastAsia="仿宋" w:cs="仿宋"/>
          <w:color w:val="auto"/>
          <w:sz w:val="24"/>
        </w:rPr>
        <w:t>表三：支出决算表</w:t>
      </w:r>
    </w:p>
    <w:tbl>
      <w:tblPr>
        <w:tblStyle w:val="7"/>
        <w:tblW w:w="5000" w:type="pct"/>
        <w:tblInd w:w="0" w:type="dxa"/>
        <w:tblLayout w:type="autofit"/>
        <w:tblCellMar>
          <w:top w:w="0" w:type="dxa"/>
          <w:left w:w="108" w:type="dxa"/>
          <w:bottom w:w="0" w:type="dxa"/>
          <w:right w:w="108" w:type="dxa"/>
        </w:tblCellMar>
      </w:tblPr>
      <w:tblGrid>
        <w:gridCol w:w="3934"/>
        <w:gridCol w:w="221"/>
        <w:gridCol w:w="221"/>
        <w:gridCol w:w="3693"/>
        <w:gridCol w:w="1144"/>
        <w:gridCol w:w="1144"/>
        <w:gridCol w:w="1041"/>
        <w:gridCol w:w="629"/>
        <w:gridCol w:w="629"/>
        <w:gridCol w:w="1518"/>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30"/>
                <w:szCs w:val="30"/>
              </w:rPr>
            </w:pPr>
            <w:r>
              <w:rPr>
                <w:rFonts w:hint="eastAsia" w:ascii="宋体" w:hAnsi="宋体" w:eastAsia="宋体" w:cs="宋体"/>
                <w:color w:val="auto"/>
                <w:kern w:val="0"/>
                <w:sz w:val="30"/>
                <w:szCs w:val="30"/>
              </w:rPr>
              <w:t>支出决算表</w:t>
            </w:r>
          </w:p>
        </w:tc>
      </w:tr>
      <w:tr>
        <w:tblPrEx>
          <w:tblCellMar>
            <w:top w:w="0" w:type="dxa"/>
            <w:left w:w="108" w:type="dxa"/>
            <w:bottom w:w="0" w:type="dxa"/>
            <w:right w:w="108" w:type="dxa"/>
          </w:tblCellMar>
        </w:tblPrEx>
        <w:trPr>
          <w:trHeight w:val="255" w:hRule="atLeast"/>
        </w:trPr>
        <w:tc>
          <w:tcPr>
            <w:tcW w:w="133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7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7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253"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19"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19"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83"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3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3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53"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公开03表</w:t>
            </w:r>
          </w:p>
        </w:tc>
      </w:tr>
      <w:tr>
        <w:tblPrEx>
          <w:tblCellMar>
            <w:top w:w="0" w:type="dxa"/>
            <w:left w:w="108" w:type="dxa"/>
            <w:bottom w:w="0" w:type="dxa"/>
            <w:right w:w="108" w:type="dxa"/>
          </w:tblCellMar>
        </w:tblPrEx>
        <w:trPr>
          <w:trHeight w:val="255" w:hRule="atLeast"/>
        </w:trPr>
        <w:tc>
          <w:tcPr>
            <w:tcW w:w="1335" w:type="pct"/>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7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7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253"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19"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19"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83"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3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3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53"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274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419"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本年支出合计</w:t>
            </w:r>
          </w:p>
        </w:tc>
        <w:tc>
          <w:tcPr>
            <w:tcW w:w="419"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基本支出</w:t>
            </w:r>
          </w:p>
        </w:tc>
        <w:tc>
          <w:tcPr>
            <w:tcW w:w="38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项目支出</w:t>
            </w:r>
          </w:p>
        </w:tc>
        <w:tc>
          <w:tcPr>
            <w:tcW w:w="238"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上缴上级支出</w:t>
            </w:r>
          </w:p>
        </w:tc>
        <w:tc>
          <w:tcPr>
            <w:tcW w:w="238"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经营支出</w:t>
            </w:r>
          </w:p>
        </w:tc>
        <w:tc>
          <w:tcPr>
            <w:tcW w:w="55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对附属单位补助支出</w:t>
            </w:r>
          </w:p>
        </w:tc>
      </w:tr>
      <w:tr>
        <w:tblPrEx>
          <w:tblCellMar>
            <w:top w:w="0" w:type="dxa"/>
            <w:left w:w="108" w:type="dxa"/>
            <w:bottom w:w="0" w:type="dxa"/>
            <w:right w:w="108" w:type="dxa"/>
          </w:tblCellMar>
        </w:tblPrEx>
        <w:trPr>
          <w:trHeight w:val="312" w:hRule="atLeast"/>
        </w:trPr>
        <w:tc>
          <w:tcPr>
            <w:tcW w:w="1492"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科目代码</w:t>
            </w:r>
          </w:p>
        </w:tc>
        <w:tc>
          <w:tcPr>
            <w:tcW w:w="1253"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科目名称</w:t>
            </w:r>
          </w:p>
        </w:tc>
        <w:tc>
          <w:tcPr>
            <w:tcW w:w="4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4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8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12" w:hRule="atLeast"/>
        </w:trPr>
        <w:tc>
          <w:tcPr>
            <w:tcW w:w="149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25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4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4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8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12" w:hRule="atLeast"/>
        </w:trPr>
        <w:tc>
          <w:tcPr>
            <w:tcW w:w="149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25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4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41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8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5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2745"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419"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419"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383"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c>
          <w:tcPr>
            <w:tcW w:w="238"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w:t>
            </w:r>
          </w:p>
        </w:tc>
        <w:tc>
          <w:tcPr>
            <w:tcW w:w="238"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w:t>
            </w:r>
          </w:p>
        </w:tc>
        <w:tc>
          <w:tcPr>
            <w:tcW w:w="553"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w:t>
            </w:r>
          </w:p>
        </w:tc>
      </w:tr>
      <w:tr>
        <w:tblPrEx>
          <w:tblCellMar>
            <w:top w:w="0" w:type="dxa"/>
            <w:left w:w="108" w:type="dxa"/>
            <w:bottom w:w="0" w:type="dxa"/>
            <w:right w:w="108" w:type="dxa"/>
          </w:tblCellMar>
        </w:tblPrEx>
        <w:trPr>
          <w:trHeight w:val="308" w:hRule="atLeast"/>
        </w:trPr>
        <w:tc>
          <w:tcPr>
            <w:tcW w:w="2745"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16,546.41</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13,958.22</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2,588.18</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社会保障和就业支出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20805</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行政事业单位养老支出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2080505</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机关事业单位基本养老保险缴费支出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卫生健康支出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16,338.39</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13,750.21</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2,588.18</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公立医院</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15,374.86</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13,750.21</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1,624.65</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2100201</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综合医院</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15,333.78</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13,750.21</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1,583.57</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2100299</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其他公立医院支出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41.08</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41.08</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公共卫生</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848.81</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848.81</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2100401</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疾病预防控制机构</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148.79</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148.79</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2100408</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基本公共卫生服务</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1.20</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2100409</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重大公共卫生服务</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90.08</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90.08</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2100410</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突发公共卫生事件应急处理</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608.75</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608.75</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21006</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中医药</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2100601</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中医（民族医）药专项</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21011</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行政事业单位医疗</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2101199</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其他行政事业单位医疗支出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21099</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其他卫生健康支出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2109999</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其他卫生健康支出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住房保障支出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22102</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住房改革支出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2210201</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住房公积金</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22999</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49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2299999</w:t>
            </w:r>
          </w:p>
        </w:tc>
        <w:tc>
          <w:tcPr>
            <w:tcW w:w="125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其他支出</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4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5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注：本表反映部门本年度各项支出情况。</w:t>
            </w:r>
          </w:p>
        </w:tc>
      </w:tr>
    </w:tbl>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center"/>
        <w:rPr>
          <w:rFonts w:ascii="仿宋" w:hAnsi="仿宋" w:eastAsia="仿宋" w:cs="仿宋"/>
          <w:color w:val="auto"/>
          <w:sz w:val="24"/>
        </w:rPr>
      </w:pPr>
    </w:p>
    <w:p>
      <w:pPr>
        <w:jc w:val="left"/>
        <w:rPr>
          <w:rFonts w:ascii="仿宋" w:hAnsi="仿宋" w:eastAsia="仿宋" w:cs="仿宋"/>
          <w:color w:val="auto"/>
          <w:sz w:val="24"/>
        </w:rPr>
      </w:pPr>
      <w:r>
        <w:rPr>
          <w:rFonts w:hint="eastAsia" w:ascii="仿宋" w:hAnsi="仿宋" w:eastAsia="仿宋" w:cs="仿宋"/>
          <w:color w:val="auto"/>
          <w:sz w:val="24"/>
        </w:rPr>
        <w:t>表四：财政拨款收入支出决算总表</w:t>
      </w:r>
    </w:p>
    <w:p>
      <w:pPr>
        <w:jc w:val="left"/>
        <w:rPr>
          <w:rFonts w:ascii="仿宋" w:hAnsi="仿宋" w:eastAsia="仿宋" w:cs="仿宋"/>
          <w:color w:val="auto"/>
          <w:sz w:val="24"/>
        </w:rPr>
      </w:pPr>
    </w:p>
    <w:tbl>
      <w:tblPr>
        <w:tblStyle w:val="7"/>
        <w:tblW w:w="5000" w:type="pct"/>
        <w:tblInd w:w="0" w:type="dxa"/>
        <w:tblLayout w:type="autofit"/>
        <w:tblCellMar>
          <w:top w:w="0" w:type="dxa"/>
          <w:left w:w="108" w:type="dxa"/>
          <w:bottom w:w="0" w:type="dxa"/>
          <w:right w:w="108" w:type="dxa"/>
        </w:tblCellMar>
      </w:tblPr>
      <w:tblGrid>
        <w:gridCol w:w="3766"/>
        <w:gridCol w:w="481"/>
        <w:gridCol w:w="1379"/>
        <w:gridCol w:w="3145"/>
        <w:gridCol w:w="481"/>
        <w:gridCol w:w="997"/>
        <w:gridCol w:w="1376"/>
        <w:gridCol w:w="1090"/>
        <w:gridCol w:w="1459"/>
      </w:tblGrid>
      <w:tr>
        <w:tblPrEx>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30"/>
                <w:szCs w:val="30"/>
              </w:rPr>
            </w:pPr>
            <w:r>
              <w:rPr>
                <w:rFonts w:hint="eastAsia" w:ascii="宋体" w:hAnsi="宋体" w:eastAsia="宋体" w:cs="宋体"/>
                <w:color w:val="auto"/>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1270"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7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0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102"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7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30"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0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97"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43"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公开04表</w:t>
            </w:r>
          </w:p>
        </w:tc>
      </w:tr>
      <w:tr>
        <w:tblPrEx>
          <w:tblCellMar>
            <w:top w:w="0" w:type="dxa"/>
            <w:left w:w="108" w:type="dxa"/>
            <w:bottom w:w="0" w:type="dxa"/>
            <w:right w:w="108" w:type="dxa"/>
          </w:tblCellMar>
        </w:tblPrEx>
        <w:trPr>
          <w:trHeight w:val="255" w:hRule="atLeast"/>
        </w:trPr>
        <w:tc>
          <w:tcPr>
            <w:tcW w:w="1270" w:type="pct"/>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17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0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102"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7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30"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0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97"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43"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1948"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收     入</w:t>
            </w:r>
          </w:p>
        </w:tc>
        <w:tc>
          <w:tcPr>
            <w:tcW w:w="3051" w:type="pct"/>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支     出</w:t>
            </w:r>
          </w:p>
        </w:tc>
      </w:tr>
      <w:tr>
        <w:tblPrEx>
          <w:tblCellMar>
            <w:top w:w="0" w:type="dxa"/>
            <w:left w:w="108" w:type="dxa"/>
            <w:bottom w:w="0" w:type="dxa"/>
            <w:right w:w="108" w:type="dxa"/>
          </w:tblCellMar>
        </w:tblPrEx>
        <w:trPr>
          <w:trHeight w:val="312" w:hRule="atLeast"/>
        </w:trPr>
        <w:tc>
          <w:tcPr>
            <w:tcW w:w="1270"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行次</w:t>
            </w:r>
          </w:p>
        </w:tc>
        <w:tc>
          <w:tcPr>
            <w:tcW w:w="506"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金额</w:t>
            </w:r>
          </w:p>
        </w:tc>
        <w:tc>
          <w:tcPr>
            <w:tcW w:w="1102"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行次</w:t>
            </w:r>
          </w:p>
        </w:tc>
        <w:tc>
          <w:tcPr>
            <w:tcW w:w="330"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506"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一般公共预算财政拨款</w:t>
            </w:r>
          </w:p>
        </w:tc>
        <w:tc>
          <w:tcPr>
            <w:tcW w:w="397"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政府性基金预算财政拨款</w:t>
            </w:r>
          </w:p>
        </w:tc>
        <w:tc>
          <w:tcPr>
            <w:tcW w:w="543"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国有资本经营预算财政拨款</w:t>
            </w:r>
          </w:p>
        </w:tc>
      </w:tr>
      <w:tr>
        <w:tblPrEx>
          <w:tblCellMar>
            <w:top w:w="0" w:type="dxa"/>
            <w:left w:w="108" w:type="dxa"/>
            <w:bottom w:w="0" w:type="dxa"/>
            <w:right w:w="108" w:type="dxa"/>
          </w:tblCellMar>
        </w:tblPrEx>
        <w:trPr>
          <w:trHeight w:val="615" w:hRule="atLeast"/>
        </w:trPr>
        <w:tc>
          <w:tcPr>
            <w:tcW w:w="1270"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102"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3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97"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43"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50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330"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50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c>
          <w:tcPr>
            <w:tcW w:w="397"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w:t>
            </w:r>
          </w:p>
        </w:tc>
        <w:tc>
          <w:tcPr>
            <w:tcW w:w="543"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2,963.41</w:t>
            </w: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33</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34</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三、国有资本经营预算财政拨款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35</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36</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37</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38</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7</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39</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40</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41</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2,755.39</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2,755.39</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42</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11</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43</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44</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13</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45</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14</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46</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15</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48</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17</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49</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18</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50</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19</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51</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52</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53</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54</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23</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55</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eastAsia="宋体" w:cs="宋体"/>
                <w:b/>
                <w:bCs/>
                <w:color w:val="auto"/>
                <w:sz w:val="20"/>
                <w:szCs w:val="20"/>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24</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56</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0"/>
                <w:szCs w:val="20"/>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25</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57</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0"/>
                <w:szCs w:val="20"/>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26</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58</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27</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2,963.41</w:t>
            </w: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59</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2,963.41</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2,963.41</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28</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60</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61</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62</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63</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27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总计</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32</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2,963.41</w:t>
            </w:r>
          </w:p>
        </w:tc>
        <w:tc>
          <w:tcPr>
            <w:tcW w:w="1102"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总计</w:t>
            </w:r>
          </w:p>
        </w:tc>
        <w:tc>
          <w:tcPr>
            <w:tcW w:w="171"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64</w:t>
            </w:r>
          </w:p>
        </w:tc>
        <w:tc>
          <w:tcPr>
            <w:tcW w:w="33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2,963.41</w:t>
            </w:r>
          </w:p>
        </w:tc>
        <w:tc>
          <w:tcPr>
            <w:tcW w:w="50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2,963.41</w:t>
            </w:r>
          </w:p>
        </w:tc>
        <w:tc>
          <w:tcPr>
            <w:tcW w:w="3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54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4456" w:type="pct"/>
            <w:gridSpan w:val="8"/>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注：本表反映部门本年度一般公共预算财政拨款、政府性基金预算财政拨款和国有资本经营预算财政拨款的总收支和年末结转结余情况。</w:t>
            </w:r>
          </w:p>
        </w:tc>
        <w:tc>
          <w:tcPr>
            <w:tcW w:w="543" w:type="pct"/>
            <w:tcBorders>
              <w:top w:val="nil"/>
              <w:left w:val="nil"/>
              <w:bottom w:val="nil"/>
              <w:right w:val="nil"/>
            </w:tcBorders>
            <w:shd w:val="clear" w:color="auto" w:fill="auto"/>
            <w:noWrap/>
            <w:vAlign w:val="center"/>
          </w:tcPr>
          <w:p>
            <w:pPr>
              <w:jc w:val="left"/>
              <w:rPr>
                <w:rFonts w:ascii="宋体" w:hAnsi="宋体" w:eastAsia="宋体" w:cs="宋体"/>
                <w:color w:val="auto"/>
                <w:sz w:val="20"/>
                <w:szCs w:val="20"/>
              </w:rPr>
            </w:pPr>
          </w:p>
        </w:tc>
      </w:tr>
    </w:tbl>
    <w:p>
      <w:pPr>
        <w:jc w:val="left"/>
        <w:rPr>
          <w:rFonts w:ascii="仿宋" w:hAnsi="仿宋" w:eastAsia="仿宋" w:cs="仿宋"/>
          <w:color w:val="auto"/>
          <w:sz w:val="24"/>
        </w:rPr>
      </w:pPr>
    </w:p>
    <w:p>
      <w:pPr>
        <w:jc w:val="left"/>
        <w:rPr>
          <w:rFonts w:ascii="仿宋" w:hAnsi="仿宋" w:eastAsia="仿宋" w:cs="仿宋"/>
          <w:color w:val="auto"/>
          <w:sz w:val="24"/>
        </w:rPr>
      </w:pPr>
    </w:p>
    <w:p>
      <w:pPr>
        <w:rPr>
          <w:rFonts w:ascii="仿宋" w:hAnsi="仿宋" w:eastAsia="仿宋" w:cs="仿宋"/>
          <w:color w:val="auto"/>
          <w:sz w:val="24"/>
        </w:rPr>
      </w:pPr>
      <w:r>
        <w:rPr>
          <w:rFonts w:ascii="仿宋" w:hAnsi="仿宋" w:eastAsia="仿宋" w:cs="仿宋"/>
          <w:color w:val="auto"/>
          <w:sz w:val="24"/>
        </w:rPr>
        <w:br w:type="page"/>
      </w:r>
    </w:p>
    <w:p>
      <w:pPr>
        <w:jc w:val="left"/>
        <w:rPr>
          <w:rFonts w:ascii="仿宋" w:hAnsi="仿宋" w:eastAsia="仿宋" w:cs="仿宋"/>
          <w:color w:val="auto"/>
          <w:sz w:val="24"/>
        </w:rPr>
      </w:pPr>
    </w:p>
    <w:p>
      <w:pPr>
        <w:jc w:val="left"/>
        <w:rPr>
          <w:rFonts w:ascii="仿宋" w:hAnsi="仿宋" w:eastAsia="仿宋" w:cs="仿宋"/>
          <w:color w:val="auto"/>
          <w:sz w:val="24"/>
        </w:rPr>
      </w:pPr>
      <w:r>
        <w:rPr>
          <w:rFonts w:hint="eastAsia" w:ascii="仿宋" w:hAnsi="仿宋" w:eastAsia="仿宋" w:cs="仿宋"/>
          <w:color w:val="auto"/>
          <w:sz w:val="24"/>
        </w:rPr>
        <w:t>表五：一般公共预算财政拨款支出决算表</w:t>
      </w:r>
    </w:p>
    <w:tbl>
      <w:tblPr>
        <w:tblStyle w:val="7"/>
        <w:tblW w:w="11670" w:type="dxa"/>
        <w:tblInd w:w="93" w:type="dxa"/>
        <w:tblLayout w:type="autofit"/>
        <w:tblCellMar>
          <w:top w:w="0" w:type="dxa"/>
          <w:left w:w="108" w:type="dxa"/>
          <w:bottom w:w="0" w:type="dxa"/>
          <w:right w:w="108" w:type="dxa"/>
        </w:tblCellMar>
      </w:tblPr>
      <w:tblGrid>
        <w:gridCol w:w="4216"/>
        <w:gridCol w:w="222"/>
        <w:gridCol w:w="222"/>
        <w:gridCol w:w="3956"/>
        <w:gridCol w:w="1103"/>
        <w:gridCol w:w="1103"/>
        <w:gridCol w:w="1616"/>
      </w:tblGrid>
      <w:tr>
        <w:tblPrEx>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30"/>
                <w:szCs w:val="30"/>
              </w:rPr>
            </w:pPr>
            <w:r>
              <w:rPr>
                <w:rFonts w:hint="eastAsia" w:ascii="宋体" w:hAnsi="宋体" w:eastAsia="宋体" w:cs="宋体"/>
                <w:color w:val="auto"/>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公开05表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项目支出</w:t>
            </w: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2,963.41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1,055.44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rPr>
              <w:t>1,907.97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2080505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2,755.39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847.42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1,907.97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公立医院</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1,791.86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847.42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944.44</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1,750.78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847.42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903.36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2100299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41.08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41.08</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公共卫生</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848.81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848.81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疾病预防控制机构</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148.79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148.79</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2100409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90.08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90.08</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2100410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608.75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608.75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中医药</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2100601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中医（民族医）药专项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2101199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其他行政事业单位医疗支出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4.72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2109999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2210201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2299999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注：本表反映部门本年度一般公共预算财政拨款支出情况。</w:t>
            </w:r>
          </w:p>
        </w:tc>
      </w:tr>
    </w:tbl>
    <w:p>
      <w:pPr>
        <w:jc w:val="left"/>
        <w:rPr>
          <w:rFonts w:ascii="仿宋" w:hAnsi="仿宋" w:eastAsia="仿宋" w:cs="仿宋"/>
          <w:color w:val="auto"/>
          <w:sz w:val="24"/>
        </w:rPr>
      </w:pPr>
    </w:p>
    <w:p>
      <w:pPr>
        <w:rPr>
          <w:rFonts w:ascii="仿宋" w:hAnsi="仿宋" w:eastAsia="仿宋" w:cs="仿宋"/>
          <w:color w:val="auto"/>
          <w:sz w:val="24"/>
        </w:rPr>
      </w:pPr>
      <w:r>
        <w:rPr>
          <w:rFonts w:ascii="仿宋" w:hAnsi="仿宋" w:eastAsia="仿宋" w:cs="仿宋"/>
          <w:color w:val="auto"/>
          <w:sz w:val="24"/>
        </w:rPr>
        <w:br w:type="page"/>
      </w:r>
    </w:p>
    <w:p>
      <w:pPr>
        <w:jc w:val="left"/>
        <w:rPr>
          <w:rFonts w:ascii="仿宋" w:hAnsi="仿宋" w:eastAsia="仿宋" w:cs="仿宋"/>
          <w:color w:val="auto"/>
          <w:sz w:val="24"/>
        </w:rPr>
      </w:pPr>
      <w:r>
        <w:rPr>
          <w:rFonts w:hint="eastAsia" w:ascii="仿宋" w:hAnsi="仿宋" w:eastAsia="仿宋" w:cs="仿宋"/>
          <w:color w:val="auto"/>
          <w:sz w:val="24"/>
        </w:rPr>
        <w:t>表六：一般公共预算财政拨款基本支出决算表</w:t>
      </w:r>
    </w:p>
    <w:tbl>
      <w:tblPr>
        <w:tblStyle w:val="7"/>
        <w:tblW w:w="5000" w:type="pct"/>
        <w:tblInd w:w="0" w:type="dxa"/>
        <w:tblLayout w:type="autofit"/>
        <w:tblCellMar>
          <w:top w:w="0" w:type="dxa"/>
          <w:left w:w="108" w:type="dxa"/>
          <w:bottom w:w="0" w:type="dxa"/>
          <w:right w:w="108" w:type="dxa"/>
        </w:tblCellMar>
      </w:tblPr>
      <w:tblGrid>
        <w:gridCol w:w="3034"/>
        <w:gridCol w:w="2541"/>
        <w:gridCol w:w="836"/>
        <w:gridCol w:w="603"/>
        <w:gridCol w:w="1766"/>
        <w:gridCol w:w="526"/>
        <w:gridCol w:w="603"/>
        <w:gridCol w:w="3161"/>
        <w:gridCol w:w="1104"/>
      </w:tblGrid>
      <w:tr>
        <w:tblPrEx>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30"/>
                <w:szCs w:val="30"/>
              </w:rPr>
            </w:pPr>
            <w:r>
              <w:rPr>
                <w:rFonts w:hint="eastAsia" w:ascii="宋体" w:hAnsi="宋体" w:eastAsia="宋体" w:cs="宋体"/>
                <w:color w:val="auto"/>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1091"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910"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83"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9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62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69"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9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13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84"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18"/>
                <w:szCs w:val="18"/>
              </w:rPr>
            </w:pPr>
            <w:r>
              <w:rPr>
                <w:rFonts w:hint="eastAsia" w:ascii="宋体" w:hAnsi="宋体" w:eastAsia="宋体" w:cs="宋体"/>
                <w:color w:val="auto"/>
                <w:kern w:val="0"/>
                <w:sz w:val="18"/>
                <w:szCs w:val="18"/>
              </w:rPr>
              <w:t>公开06表</w:t>
            </w:r>
          </w:p>
        </w:tc>
      </w:tr>
      <w:tr>
        <w:tblPrEx>
          <w:tblCellMar>
            <w:top w:w="0" w:type="dxa"/>
            <w:left w:w="108" w:type="dxa"/>
            <w:bottom w:w="0" w:type="dxa"/>
            <w:right w:w="108" w:type="dxa"/>
          </w:tblCellMar>
        </w:tblPrEx>
        <w:trPr>
          <w:trHeight w:val="255" w:hRule="atLeast"/>
        </w:trPr>
        <w:tc>
          <w:tcPr>
            <w:tcW w:w="1091" w:type="pct"/>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910"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283"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9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62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69"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9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113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84"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18"/>
                <w:szCs w:val="18"/>
              </w:rPr>
            </w:pPr>
            <w:r>
              <w:rPr>
                <w:rFonts w:hint="eastAsia" w:ascii="宋体" w:hAnsi="宋体" w:eastAsia="宋体" w:cs="宋体"/>
                <w:color w:val="auto"/>
                <w:kern w:val="0"/>
                <w:sz w:val="18"/>
                <w:szCs w:val="18"/>
              </w:rPr>
              <w:t>金额单位：万元</w:t>
            </w:r>
          </w:p>
        </w:tc>
      </w:tr>
      <w:tr>
        <w:tblPrEx>
          <w:tblCellMar>
            <w:top w:w="0" w:type="dxa"/>
            <w:left w:w="108" w:type="dxa"/>
            <w:bottom w:w="0" w:type="dxa"/>
            <w:right w:w="108" w:type="dxa"/>
          </w:tblCellMar>
        </w:tblPrEx>
        <w:trPr>
          <w:trHeight w:val="308" w:hRule="atLeast"/>
        </w:trPr>
        <w:tc>
          <w:tcPr>
            <w:tcW w:w="228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人员经费</w:t>
            </w:r>
          </w:p>
        </w:tc>
        <w:tc>
          <w:tcPr>
            <w:tcW w:w="2714" w:type="pct"/>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公用经费</w:t>
            </w:r>
          </w:p>
        </w:tc>
      </w:tr>
      <w:tr>
        <w:tblPrEx>
          <w:tblCellMar>
            <w:top w:w="0" w:type="dxa"/>
            <w:left w:w="108" w:type="dxa"/>
            <w:bottom w:w="0" w:type="dxa"/>
            <w:right w:w="108" w:type="dxa"/>
          </w:tblCellMar>
        </w:tblPrEx>
        <w:trPr>
          <w:trHeight w:val="312" w:hRule="atLeast"/>
        </w:trPr>
        <w:tc>
          <w:tcPr>
            <w:tcW w:w="1091"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科目代码</w:t>
            </w:r>
          </w:p>
        </w:tc>
        <w:tc>
          <w:tcPr>
            <w:tcW w:w="910"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科目名称</w:t>
            </w:r>
          </w:p>
        </w:tc>
        <w:tc>
          <w:tcPr>
            <w:tcW w:w="283"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决算数</w:t>
            </w:r>
          </w:p>
        </w:tc>
        <w:tc>
          <w:tcPr>
            <w:tcW w:w="198"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科目代码</w:t>
            </w:r>
          </w:p>
        </w:tc>
        <w:tc>
          <w:tcPr>
            <w:tcW w:w="625"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科目名称</w:t>
            </w:r>
          </w:p>
        </w:tc>
        <w:tc>
          <w:tcPr>
            <w:tcW w:w="169"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决算数</w:t>
            </w:r>
          </w:p>
        </w:tc>
        <w:tc>
          <w:tcPr>
            <w:tcW w:w="198"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科目代码</w:t>
            </w:r>
          </w:p>
        </w:tc>
        <w:tc>
          <w:tcPr>
            <w:tcW w:w="1138"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科目名称</w:t>
            </w:r>
          </w:p>
        </w:tc>
        <w:tc>
          <w:tcPr>
            <w:tcW w:w="384"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决算数</w:t>
            </w:r>
          </w:p>
        </w:tc>
      </w:tr>
      <w:tr>
        <w:tblPrEx>
          <w:tblCellMar>
            <w:top w:w="0" w:type="dxa"/>
            <w:left w:w="108" w:type="dxa"/>
            <w:bottom w:w="0" w:type="dxa"/>
            <w:right w:w="108" w:type="dxa"/>
          </w:tblCellMar>
        </w:tblPrEx>
        <w:trPr>
          <w:trHeight w:val="312" w:hRule="atLeast"/>
        </w:trPr>
        <w:tc>
          <w:tcPr>
            <w:tcW w:w="109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910"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283"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9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62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69"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9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138"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84"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工资福利支出</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986.57</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商品和服务支出</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307</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债务利息及费用支出</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30101</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基本工资</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486.78</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30201</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办公费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30701</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国内债务付息</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30102</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津贴补贴</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27.43</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30202</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印刷费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30702</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国外债务付息</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30103</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奖金</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30203</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咨询费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资本性支出</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30106</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伙食补助费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20.50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30204</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手续费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31001</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房屋建筑物购建</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30107</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绩效工资</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214.68</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30205</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水费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31002</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办公设备购置</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30108</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机关事业单位基本养老保险缴费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107.29</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30206</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电费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31003</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专用设备购置</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30109</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职业年金缴费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30207</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邮电费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31005</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基础设施建设</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30110</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职工基本医疗保险缴费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46.48</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30208</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取暖费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31006</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大型修缮</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30111</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公务员医疗补助缴费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30209</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物业管理费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31007</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信息网络及软件购置更新</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30112</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其他社会保障缴费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3.18</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30211</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差旅费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31008</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物资储备</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30113</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住房公积金</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80.23</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30212</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因公出国（境）费用</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31009</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土地补偿</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30114</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医疗费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30213</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维修（护）费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31010</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安置补助</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30199</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其他工资福利支出</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30214</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租赁费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31011</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地上附着物和青苗补偿</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对个人和家庭的补助</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68.87</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30215</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会议费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31012</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拆迁补偿</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30301</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离休费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30216</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培训费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31013</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公务用车购置</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30302</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退休费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30217</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公务接待费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31019</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其他交通工具购置</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30303</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退职（役）费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30218</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专用材料费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31021</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文物和陈列品购置</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30304</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抚恤金</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16.34</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30224</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被装购置费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31022</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无形资产购置</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30305</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生活补助</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52.52</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30225</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专用燃料费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31099</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其他资本性支出</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30306</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救济费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30226</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劳务费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399</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其他支出</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30307</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医疗费补助</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30227</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委托业务费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39907</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国家赔偿费用支出</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30308</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助学金</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30228</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工会经费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39908</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对民间非营利组织和群众性自治组织补贴</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30309</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奖励金</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30229</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福利费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39909</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经常性赠与</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30310</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个人农业生产补贴</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30231</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公务用车运行维护费</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39910</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资本性赠与</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30311</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代缴社会保险费</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30239</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其他交通费用</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39999</w:t>
            </w:r>
          </w:p>
        </w:tc>
        <w:tc>
          <w:tcPr>
            <w:tcW w:w="113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其他支出</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30399</w:t>
            </w:r>
          </w:p>
        </w:tc>
        <w:tc>
          <w:tcPr>
            <w:tcW w:w="910"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其他对个人和家庭的补助</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30240</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税金及附加费用</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138"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3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0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910"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28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198"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30299</w:t>
            </w:r>
          </w:p>
        </w:tc>
        <w:tc>
          <w:tcPr>
            <w:tcW w:w="625" w:type="pct"/>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 xml:space="preserve">  其他商品和服务支出</w:t>
            </w:r>
          </w:p>
        </w:tc>
        <w:tc>
          <w:tcPr>
            <w:tcW w:w="16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c>
          <w:tcPr>
            <w:tcW w:w="198"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1138" w:type="pct"/>
            <w:tcBorders>
              <w:top w:val="nil"/>
              <w:left w:val="nil"/>
              <w:bottom w:val="single" w:color="000000" w:sz="4" w:space="0"/>
              <w:right w:val="single" w:color="000000" w:sz="4" w:space="0"/>
            </w:tcBorders>
            <w:shd w:val="clear" w:color="FFFFFF" w:fill="C0C0C0"/>
            <w:noWrap/>
            <w:vAlign w:val="center"/>
          </w:tcPr>
          <w:p>
            <w:pPr>
              <w:jc w:val="left"/>
              <w:rPr>
                <w:rFonts w:ascii="宋体" w:hAnsi="宋体" w:eastAsia="宋体" w:cs="宋体"/>
                <w:color w:val="auto"/>
                <w:sz w:val="22"/>
                <w:szCs w:val="22"/>
              </w:rPr>
            </w:pPr>
          </w:p>
        </w:tc>
        <w:tc>
          <w:tcPr>
            <w:tcW w:w="38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2002"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人员经费合计</w:t>
            </w:r>
          </w:p>
        </w:tc>
        <w:tc>
          <w:tcPr>
            <w:tcW w:w="28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1,055.44</w:t>
            </w:r>
          </w:p>
        </w:tc>
        <w:tc>
          <w:tcPr>
            <w:tcW w:w="2329" w:type="pct"/>
            <w:gridSpan w:val="5"/>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公用经费合计</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0.00</w:t>
            </w:r>
          </w:p>
        </w:tc>
      </w:tr>
      <w:tr>
        <w:tblPrEx>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注：本表反映部门本年度一般公共预算财政拨款基本支出明细情况。</w:t>
            </w:r>
          </w:p>
        </w:tc>
      </w:tr>
    </w:tbl>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jc w:val="left"/>
        <w:rPr>
          <w:rFonts w:ascii="仿宋" w:hAnsi="仿宋" w:eastAsia="仿宋" w:cs="仿宋"/>
          <w:color w:val="auto"/>
          <w:sz w:val="24"/>
        </w:rPr>
      </w:pPr>
    </w:p>
    <w:p>
      <w:pPr>
        <w:rPr>
          <w:rFonts w:ascii="仿宋" w:hAnsi="仿宋" w:eastAsia="仿宋" w:cs="仿宋"/>
          <w:color w:val="auto"/>
          <w:sz w:val="24"/>
        </w:rPr>
      </w:pPr>
      <w:r>
        <w:rPr>
          <w:rFonts w:ascii="仿宋" w:hAnsi="仿宋" w:eastAsia="仿宋" w:cs="仿宋"/>
          <w:color w:val="auto"/>
          <w:sz w:val="24"/>
        </w:rPr>
        <w:br w:type="page"/>
      </w:r>
    </w:p>
    <w:p>
      <w:pPr>
        <w:jc w:val="left"/>
        <w:rPr>
          <w:rFonts w:ascii="仿宋" w:hAnsi="仿宋" w:eastAsia="仿宋" w:cs="仿宋"/>
          <w:color w:val="auto"/>
          <w:sz w:val="24"/>
        </w:rPr>
      </w:pPr>
      <w:r>
        <w:rPr>
          <w:rFonts w:hint="eastAsia" w:ascii="仿宋" w:hAnsi="仿宋" w:eastAsia="仿宋" w:cs="仿宋"/>
          <w:color w:val="auto"/>
          <w:sz w:val="24"/>
        </w:rPr>
        <w:t>表七：政府性基金预算财政拨款收入支出决算表</w:t>
      </w:r>
    </w:p>
    <w:tbl>
      <w:tblPr>
        <w:tblStyle w:val="7"/>
        <w:tblW w:w="5000" w:type="pct"/>
        <w:tblInd w:w="0" w:type="dxa"/>
        <w:tblLayout w:type="autofit"/>
        <w:tblCellMar>
          <w:top w:w="0" w:type="dxa"/>
          <w:left w:w="108" w:type="dxa"/>
          <w:bottom w:w="0" w:type="dxa"/>
          <w:right w:w="108" w:type="dxa"/>
        </w:tblCellMar>
      </w:tblPr>
      <w:tblGrid>
        <w:gridCol w:w="4216"/>
        <w:gridCol w:w="226"/>
        <w:gridCol w:w="233"/>
        <w:gridCol w:w="1096"/>
        <w:gridCol w:w="1292"/>
        <w:gridCol w:w="1373"/>
        <w:gridCol w:w="1373"/>
        <w:gridCol w:w="1373"/>
        <w:gridCol w:w="1376"/>
        <w:gridCol w:w="1616"/>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30"/>
                <w:szCs w:val="30"/>
              </w:rPr>
            </w:pPr>
            <w:r>
              <w:rPr>
                <w:rFonts w:hint="eastAsia" w:ascii="宋体" w:hAnsi="宋体" w:eastAsia="宋体" w:cs="宋体"/>
                <w:color w:val="auto"/>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1322"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9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9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60"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44"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公开07表</w:t>
            </w:r>
          </w:p>
        </w:tc>
      </w:tr>
      <w:tr>
        <w:tblPrEx>
          <w:tblCellMar>
            <w:top w:w="0" w:type="dxa"/>
            <w:left w:w="108" w:type="dxa"/>
            <w:bottom w:w="0" w:type="dxa"/>
            <w:right w:w="108" w:type="dxa"/>
          </w:tblCellMar>
        </w:tblPrEx>
        <w:trPr>
          <w:trHeight w:val="255" w:hRule="atLeast"/>
        </w:trPr>
        <w:tc>
          <w:tcPr>
            <w:tcW w:w="1322" w:type="pct"/>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9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98"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60"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1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544"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1877"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515"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年初结转和结余</w:t>
            </w:r>
          </w:p>
        </w:tc>
        <w:tc>
          <w:tcPr>
            <w:tcW w:w="515"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本年收入</w:t>
            </w:r>
          </w:p>
        </w:tc>
        <w:tc>
          <w:tcPr>
            <w:tcW w:w="1546"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本年支出</w:t>
            </w:r>
          </w:p>
        </w:tc>
        <w:tc>
          <w:tcPr>
            <w:tcW w:w="544"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年末结转和结余</w:t>
            </w:r>
          </w:p>
        </w:tc>
      </w:tr>
      <w:tr>
        <w:tblPrEx>
          <w:tblCellMar>
            <w:top w:w="0" w:type="dxa"/>
            <w:left w:w="108" w:type="dxa"/>
            <w:bottom w:w="0" w:type="dxa"/>
            <w:right w:w="108" w:type="dxa"/>
          </w:tblCellMar>
        </w:tblPrEx>
        <w:trPr>
          <w:trHeight w:val="312" w:hRule="atLeast"/>
        </w:trPr>
        <w:tc>
          <w:tcPr>
            <w:tcW w:w="151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科目代码</w:t>
            </w:r>
          </w:p>
        </w:tc>
        <w:tc>
          <w:tcPr>
            <w:tcW w:w="360" w:type="pct"/>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科目名称</w:t>
            </w: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5"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小计</w:t>
            </w:r>
          </w:p>
        </w:tc>
        <w:tc>
          <w:tcPr>
            <w:tcW w:w="515"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基本支出</w:t>
            </w:r>
          </w:p>
        </w:tc>
        <w:tc>
          <w:tcPr>
            <w:tcW w:w="516"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项目支出</w:t>
            </w:r>
          </w:p>
        </w:tc>
        <w:tc>
          <w:tcPr>
            <w:tcW w:w="54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12" w:hRule="atLeast"/>
        </w:trPr>
        <w:tc>
          <w:tcPr>
            <w:tcW w:w="151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6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6"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4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12" w:hRule="atLeast"/>
        </w:trPr>
        <w:tc>
          <w:tcPr>
            <w:tcW w:w="151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6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16"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54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877"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515"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515"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515"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c>
          <w:tcPr>
            <w:tcW w:w="515"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w:t>
            </w:r>
          </w:p>
        </w:tc>
        <w:tc>
          <w:tcPr>
            <w:tcW w:w="516"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w:t>
            </w:r>
          </w:p>
        </w:tc>
        <w:tc>
          <w:tcPr>
            <w:tcW w:w="544" w:type="pc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w:t>
            </w:r>
          </w:p>
        </w:tc>
      </w:tr>
      <w:tr>
        <w:tblPrEx>
          <w:tblCellMar>
            <w:top w:w="0" w:type="dxa"/>
            <w:left w:w="108" w:type="dxa"/>
            <w:bottom w:w="0" w:type="dxa"/>
            <w:right w:w="108" w:type="dxa"/>
          </w:tblCellMar>
        </w:tblPrEx>
        <w:trPr>
          <w:trHeight w:val="308" w:hRule="atLeast"/>
        </w:trPr>
        <w:tc>
          <w:tcPr>
            <w:tcW w:w="1877"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r>
      <w:tr>
        <w:tblPrEx>
          <w:tblCellMar>
            <w:top w:w="0" w:type="dxa"/>
            <w:left w:w="108" w:type="dxa"/>
            <w:bottom w:w="0" w:type="dxa"/>
            <w:right w:w="108" w:type="dxa"/>
          </w:tblCellMar>
        </w:tblPrEx>
        <w:trPr>
          <w:trHeight w:val="308" w:hRule="atLeast"/>
        </w:trPr>
        <w:tc>
          <w:tcPr>
            <w:tcW w:w="151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2"/>
                <w:szCs w:val="22"/>
              </w:rPr>
            </w:pPr>
          </w:p>
        </w:tc>
        <w:tc>
          <w:tcPr>
            <w:tcW w:w="360" w:type="pct"/>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2"/>
                <w:szCs w:val="22"/>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r>
      <w:tr>
        <w:tblPrEx>
          <w:tblCellMar>
            <w:top w:w="0" w:type="dxa"/>
            <w:left w:w="108" w:type="dxa"/>
            <w:bottom w:w="0" w:type="dxa"/>
            <w:right w:w="108" w:type="dxa"/>
          </w:tblCellMar>
        </w:tblPrEx>
        <w:trPr>
          <w:trHeight w:val="1532" w:hRule="atLeast"/>
        </w:trPr>
        <w:tc>
          <w:tcPr>
            <w:tcW w:w="5000" w:type="pct"/>
            <w:gridSpan w:val="10"/>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auto"/>
                <w:sz w:val="22"/>
                <w:szCs w:val="22"/>
                <w:lang w:val="en-US" w:eastAsia="zh-CN"/>
              </w:rPr>
            </w:pPr>
            <w:r>
              <w:rPr>
                <w:rFonts w:hint="eastAsia" w:ascii="宋体" w:hAnsi="宋体" w:eastAsia="宋体" w:cs="宋体"/>
                <w:color w:val="auto"/>
                <w:kern w:val="0"/>
                <w:sz w:val="22"/>
                <w:szCs w:val="22"/>
              </w:rPr>
              <w:t>注：</w:t>
            </w:r>
            <w:r>
              <w:rPr>
                <w:rFonts w:hint="eastAsia" w:ascii="宋体" w:hAnsi="宋体" w:eastAsia="宋体" w:cs="宋体"/>
                <w:color w:val="auto"/>
                <w:kern w:val="0"/>
                <w:sz w:val="22"/>
                <w:szCs w:val="22"/>
                <w:lang w:val="en-US" w:eastAsia="zh-CN"/>
              </w:rPr>
              <w:t>本部门2022年度没有政府性基金预算财政拨款收入，也没有政府性基金预算财政拨款安排的支出，故本表无数据。</w:t>
            </w:r>
          </w:p>
        </w:tc>
      </w:tr>
    </w:tbl>
    <w:p>
      <w:pPr>
        <w:jc w:val="left"/>
        <w:rPr>
          <w:rFonts w:ascii="仿宋" w:hAnsi="仿宋" w:eastAsia="仿宋" w:cs="仿宋"/>
          <w:color w:val="auto"/>
          <w:sz w:val="24"/>
        </w:rPr>
      </w:pPr>
    </w:p>
    <w:p>
      <w:pPr>
        <w:rPr>
          <w:rFonts w:ascii="仿宋" w:hAnsi="仿宋" w:eastAsia="仿宋" w:cs="仿宋"/>
          <w:color w:val="auto"/>
          <w:sz w:val="24"/>
        </w:rPr>
      </w:pPr>
      <w:r>
        <w:rPr>
          <w:rFonts w:ascii="仿宋" w:hAnsi="仿宋" w:eastAsia="仿宋" w:cs="仿宋"/>
          <w:color w:val="auto"/>
          <w:sz w:val="24"/>
        </w:rPr>
        <w:br w:type="page"/>
      </w:r>
    </w:p>
    <w:p>
      <w:pPr>
        <w:jc w:val="left"/>
        <w:rPr>
          <w:rFonts w:ascii="仿宋" w:hAnsi="仿宋" w:eastAsia="仿宋" w:cs="仿宋"/>
          <w:color w:val="auto"/>
          <w:sz w:val="24"/>
        </w:rPr>
      </w:pPr>
    </w:p>
    <w:p>
      <w:pPr>
        <w:jc w:val="left"/>
        <w:rPr>
          <w:rFonts w:ascii="仿宋" w:hAnsi="仿宋" w:eastAsia="仿宋" w:cs="仿宋"/>
          <w:color w:val="auto"/>
          <w:sz w:val="24"/>
        </w:rPr>
      </w:pPr>
      <w:r>
        <w:rPr>
          <w:rFonts w:hint="eastAsia" w:ascii="仿宋" w:hAnsi="仿宋" w:eastAsia="仿宋" w:cs="仿宋"/>
          <w:color w:val="auto"/>
          <w:sz w:val="24"/>
        </w:rPr>
        <w:t>表八：国有资本经营预算财政拨款支出决算表</w:t>
      </w:r>
    </w:p>
    <w:tbl>
      <w:tblPr>
        <w:tblStyle w:val="7"/>
        <w:tblW w:w="9961" w:type="dxa"/>
        <w:tblInd w:w="93" w:type="dxa"/>
        <w:tblLayout w:type="autofit"/>
        <w:tblCellMar>
          <w:top w:w="0" w:type="dxa"/>
          <w:left w:w="108" w:type="dxa"/>
          <w:bottom w:w="0" w:type="dxa"/>
          <w:right w:w="108" w:type="dxa"/>
        </w:tblCellMar>
      </w:tblPr>
      <w:tblGrid>
        <w:gridCol w:w="4216"/>
        <w:gridCol w:w="222"/>
        <w:gridCol w:w="222"/>
        <w:gridCol w:w="1096"/>
        <w:gridCol w:w="1320"/>
        <w:gridCol w:w="1205"/>
        <w:gridCol w:w="1680"/>
      </w:tblGrid>
      <w:tr>
        <w:tblPrEx>
          <w:tblCellMar>
            <w:top w:w="0" w:type="dxa"/>
            <w:left w:w="108" w:type="dxa"/>
            <w:bottom w:w="0" w:type="dxa"/>
            <w:right w:w="108" w:type="dxa"/>
          </w:tblCellMar>
        </w:tblPrEx>
        <w:trPr>
          <w:trHeight w:val="390" w:hRule="atLeast"/>
        </w:trPr>
        <w:tc>
          <w:tcPr>
            <w:tcW w:w="9961" w:type="dxa"/>
            <w:gridSpan w:val="7"/>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30"/>
                <w:szCs w:val="30"/>
              </w:rPr>
            </w:pPr>
            <w:r>
              <w:rPr>
                <w:rFonts w:hint="eastAsia" w:ascii="宋体" w:hAnsi="宋体" w:eastAsia="宋体" w:cs="宋体"/>
                <w:color w:val="auto"/>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公开08表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auto"/>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w:t>
            </w:r>
          </w:p>
        </w:tc>
        <w:tc>
          <w:tcPr>
            <w:tcW w:w="4205"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本年支出</w:t>
            </w:r>
          </w:p>
        </w:tc>
      </w:tr>
      <w:tr>
        <w:tblPrEx>
          <w:tblCellMar>
            <w:top w:w="0" w:type="dxa"/>
            <w:left w:w="108" w:type="dxa"/>
            <w:bottom w:w="0" w:type="dxa"/>
            <w:right w:w="108" w:type="dxa"/>
          </w:tblCellMar>
        </w:tblPrEx>
        <w:trPr>
          <w:trHeight w:val="312" w:hRule="atLeast"/>
        </w:trPr>
        <w:tc>
          <w:tcPr>
            <w:tcW w:w="46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科目名称</w:t>
            </w:r>
          </w:p>
        </w:tc>
        <w:tc>
          <w:tcPr>
            <w:tcW w:w="132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120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项目支出</w:t>
            </w:r>
          </w:p>
        </w:tc>
      </w:tr>
      <w:tr>
        <w:tblPrEx>
          <w:tblCellMar>
            <w:top w:w="0" w:type="dxa"/>
            <w:left w:w="108" w:type="dxa"/>
            <w:bottom w:w="0" w:type="dxa"/>
            <w:right w:w="108" w:type="dxa"/>
          </w:tblCellMar>
        </w:tblPrEx>
        <w:trPr>
          <w:trHeight w:val="312" w:hRule="atLeast"/>
        </w:trPr>
        <w:tc>
          <w:tcPr>
            <w:tcW w:w="4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132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205"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12" w:hRule="atLeast"/>
        </w:trPr>
        <w:tc>
          <w:tcPr>
            <w:tcW w:w="4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eastAsia="宋体" w:cs="宋体"/>
                <w:color w:val="auto"/>
                <w:sz w:val="22"/>
                <w:szCs w:val="22"/>
              </w:rPr>
            </w:pPr>
          </w:p>
        </w:tc>
        <w:tc>
          <w:tcPr>
            <w:tcW w:w="132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205"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注：本表反映部门本年度国有资本经营预算财政拨款支出情况。</w:t>
            </w:r>
          </w:p>
        </w:tc>
      </w:tr>
    </w:tbl>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eastAsia="宋体" w:cs="宋体"/>
          <w:color w:val="auto"/>
          <w:szCs w:val="21"/>
        </w:rPr>
        <w:t>本部门</w:t>
      </w:r>
      <w:r>
        <w:rPr>
          <w:rFonts w:ascii="Times New Roman" w:hAnsi="Times New Roman" w:eastAsia="宋体" w:cs="Times New Roman"/>
          <w:color w:val="auto"/>
          <w:szCs w:val="21"/>
        </w:rPr>
        <w:t>2022</w:t>
      </w:r>
      <w:r>
        <w:rPr>
          <w:rFonts w:hint="eastAsia" w:ascii="宋体" w:hAnsi="宋体" w:eastAsia="宋体" w:cs="宋体"/>
          <w:color w:val="auto"/>
          <w:szCs w:val="21"/>
        </w:rPr>
        <w:t>年度没有国有资本经营预算财政拨款收入，也没有国有资本经营预算财政拨款安排的支出，故本表无数据</w:t>
      </w:r>
      <w:r>
        <w:rPr>
          <w:rFonts w:hint="eastAsia" w:ascii="宋体" w:hAnsi="宋体" w:eastAsia="宋体" w:cs="宋体"/>
          <w:color w:val="auto"/>
          <w:szCs w:val="21"/>
          <w:lang w:eastAsia="zh-CN"/>
        </w:rPr>
        <w:t>。</w:t>
      </w:r>
    </w:p>
    <w:p>
      <w:pPr>
        <w:widowControl/>
        <w:jc w:val="left"/>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br w:type="page"/>
      </w:r>
    </w:p>
    <w:p>
      <w:pPr>
        <w:widowControl/>
        <w:jc w:val="left"/>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表九：</w:t>
      </w:r>
      <w:r>
        <w:rPr>
          <w:rFonts w:hint="eastAsia" w:ascii="仿宋" w:hAnsi="仿宋" w:eastAsia="仿宋" w:cs="仿宋"/>
          <w:color w:val="auto"/>
          <w:kern w:val="0"/>
          <w:sz w:val="24"/>
          <w:szCs w:val="24"/>
        </w:rPr>
        <w:t>财政拨款“三公”经费支出决算表</w:t>
      </w:r>
    </w:p>
    <w:tbl>
      <w:tblPr>
        <w:tblStyle w:val="7"/>
        <w:tblW w:w="5000" w:type="pct"/>
        <w:tblInd w:w="0" w:type="dxa"/>
        <w:tblLayout w:type="autofit"/>
        <w:tblCellMar>
          <w:top w:w="0" w:type="dxa"/>
          <w:left w:w="108" w:type="dxa"/>
          <w:bottom w:w="0" w:type="dxa"/>
          <w:right w:w="108" w:type="dxa"/>
        </w:tblCellMar>
      </w:tblPr>
      <w:tblGrid>
        <w:gridCol w:w="4216"/>
        <w:gridCol w:w="1085"/>
        <w:gridCol w:w="771"/>
        <w:gridCol w:w="771"/>
        <w:gridCol w:w="771"/>
        <w:gridCol w:w="773"/>
        <w:gridCol w:w="771"/>
        <w:gridCol w:w="1085"/>
        <w:gridCol w:w="771"/>
        <w:gridCol w:w="771"/>
        <w:gridCol w:w="772"/>
        <w:gridCol w:w="1617"/>
      </w:tblGrid>
      <w:tr>
        <w:tblPrEx>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auto"/>
                <w:sz w:val="44"/>
                <w:szCs w:val="44"/>
              </w:rPr>
            </w:pPr>
            <w:r>
              <w:rPr>
                <w:rFonts w:hint="eastAsia" w:ascii="宋体" w:hAnsi="宋体" w:eastAsia="宋体" w:cs="宋体"/>
                <w:color w:val="auto"/>
                <w:kern w:val="0"/>
                <w:sz w:val="44"/>
                <w:szCs w:val="44"/>
              </w:rPr>
              <w:t>财政拨款“三公”经费支出决算表</w:t>
            </w:r>
          </w:p>
        </w:tc>
      </w:tr>
      <w:tr>
        <w:tblPrEx>
          <w:tblCellMar>
            <w:top w:w="0" w:type="dxa"/>
            <w:left w:w="108" w:type="dxa"/>
            <w:bottom w:w="0" w:type="dxa"/>
            <w:right w:w="108" w:type="dxa"/>
          </w:tblCellMar>
        </w:tblPrEx>
        <w:trPr>
          <w:trHeight w:val="255" w:hRule="atLeast"/>
        </w:trPr>
        <w:tc>
          <w:tcPr>
            <w:tcW w:w="124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1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1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81"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公开09表</w:t>
            </w:r>
          </w:p>
        </w:tc>
      </w:tr>
      <w:tr>
        <w:tblPrEx>
          <w:tblCellMar>
            <w:top w:w="0" w:type="dxa"/>
            <w:left w:w="108" w:type="dxa"/>
            <w:bottom w:w="0" w:type="dxa"/>
            <w:right w:w="108" w:type="dxa"/>
          </w:tblCellMar>
        </w:tblPrEx>
        <w:trPr>
          <w:trHeight w:val="255" w:hRule="atLeast"/>
        </w:trPr>
        <w:tc>
          <w:tcPr>
            <w:tcW w:w="1245" w:type="pct"/>
            <w:tcBorders>
              <w:top w:val="nil"/>
              <w:left w:val="nil"/>
              <w:bottom w:val="nil"/>
              <w:right w:val="nil"/>
            </w:tcBorders>
            <w:shd w:val="clear" w:color="auto" w:fill="auto"/>
            <w:noWrap/>
            <w:vAlign w:val="bottom"/>
          </w:tcPr>
          <w:p>
            <w:pPr>
              <w:widowControl/>
              <w:jc w:val="lef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部门：广西河池市环江毛南族自治县人民医院</w:t>
            </w:r>
          </w:p>
        </w:tc>
        <w:tc>
          <w:tcPr>
            <w:tcW w:w="41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16"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305" w:type="pct"/>
            <w:tcBorders>
              <w:top w:val="nil"/>
              <w:left w:val="nil"/>
              <w:bottom w:val="nil"/>
              <w:right w:val="nil"/>
            </w:tcBorders>
            <w:shd w:val="clear" w:color="auto" w:fill="auto"/>
            <w:noWrap/>
            <w:vAlign w:val="bottom"/>
          </w:tcPr>
          <w:p>
            <w:pPr>
              <w:rPr>
                <w:rFonts w:ascii="Arial" w:hAnsi="Arial" w:cs="Arial"/>
                <w:color w:val="auto"/>
                <w:sz w:val="20"/>
                <w:szCs w:val="20"/>
              </w:rPr>
            </w:pPr>
          </w:p>
        </w:tc>
        <w:tc>
          <w:tcPr>
            <w:tcW w:w="481"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auto"/>
                <w:sz w:val="20"/>
                <w:szCs w:val="20"/>
              </w:rPr>
            </w:pPr>
            <w:r>
              <w:rPr>
                <w:rFonts w:hint="eastAsia" w:ascii="宋体" w:hAnsi="宋体" w:eastAsia="宋体" w:cs="宋体"/>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2882"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预算数</w:t>
            </w:r>
          </w:p>
        </w:tc>
        <w:tc>
          <w:tcPr>
            <w:tcW w:w="2117" w:type="pct"/>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决算数</w:t>
            </w:r>
          </w:p>
        </w:tc>
      </w:tr>
      <w:tr>
        <w:tblPrEx>
          <w:tblCellMar>
            <w:top w:w="0" w:type="dxa"/>
            <w:left w:w="108" w:type="dxa"/>
            <w:bottom w:w="0" w:type="dxa"/>
            <w:right w:w="108" w:type="dxa"/>
          </w:tblCellMar>
        </w:tblPrEx>
        <w:trPr>
          <w:trHeight w:val="308" w:hRule="atLeast"/>
        </w:trPr>
        <w:tc>
          <w:tcPr>
            <w:tcW w:w="1245"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因公出国（境）费</w:t>
            </w:r>
          </w:p>
        </w:tc>
        <w:tc>
          <w:tcPr>
            <w:tcW w:w="915" w:type="pct"/>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公务用车购置及运行维护费</w:t>
            </w:r>
          </w:p>
        </w:tc>
        <w:tc>
          <w:tcPr>
            <w:tcW w:w="305"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公务接待费</w:t>
            </w:r>
          </w:p>
        </w:tc>
        <w:tc>
          <w:tcPr>
            <w:tcW w:w="305"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因公出国（境）费</w:t>
            </w:r>
          </w:p>
        </w:tc>
        <w:tc>
          <w:tcPr>
            <w:tcW w:w="915" w:type="pct"/>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公务用车购置及运行维护费</w:t>
            </w:r>
          </w:p>
        </w:tc>
        <w:tc>
          <w:tcPr>
            <w:tcW w:w="481" w:type="pct"/>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公务接待费</w:t>
            </w:r>
          </w:p>
        </w:tc>
      </w:tr>
      <w:tr>
        <w:tblPrEx>
          <w:tblCellMar>
            <w:top w:w="0" w:type="dxa"/>
            <w:left w:w="108" w:type="dxa"/>
            <w:bottom w:w="0" w:type="dxa"/>
            <w:right w:w="108" w:type="dxa"/>
          </w:tblCellMar>
        </w:tblPrEx>
        <w:trPr>
          <w:trHeight w:val="615" w:hRule="atLeast"/>
        </w:trPr>
        <w:tc>
          <w:tcPr>
            <w:tcW w:w="1245"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小计</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公务用车购置费</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公务用车运行维护费</w:t>
            </w: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小计</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公务用车购置费</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公务用车运行维护费</w:t>
            </w:r>
          </w:p>
        </w:tc>
        <w:tc>
          <w:tcPr>
            <w:tcW w:w="481" w:type="pct"/>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eastAsia="宋体" w:cs="宋体"/>
                <w:color w:val="auto"/>
                <w:sz w:val="22"/>
                <w:szCs w:val="22"/>
              </w:rPr>
            </w:pPr>
          </w:p>
        </w:tc>
      </w:tr>
      <w:tr>
        <w:tblPrEx>
          <w:tblCellMar>
            <w:top w:w="0" w:type="dxa"/>
            <w:left w:w="108" w:type="dxa"/>
            <w:bottom w:w="0" w:type="dxa"/>
            <w:right w:w="108" w:type="dxa"/>
          </w:tblCellMar>
        </w:tblPrEx>
        <w:trPr>
          <w:trHeight w:val="308" w:hRule="atLeast"/>
        </w:trPr>
        <w:tc>
          <w:tcPr>
            <w:tcW w:w="1245" w:type="pc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w:t>
            </w:r>
          </w:p>
        </w:tc>
        <w:tc>
          <w:tcPr>
            <w:tcW w:w="416"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2</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3</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4</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5</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6</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7</w:t>
            </w:r>
          </w:p>
        </w:tc>
        <w:tc>
          <w:tcPr>
            <w:tcW w:w="416"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8</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9</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10</w:t>
            </w:r>
          </w:p>
        </w:tc>
        <w:tc>
          <w:tcPr>
            <w:tcW w:w="305"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11</w:t>
            </w:r>
          </w:p>
        </w:tc>
        <w:tc>
          <w:tcPr>
            <w:tcW w:w="481" w:type="pc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rPr>
              <w:t>12</w:t>
            </w:r>
          </w:p>
        </w:tc>
      </w:tr>
      <w:tr>
        <w:tblPrEx>
          <w:tblCellMar>
            <w:top w:w="0" w:type="dxa"/>
            <w:left w:w="108" w:type="dxa"/>
            <w:bottom w:w="0" w:type="dxa"/>
            <w:right w:w="108" w:type="dxa"/>
          </w:tblCellMar>
        </w:tblPrEx>
        <w:trPr>
          <w:trHeight w:val="308" w:hRule="atLeast"/>
        </w:trPr>
        <w:tc>
          <w:tcPr>
            <w:tcW w:w="1245"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0.00</w:t>
            </w:r>
          </w:p>
        </w:tc>
      </w:tr>
      <w:tr>
        <w:tblPrEx>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widowControl/>
              <w:jc w:val="left"/>
              <w:textAlignment w:val="center"/>
              <w:rPr>
                <w:rFonts w:hint="default" w:ascii="宋体" w:hAnsi="宋体" w:eastAsia="宋体" w:cs="宋体"/>
                <w:color w:val="auto"/>
                <w:sz w:val="22"/>
                <w:szCs w:val="22"/>
                <w:lang w:val="en-US" w:eastAsia="zh-CN"/>
              </w:rPr>
            </w:pPr>
            <w:r>
              <w:rPr>
                <w:rFonts w:hint="eastAsia" w:ascii="宋体" w:hAnsi="宋体" w:eastAsia="宋体" w:cs="宋体"/>
                <w:color w:val="auto"/>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eastAsia="宋体" w:cs="宋体"/>
                <w:color w:val="auto"/>
                <w:kern w:val="0"/>
                <w:sz w:val="22"/>
                <w:szCs w:val="22"/>
                <w:lang w:val="en-US" w:eastAsia="zh-CN"/>
              </w:rPr>
              <w:t>说明：本表无数据。</w:t>
            </w:r>
          </w:p>
        </w:tc>
      </w:tr>
    </w:tbl>
    <w:p>
      <w:pPr>
        <w:widowControl/>
        <w:jc w:val="left"/>
        <w:textAlignment w:val="center"/>
        <w:rPr>
          <w:rFonts w:ascii="宋体" w:hAnsi="宋体" w:eastAsia="宋体" w:cs="宋体"/>
          <w:color w:val="auto"/>
          <w:kern w:val="0"/>
          <w:sz w:val="22"/>
          <w:szCs w:val="22"/>
        </w:rPr>
      </w:pPr>
    </w:p>
    <w:p>
      <w:pPr>
        <w:widowControl/>
        <w:jc w:val="left"/>
        <w:textAlignment w:val="center"/>
        <w:rPr>
          <w:rFonts w:ascii="宋体" w:hAnsi="宋体" w:eastAsia="宋体" w:cs="宋体"/>
          <w:color w:val="auto"/>
          <w:kern w:val="0"/>
          <w:sz w:val="22"/>
          <w:szCs w:val="22"/>
        </w:rPr>
      </w:pPr>
    </w:p>
    <w:p>
      <w:pPr>
        <w:ind w:firstLine="420"/>
        <w:jc w:val="left"/>
        <w:rPr>
          <w:rFonts w:ascii="仿宋" w:hAnsi="仿宋" w:eastAsia="仿宋" w:cs="仿宋"/>
          <w:color w:val="auto"/>
          <w:sz w:val="24"/>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auto"/>
          <w:sz w:val="24"/>
        </w:rPr>
      </w:pPr>
    </w:p>
    <w:p>
      <w:pPr>
        <w:jc w:val="center"/>
        <w:rPr>
          <w:rFonts w:ascii="仿宋" w:hAnsi="仿宋" w:eastAsia="仿宋" w:cs="仿宋"/>
          <w:color w:val="auto"/>
          <w:sz w:val="32"/>
          <w:szCs w:val="32"/>
        </w:rPr>
      </w:pPr>
      <w:r>
        <w:rPr>
          <w:rFonts w:hint="eastAsia" w:ascii="黑体" w:hAnsi="黑体" w:eastAsia="黑体" w:cs="黑体"/>
          <w:color w:val="auto"/>
          <w:sz w:val="32"/>
          <w:szCs w:val="32"/>
        </w:rPr>
        <w:t>第三部分：</w:t>
      </w:r>
      <w:r>
        <w:rPr>
          <w:rFonts w:hint="eastAsia" w:ascii="黑体" w:hAnsi="黑体" w:eastAsia="黑体" w:cs="黑体"/>
          <w:color w:val="auto"/>
          <w:sz w:val="32"/>
          <w:lang w:val="en-US" w:eastAsia="zh-CN"/>
        </w:rPr>
        <w:t>环江毛南族自治县人民医院</w:t>
      </w:r>
      <w:r>
        <w:rPr>
          <w:rFonts w:hint="eastAsia" w:ascii="黑体" w:hAnsi="黑体" w:eastAsia="黑体" w:cs="黑体"/>
          <w:color w:val="auto"/>
          <w:sz w:val="32"/>
          <w:szCs w:val="32"/>
        </w:rPr>
        <w:t>2022年度部门决算情况说明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一、2022年度收入支出决算总体情况</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（一）本部门2022年度总收入</w:t>
      </w:r>
      <w:r>
        <w:rPr>
          <w:rFonts w:hint="eastAsia" w:ascii="仿宋" w:hAnsi="仿宋" w:eastAsia="仿宋" w:cs="仿宋"/>
          <w:color w:val="auto"/>
          <w:sz w:val="32"/>
        </w:rPr>
        <w:t>16575.42</w:t>
      </w:r>
      <w:r>
        <w:rPr>
          <w:rFonts w:hint="eastAsia" w:ascii="仿宋" w:hAnsi="仿宋" w:eastAsia="仿宋" w:cs="仿宋"/>
          <w:color w:val="auto"/>
          <w:sz w:val="32"/>
          <w:szCs w:val="32"/>
        </w:rPr>
        <w:t>万元，较2021年度决算数</w:t>
      </w:r>
      <w:r>
        <w:rPr>
          <w:rFonts w:ascii="仿宋" w:hAnsi="仿宋" w:eastAsia="仿宋" w:cs="仿宋"/>
          <w:color w:val="auto"/>
          <w:sz w:val="32"/>
        </w:rPr>
        <w:t>减少</w:t>
      </w:r>
      <w:r>
        <w:rPr>
          <w:rFonts w:hint="eastAsia" w:ascii="仿宋" w:hAnsi="仿宋" w:eastAsia="仿宋" w:cs="仿宋"/>
          <w:color w:val="auto"/>
          <w:sz w:val="32"/>
        </w:rPr>
        <w:t>628.7</w:t>
      </w:r>
      <w:r>
        <w:rPr>
          <w:rFonts w:hint="eastAsia" w:ascii="仿宋" w:hAnsi="仿宋" w:eastAsia="仿宋" w:cs="仿宋"/>
          <w:color w:val="auto"/>
          <w:sz w:val="32"/>
          <w:szCs w:val="32"/>
        </w:rPr>
        <w:t>万元，</w:t>
      </w:r>
      <w:r>
        <w:rPr>
          <w:rFonts w:ascii="仿宋" w:hAnsi="仿宋" w:eastAsia="仿宋" w:cs="仿宋"/>
          <w:color w:val="auto"/>
          <w:sz w:val="32"/>
        </w:rPr>
        <w:t>下降</w:t>
      </w:r>
      <w:r>
        <w:rPr>
          <w:rFonts w:hint="eastAsia" w:ascii="仿宋" w:hAnsi="仿宋" w:eastAsia="仿宋" w:cs="仿宋"/>
          <w:color w:val="auto"/>
          <w:sz w:val="32"/>
        </w:rPr>
        <w:t>3.65</w:t>
      </w:r>
      <w:r>
        <w:rPr>
          <w:rFonts w:ascii="仿宋" w:hAnsi="仿宋" w:eastAsia="仿宋" w:cs="仿宋"/>
          <w:color w:val="auto"/>
          <w:sz w:val="32"/>
        </w:rPr>
        <w:t>%</w:t>
      </w:r>
      <w:r>
        <w:rPr>
          <w:rFonts w:hint="eastAsia" w:ascii="仿宋" w:hAnsi="仿宋" w:eastAsia="仿宋" w:cs="仿宋"/>
          <w:color w:val="auto"/>
          <w:sz w:val="32"/>
        </w:rPr>
        <w:t>。</w:t>
      </w:r>
      <w:r>
        <w:rPr>
          <w:rFonts w:hint="eastAsia" w:ascii="仿宋" w:hAnsi="仿宋" w:eastAsia="仿宋" w:cs="仿宋"/>
          <w:color w:val="auto"/>
          <w:sz w:val="32"/>
          <w:szCs w:val="32"/>
        </w:rPr>
        <w:t>收入具体情况如下：</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1.一般公共预算财政拨款收入</w:t>
      </w:r>
      <w:r>
        <w:rPr>
          <w:rFonts w:hint="eastAsia" w:ascii="仿宋" w:hAnsi="仿宋" w:eastAsia="仿宋" w:cs="仿宋"/>
          <w:color w:val="auto"/>
          <w:sz w:val="32"/>
        </w:rPr>
        <w:t>2963.41</w:t>
      </w:r>
      <w:r>
        <w:rPr>
          <w:rFonts w:hint="eastAsia" w:ascii="仿宋" w:hAnsi="仿宋" w:eastAsia="仿宋" w:cs="仿宋"/>
          <w:color w:val="auto"/>
          <w:sz w:val="32"/>
          <w:szCs w:val="32"/>
        </w:rPr>
        <w:t>万元，为</w:t>
      </w:r>
      <w:r>
        <w:rPr>
          <w:rFonts w:hint="eastAsia" w:ascii="仿宋" w:hAnsi="仿宋" w:eastAsia="仿宋" w:cs="仿宋"/>
          <w:color w:val="auto"/>
          <w:sz w:val="32"/>
          <w:szCs w:val="32"/>
          <w:lang w:val="en-US" w:eastAsia="zh-CN"/>
        </w:rPr>
        <w:t>环江县</w:t>
      </w:r>
      <w:r>
        <w:rPr>
          <w:rFonts w:hint="eastAsia" w:ascii="仿宋" w:hAnsi="仿宋" w:eastAsia="仿宋" w:cs="仿宋"/>
          <w:color w:val="auto"/>
          <w:sz w:val="32"/>
          <w:szCs w:val="32"/>
        </w:rPr>
        <w:t>本级财政当年拨付的资金。较2021年度决算数</w:t>
      </w:r>
      <w:r>
        <w:rPr>
          <w:rFonts w:hint="eastAsia" w:ascii="仿宋" w:hAnsi="仿宋" w:eastAsia="仿宋" w:cs="仿宋"/>
          <w:color w:val="auto"/>
          <w:sz w:val="32"/>
        </w:rPr>
        <w:t>增加1490.27</w:t>
      </w:r>
      <w:r>
        <w:rPr>
          <w:rFonts w:hint="eastAsia" w:ascii="仿宋" w:hAnsi="仿宋" w:eastAsia="仿宋" w:cs="仿宋"/>
          <w:color w:val="auto"/>
          <w:sz w:val="32"/>
          <w:szCs w:val="32"/>
        </w:rPr>
        <w:t>万元，</w:t>
      </w:r>
      <w:r>
        <w:rPr>
          <w:rFonts w:hint="eastAsia" w:ascii="仿宋" w:hAnsi="仿宋" w:eastAsia="仿宋" w:cs="仿宋"/>
          <w:color w:val="auto"/>
          <w:sz w:val="32"/>
        </w:rPr>
        <w:t>增长101.16</w:t>
      </w:r>
      <w:r>
        <w:rPr>
          <w:rFonts w:ascii="仿宋" w:hAnsi="仿宋" w:eastAsia="仿宋" w:cs="仿宋"/>
          <w:color w:val="auto"/>
          <w:sz w:val="32"/>
        </w:rPr>
        <w:t>%</w:t>
      </w:r>
      <w:r>
        <w:rPr>
          <w:rFonts w:hint="eastAsia" w:ascii="仿宋" w:hAnsi="仿宋" w:eastAsia="仿宋" w:cs="仿宋"/>
          <w:color w:val="auto"/>
          <w:sz w:val="32"/>
          <w:szCs w:val="32"/>
        </w:rPr>
        <w:t>，主要原因：</w:t>
      </w:r>
      <w:r>
        <w:rPr>
          <w:rFonts w:hint="eastAsia" w:ascii="仿宋" w:hAnsi="仿宋" w:eastAsia="仿宋" w:cs="仿宋"/>
          <w:color w:val="auto"/>
          <w:sz w:val="32"/>
          <w:szCs w:val="32"/>
          <w:lang w:val="en-US" w:eastAsia="zh-CN"/>
        </w:rPr>
        <w:t>项目业务增加，项目财政拨款增加</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rPr>
        <w:t>2.政府性基金预算财政拨款收入</w:t>
      </w:r>
      <w:r>
        <w:rPr>
          <w:rFonts w:ascii="仿宋" w:hAnsi="仿宋" w:eastAsia="仿宋" w:cs="仿宋"/>
          <w:color w:val="auto"/>
          <w:sz w:val="32"/>
        </w:rPr>
        <w:t>0.00</w:t>
      </w:r>
      <w:r>
        <w:rPr>
          <w:rFonts w:hint="eastAsia" w:ascii="仿宋" w:hAnsi="仿宋" w:eastAsia="仿宋" w:cs="仿宋"/>
          <w:color w:val="auto"/>
          <w:sz w:val="32"/>
          <w:szCs w:val="32"/>
        </w:rPr>
        <w:t>万元</w:t>
      </w:r>
      <w:r>
        <w:rPr>
          <w:rFonts w:hint="eastAsia" w:ascii="仿宋" w:hAnsi="仿宋" w:eastAsia="仿宋" w:cs="仿宋"/>
          <w:color w:val="auto"/>
          <w:kern w:val="2"/>
          <w:sz w:val="32"/>
          <w:szCs w:val="32"/>
          <w:highlight w:val="none"/>
          <w:lang w:val="en-US" w:eastAsia="zh-CN" w:bidi="ar"/>
        </w:rPr>
        <w:t>，为</w:t>
      </w:r>
      <w:r>
        <w:rPr>
          <w:rFonts w:hint="eastAsia" w:ascii="仿宋" w:hAnsi="仿宋" w:eastAsia="仿宋" w:cs="仿宋"/>
          <w:color w:val="auto"/>
          <w:sz w:val="32"/>
          <w:szCs w:val="32"/>
          <w:highlight w:val="none"/>
          <w:lang w:val="en-US" w:eastAsia="zh-CN"/>
        </w:rPr>
        <w:t>环江县</w:t>
      </w:r>
      <w:r>
        <w:rPr>
          <w:rFonts w:hint="eastAsia" w:ascii="仿宋" w:hAnsi="仿宋" w:eastAsia="仿宋" w:cs="仿宋"/>
          <w:color w:val="auto"/>
          <w:kern w:val="2"/>
          <w:sz w:val="32"/>
          <w:szCs w:val="32"/>
          <w:highlight w:val="none"/>
          <w:lang w:val="en-US" w:eastAsia="zh-CN" w:bidi="ar"/>
        </w:rPr>
        <w:t>本级财政当年拨付的资金。</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3.国有资本经营预算财政拨款收入</w:t>
      </w:r>
      <w:r>
        <w:rPr>
          <w:rFonts w:ascii="仿宋" w:hAnsi="仿宋" w:eastAsia="仿宋" w:cs="仿宋"/>
          <w:color w:val="auto"/>
          <w:sz w:val="32"/>
        </w:rPr>
        <w:t>0.00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highlight w:val="none"/>
          <w:lang w:val="en-US" w:eastAsia="zh-CN" w:bidi="ar"/>
        </w:rPr>
        <w:t>为</w:t>
      </w:r>
      <w:r>
        <w:rPr>
          <w:rFonts w:hint="eastAsia" w:ascii="仿宋" w:hAnsi="仿宋" w:eastAsia="仿宋" w:cs="仿宋"/>
          <w:color w:val="auto"/>
          <w:sz w:val="32"/>
          <w:szCs w:val="32"/>
          <w:highlight w:val="none"/>
          <w:lang w:val="en-US" w:eastAsia="zh-CN"/>
        </w:rPr>
        <w:t>环江县</w:t>
      </w:r>
      <w:r>
        <w:rPr>
          <w:rFonts w:hint="eastAsia" w:ascii="仿宋" w:hAnsi="仿宋" w:eastAsia="仿宋" w:cs="仿宋"/>
          <w:color w:val="auto"/>
          <w:kern w:val="2"/>
          <w:sz w:val="32"/>
          <w:szCs w:val="32"/>
          <w:highlight w:val="none"/>
          <w:lang w:val="en-US" w:eastAsia="zh-CN" w:bidi="ar"/>
        </w:rPr>
        <w:t>本级财政当年拨付的资金。</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4.上级补助收入</w:t>
      </w:r>
      <w:r>
        <w:rPr>
          <w:rFonts w:hint="eastAsia" w:ascii="仿宋" w:hAnsi="仿宋" w:eastAsia="仿宋" w:cs="仿宋"/>
          <w:color w:val="auto"/>
          <w:sz w:val="32"/>
        </w:rPr>
        <w:t>0.68</w:t>
      </w:r>
      <w:r>
        <w:rPr>
          <w:rFonts w:hint="eastAsia" w:ascii="仿宋" w:hAnsi="仿宋" w:eastAsia="仿宋" w:cs="仿宋"/>
          <w:color w:val="auto"/>
          <w:sz w:val="32"/>
          <w:szCs w:val="32"/>
        </w:rPr>
        <w:t>万元，为上级部门当年拨付的资金。较2021年度决算数</w:t>
      </w:r>
      <w:r>
        <w:rPr>
          <w:rFonts w:hint="eastAsia" w:ascii="仿宋" w:hAnsi="仿宋" w:eastAsia="仿宋" w:cs="仿宋"/>
          <w:color w:val="auto"/>
          <w:sz w:val="32"/>
        </w:rPr>
        <w:t>减少0.2</w:t>
      </w:r>
      <w:r>
        <w:rPr>
          <w:rFonts w:hint="eastAsia" w:ascii="仿宋" w:hAnsi="仿宋" w:eastAsia="仿宋" w:cs="仿宋"/>
          <w:color w:val="auto"/>
          <w:sz w:val="32"/>
          <w:szCs w:val="32"/>
        </w:rPr>
        <w:t>万元,</w:t>
      </w:r>
      <w:r>
        <w:rPr>
          <w:rFonts w:hint="eastAsia" w:ascii="仿宋" w:hAnsi="仿宋" w:eastAsia="仿宋" w:cs="仿宋"/>
          <w:color w:val="auto"/>
          <w:sz w:val="32"/>
        </w:rPr>
        <w:t>下降22.73</w:t>
      </w:r>
      <w:r>
        <w:rPr>
          <w:rFonts w:ascii="仿宋" w:hAnsi="仿宋" w:eastAsia="仿宋" w:cs="仿宋"/>
          <w:color w:val="auto"/>
          <w:sz w:val="32"/>
        </w:rPr>
        <w:t>%</w:t>
      </w:r>
      <w:r>
        <w:rPr>
          <w:rFonts w:hint="eastAsia" w:ascii="仿宋" w:hAnsi="仿宋" w:eastAsia="仿宋" w:cs="仿宋"/>
          <w:color w:val="auto"/>
          <w:sz w:val="32"/>
          <w:lang w:eastAsia="zh-CN"/>
        </w:rPr>
        <w:t>，</w:t>
      </w:r>
      <w:r>
        <w:rPr>
          <w:rFonts w:hint="eastAsia" w:ascii="仿宋" w:hAnsi="仿宋" w:eastAsia="仿宋" w:cs="仿宋"/>
          <w:color w:val="auto"/>
          <w:sz w:val="32"/>
          <w:szCs w:val="32"/>
        </w:rPr>
        <w:t>主要原因：</w:t>
      </w:r>
      <w:r>
        <w:rPr>
          <w:rFonts w:hint="eastAsia" w:ascii="仿宋" w:hAnsi="仿宋" w:eastAsia="仿宋" w:cs="仿宋"/>
          <w:color w:val="auto"/>
          <w:sz w:val="32"/>
          <w:szCs w:val="32"/>
          <w:lang w:val="en-US" w:eastAsia="zh-CN"/>
        </w:rPr>
        <w:t>属于正常变动。</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5.事业收入</w:t>
      </w:r>
      <w:r>
        <w:rPr>
          <w:rFonts w:hint="eastAsia" w:ascii="仿宋" w:hAnsi="仿宋" w:eastAsia="仿宋" w:cs="仿宋"/>
          <w:color w:val="auto"/>
          <w:sz w:val="32"/>
        </w:rPr>
        <w:t>13538.42</w:t>
      </w:r>
      <w:r>
        <w:rPr>
          <w:rFonts w:hint="eastAsia" w:ascii="仿宋" w:hAnsi="仿宋" w:eastAsia="仿宋" w:cs="仿宋"/>
          <w:color w:val="auto"/>
          <w:sz w:val="32"/>
          <w:szCs w:val="32"/>
        </w:rPr>
        <w:t>万元，为事业单位开展业务活动取得的收入。较2021年度决算数</w:t>
      </w:r>
      <w:r>
        <w:rPr>
          <w:rFonts w:hint="eastAsia" w:ascii="仿宋" w:hAnsi="仿宋" w:eastAsia="仿宋" w:cs="仿宋"/>
          <w:color w:val="auto"/>
          <w:sz w:val="32"/>
        </w:rPr>
        <w:t>减少1610.02</w:t>
      </w:r>
      <w:r>
        <w:rPr>
          <w:rFonts w:hint="eastAsia" w:ascii="仿宋" w:hAnsi="仿宋" w:eastAsia="仿宋" w:cs="仿宋"/>
          <w:color w:val="auto"/>
          <w:sz w:val="32"/>
          <w:szCs w:val="32"/>
        </w:rPr>
        <w:t>万元,</w:t>
      </w:r>
      <w:r>
        <w:rPr>
          <w:rFonts w:hint="eastAsia" w:ascii="仿宋" w:hAnsi="仿宋" w:eastAsia="仿宋" w:cs="仿宋"/>
          <w:color w:val="auto"/>
          <w:sz w:val="32"/>
        </w:rPr>
        <w:t>下降1</w:t>
      </w:r>
      <w:r>
        <w:rPr>
          <w:rFonts w:ascii="仿宋" w:hAnsi="仿宋" w:eastAsia="仿宋" w:cs="仿宋"/>
          <w:color w:val="auto"/>
          <w:sz w:val="32"/>
        </w:rPr>
        <w:t>0</w:t>
      </w:r>
      <w:r>
        <w:rPr>
          <w:rFonts w:hint="eastAsia" w:ascii="仿宋" w:hAnsi="仿宋" w:eastAsia="仿宋" w:cs="仿宋"/>
          <w:color w:val="auto"/>
          <w:sz w:val="32"/>
        </w:rPr>
        <w:t>.63</w:t>
      </w:r>
      <w:r>
        <w:rPr>
          <w:rFonts w:ascii="仿宋" w:hAnsi="仿宋" w:eastAsia="仿宋" w:cs="仿宋"/>
          <w:color w:val="auto"/>
          <w:sz w:val="32"/>
        </w:rPr>
        <w:t>%</w:t>
      </w:r>
      <w:r>
        <w:rPr>
          <w:rFonts w:hint="eastAsia" w:ascii="仿宋" w:hAnsi="仿宋" w:eastAsia="仿宋" w:cs="仿宋"/>
          <w:color w:val="auto"/>
          <w:sz w:val="32"/>
          <w:szCs w:val="32"/>
        </w:rPr>
        <w:t>，主要原因是：受疫情影响，医疗卫生机构事业收入减少。</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6.经营收入0.00万</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highlight w:val="none"/>
          <w:lang w:val="en-US" w:eastAsia="zh-CN" w:bidi="ar"/>
        </w:rPr>
        <w:t>为事业单位在业务活动之外开展非独立核算经营活动取得的收入。</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7.附属单位上缴收入</w:t>
      </w:r>
      <w:r>
        <w:rPr>
          <w:rFonts w:ascii="仿宋" w:hAnsi="仿宋" w:eastAsia="仿宋" w:cs="仿宋"/>
          <w:color w:val="auto"/>
          <w:sz w:val="32"/>
        </w:rPr>
        <w:t>0.00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8.其他收入</w:t>
      </w:r>
      <w:r>
        <w:rPr>
          <w:rFonts w:hint="eastAsia" w:ascii="仿宋" w:hAnsi="仿宋" w:eastAsia="仿宋" w:cs="仿宋"/>
          <w:color w:val="auto"/>
          <w:sz w:val="32"/>
        </w:rPr>
        <w:t>72.92</w:t>
      </w:r>
      <w:r>
        <w:rPr>
          <w:rFonts w:hint="eastAsia" w:ascii="仿宋" w:hAnsi="仿宋" w:eastAsia="仿宋" w:cs="仿宋"/>
          <w:color w:val="auto"/>
          <w:sz w:val="32"/>
          <w:szCs w:val="32"/>
        </w:rPr>
        <w:t>万元,为预算单位在“财政拨款收入”“事业收入”“经营收入”之外取得的收入。较2021年度决算数</w:t>
      </w:r>
      <w:r>
        <w:rPr>
          <w:rFonts w:ascii="仿宋" w:hAnsi="仿宋" w:eastAsia="仿宋" w:cs="仿宋"/>
          <w:color w:val="auto"/>
          <w:sz w:val="32"/>
        </w:rPr>
        <w:t>减少</w:t>
      </w:r>
      <w:r>
        <w:rPr>
          <w:rFonts w:hint="eastAsia" w:ascii="仿宋" w:hAnsi="仿宋" w:eastAsia="仿宋" w:cs="仿宋"/>
          <w:color w:val="auto"/>
          <w:sz w:val="32"/>
        </w:rPr>
        <w:t>508.74</w:t>
      </w:r>
      <w:r>
        <w:rPr>
          <w:rFonts w:hint="eastAsia" w:ascii="仿宋" w:hAnsi="仿宋" w:eastAsia="仿宋" w:cs="仿宋"/>
          <w:color w:val="auto"/>
          <w:sz w:val="32"/>
          <w:szCs w:val="32"/>
        </w:rPr>
        <w:t>万元，</w:t>
      </w:r>
      <w:r>
        <w:rPr>
          <w:rFonts w:ascii="仿宋" w:hAnsi="仿宋" w:eastAsia="仿宋" w:cs="仿宋"/>
          <w:color w:val="auto"/>
          <w:sz w:val="32"/>
        </w:rPr>
        <w:t>下降</w:t>
      </w:r>
      <w:r>
        <w:rPr>
          <w:rFonts w:hint="eastAsia" w:ascii="仿宋" w:hAnsi="仿宋" w:eastAsia="仿宋" w:cs="仿宋"/>
          <w:color w:val="auto"/>
          <w:sz w:val="32"/>
        </w:rPr>
        <w:t>87.46</w:t>
      </w:r>
      <w:r>
        <w:rPr>
          <w:rFonts w:ascii="仿宋" w:hAnsi="仿宋" w:eastAsia="仿宋" w:cs="仿宋"/>
          <w:color w:val="auto"/>
          <w:sz w:val="32"/>
        </w:rPr>
        <w:t>%</w:t>
      </w:r>
      <w:r>
        <w:rPr>
          <w:rFonts w:hint="eastAsia" w:ascii="仿宋" w:hAnsi="仿宋" w:eastAsia="仿宋" w:cs="仿宋"/>
          <w:color w:val="auto"/>
          <w:sz w:val="32"/>
          <w:szCs w:val="32"/>
        </w:rPr>
        <w:t>，主要原因是：捐赠收入减少。</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9.使用非财政拨款结余</w:t>
      </w:r>
      <w:r>
        <w:rPr>
          <w:rFonts w:ascii="仿宋" w:hAnsi="仿宋" w:eastAsia="仿宋" w:cs="仿宋"/>
          <w:color w:val="auto"/>
          <w:sz w:val="32"/>
        </w:rPr>
        <w:t>0.00</w:t>
      </w:r>
      <w:r>
        <w:rPr>
          <w:rFonts w:hint="eastAsia" w:ascii="仿宋" w:hAnsi="仿宋" w:eastAsia="仿宋" w:cs="仿宋"/>
          <w:color w:val="auto"/>
          <w:sz w:val="32"/>
          <w:szCs w:val="32"/>
        </w:rPr>
        <w:t>万元,主要是所属事业单位在当年的“财政拨款收入”“事业收入”“经营收入”及“其他收入”不能保证其支出的情况下，使用以前年度积累的非财政拨款结余弥补本年度收支缺口的资金。</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10.上年结转和结余</w:t>
      </w:r>
      <w:r>
        <w:rPr>
          <w:rFonts w:hint="eastAsia" w:ascii="仿宋" w:hAnsi="仿宋" w:eastAsia="仿宋" w:cs="仿宋"/>
          <w:color w:val="auto"/>
          <w:sz w:val="32"/>
        </w:rPr>
        <w:t>0</w:t>
      </w:r>
      <w:r>
        <w:rPr>
          <w:rFonts w:hint="eastAsia" w:ascii="仿宋" w:hAnsi="仿宋" w:eastAsia="仿宋" w:cs="仿宋"/>
          <w:color w:val="auto"/>
          <w:sz w:val="32"/>
          <w:szCs w:val="32"/>
        </w:rPr>
        <w:t>万元，为以前年度支出预算因客观条件变化未执行完毕、结转到本年度按有关规定继续使用的资金。</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本部门</w:t>
      </w:r>
      <w:r>
        <w:rPr>
          <w:rFonts w:hint="eastAsia" w:ascii="仿宋" w:hAnsi="仿宋" w:eastAsia="仿宋" w:cs="仿宋"/>
          <w:color w:val="auto"/>
          <w:sz w:val="32"/>
          <w:szCs w:val="32"/>
        </w:rPr>
        <w:t>2022年度总支出</w:t>
      </w:r>
      <w:r>
        <w:rPr>
          <w:rFonts w:hint="eastAsia" w:ascii="仿宋" w:hAnsi="仿宋" w:eastAsia="仿宋" w:cs="仿宋"/>
          <w:color w:val="auto"/>
          <w:sz w:val="32"/>
        </w:rPr>
        <w:t>16546.41</w:t>
      </w:r>
      <w:r>
        <w:rPr>
          <w:rFonts w:hint="eastAsia" w:ascii="仿宋" w:hAnsi="仿宋" w:eastAsia="仿宋" w:cs="仿宋"/>
          <w:color w:val="auto"/>
          <w:sz w:val="32"/>
          <w:szCs w:val="32"/>
        </w:rPr>
        <w:t>万元，其中本年支出</w:t>
      </w:r>
      <w:r>
        <w:rPr>
          <w:rFonts w:hint="eastAsia" w:ascii="仿宋" w:hAnsi="仿宋" w:eastAsia="仿宋" w:cs="仿宋"/>
          <w:color w:val="auto"/>
          <w:sz w:val="32"/>
        </w:rPr>
        <w:t>16546.41</w:t>
      </w:r>
      <w:r>
        <w:rPr>
          <w:rFonts w:hint="eastAsia" w:ascii="仿宋" w:hAnsi="仿宋" w:eastAsia="仿宋" w:cs="仿宋"/>
          <w:color w:val="auto"/>
          <w:sz w:val="32"/>
          <w:szCs w:val="32"/>
        </w:rPr>
        <w:t>万元，较2021年度决算数</w:t>
      </w:r>
      <w:r>
        <w:rPr>
          <w:rFonts w:ascii="仿宋" w:hAnsi="仿宋" w:eastAsia="仿宋" w:cs="仿宋"/>
          <w:color w:val="auto"/>
          <w:sz w:val="32"/>
        </w:rPr>
        <w:t>减少</w:t>
      </w:r>
      <w:r>
        <w:rPr>
          <w:rFonts w:hint="eastAsia" w:ascii="仿宋" w:hAnsi="仿宋" w:eastAsia="仿宋" w:cs="仿宋"/>
          <w:color w:val="auto"/>
          <w:sz w:val="32"/>
        </w:rPr>
        <w:t>5868.09</w:t>
      </w:r>
      <w:r>
        <w:rPr>
          <w:rFonts w:hint="eastAsia" w:ascii="仿宋" w:hAnsi="仿宋" w:eastAsia="仿宋" w:cs="仿宋"/>
          <w:color w:val="auto"/>
          <w:sz w:val="32"/>
          <w:szCs w:val="32"/>
        </w:rPr>
        <w:t>万元，</w:t>
      </w:r>
      <w:r>
        <w:rPr>
          <w:rFonts w:ascii="仿宋" w:hAnsi="仿宋" w:eastAsia="仿宋" w:cs="仿宋"/>
          <w:color w:val="auto"/>
          <w:sz w:val="32"/>
        </w:rPr>
        <w:t>下降</w:t>
      </w:r>
      <w:r>
        <w:rPr>
          <w:rFonts w:hint="eastAsia" w:ascii="仿宋" w:hAnsi="仿宋" w:eastAsia="仿宋" w:cs="仿宋"/>
          <w:color w:val="auto"/>
          <w:sz w:val="32"/>
        </w:rPr>
        <w:t>26.1</w:t>
      </w:r>
      <w:r>
        <w:rPr>
          <w:rFonts w:hint="eastAsia" w:ascii="仿宋" w:hAnsi="仿宋" w:eastAsia="仿宋" w:cs="仿宋"/>
          <w:color w:val="auto"/>
          <w:sz w:val="32"/>
          <w:lang w:val="en-US" w:eastAsia="zh-CN"/>
        </w:rPr>
        <w:t>8</w:t>
      </w:r>
      <w:r>
        <w:rPr>
          <w:rFonts w:ascii="仿宋" w:hAnsi="仿宋" w:eastAsia="仿宋" w:cs="仿宋"/>
          <w:color w:val="auto"/>
          <w:sz w:val="32"/>
        </w:rPr>
        <w:t>%</w:t>
      </w:r>
      <w:r>
        <w:rPr>
          <w:rFonts w:hint="eastAsia" w:ascii="仿宋" w:hAnsi="仿宋" w:eastAsia="仿宋" w:cs="仿宋"/>
          <w:color w:val="auto"/>
          <w:sz w:val="32"/>
          <w:szCs w:val="32"/>
        </w:rPr>
        <w:t>。支出具体情况如下：</w:t>
      </w:r>
    </w:p>
    <w:p>
      <w:pPr>
        <w:ind w:firstLine="640" w:firstLineChars="200"/>
        <w:jc w:val="left"/>
        <w:rPr>
          <w:rFonts w:hint="eastAsia" w:ascii="仿宋_GB2312" w:eastAsia="仿宋_GB2312" w:cs="仿宋_GB2312"/>
          <w:color w:val="auto"/>
          <w:kern w:val="0"/>
          <w:sz w:val="32"/>
          <w:szCs w:val="32"/>
        </w:rPr>
      </w:pPr>
      <w:r>
        <w:rPr>
          <w:rFonts w:hint="eastAsia" w:ascii="仿宋" w:hAnsi="仿宋" w:eastAsia="仿宋" w:cs="仿宋"/>
          <w:color w:val="auto"/>
          <w:sz w:val="32"/>
          <w:szCs w:val="32"/>
          <w:lang w:val="en-US" w:eastAsia="zh-CN"/>
        </w:rPr>
        <w:t>1</w:t>
      </w:r>
      <w:r>
        <w:rPr>
          <w:rFonts w:ascii="仿宋" w:hAnsi="仿宋" w:eastAsia="仿宋" w:cs="仿宋"/>
          <w:color w:val="auto"/>
          <w:sz w:val="32"/>
        </w:rPr>
        <w:t>.</w:t>
      </w:r>
      <w:r>
        <w:rPr>
          <w:rFonts w:hint="eastAsia" w:ascii="仿宋" w:hAnsi="仿宋" w:eastAsia="仿宋" w:cs="仿宋"/>
          <w:color w:val="auto"/>
          <w:sz w:val="32"/>
          <w:szCs w:val="32"/>
        </w:rPr>
        <w:t>社会保障和就业支出（208</w:t>
      </w:r>
      <w:r>
        <w:rPr>
          <w:rFonts w:ascii="Calibri" w:hAnsi="Calibri" w:eastAsia="宋体" w:cs="Times New Roman"/>
          <w:color w:val="auto"/>
        </w:rPr>
        <w:t xml:space="preserve"> </w:t>
      </w:r>
      <w:r>
        <w:rPr>
          <w:rFonts w:hint="eastAsia" w:ascii="仿宋" w:hAnsi="仿宋" w:eastAsia="仿宋" w:cs="仿宋"/>
          <w:color w:val="auto"/>
          <w:sz w:val="32"/>
          <w:szCs w:val="32"/>
        </w:rPr>
        <w:t>类）107.29万元：主要用于：按国家规定发放的人员工资津补贴、职工养老保险缴费及离退休人员</w:t>
      </w:r>
      <w:r>
        <w:rPr>
          <w:rFonts w:hint="eastAsia" w:ascii="仿宋_GB2312" w:eastAsia="仿宋_GB2312" w:cs="仿宋_GB2312"/>
          <w:color w:val="auto"/>
          <w:kern w:val="0"/>
          <w:sz w:val="32"/>
          <w:szCs w:val="32"/>
        </w:rPr>
        <w:t>工资方面的支出</w:t>
      </w:r>
      <w:r>
        <w:rPr>
          <w:rFonts w:hint="eastAsia" w:ascii="仿宋" w:hAnsi="仿宋" w:eastAsia="仿宋" w:cs="仿宋"/>
          <w:color w:val="auto"/>
          <w:sz w:val="32"/>
          <w:szCs w:val="32"/>
        </w:rPr>
        <w:t>。较2021年度决算数减少37.47万元，下降25.88%，主要原因是：</w:t>
      </w:r>
      <w:r>
        <w:rPr>
          <w:rFonts w:hint="eastAsia" w:ascii="仿宋_GB2312" w:eastAsia="仿宋_GB2312" w:cs="仿宋_GB2312"/>
          <w:color w:val="auto"/>
          <w:kern w:val="0"/>
          <w:sz w:val="32"/>
          <w:szCs w:val="32"/>
        </w:rPr>
        <w:t>本年减少离退休人员工资方面的支出。</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ascii="仿宋" w:hAnsi="仿宋" w:eastAsia="仿宋" w:cs="仿宋"/>
          <w:color w:val="auto"/>
          <w:sz w:val="32"/>
        </w:rPr>
        <w:t>.</w:t>
      </w:r>
      <w:r>
        <w:rPr>
          <w:rFonts w:hint="eastAsia" w:ascii="仿宋" w:hAnsi="仿宋" w:eastAsia="仿宋" w:cs="仿宋"/>
          <w:color w:val="auto"/>
          <w:sz w:val="32"/>
          <w:szCs w:val="32"/>
        </w:rPr>
        <w:t>卫生健康支出（210</w:t>
      </w:r>
      <w:r>
        <w:rPr>
          <w:rFonts w:ascii="Calibri" w:hAnsi="Calibri" w:eastAsia="宋体" w:cs="Times New Roman"/>
          <w:color w:val="auto"/>
        </w:rPr>
        <w:t xml:space="preserve"> </w:t>
      </w:r>
      <w:r>
        <w:rPr>
          <w:rFonts w:hint="eastAsia" w:ascii="仿宋" w:hAnsi="仿宋" w:eastAsia="仿宋" w:cs="仿宋"/>
          <w:color w:val="auto"/>
          <w:sz w:val="32"/>
          <w:szCs w:val="32"/>
        </w:rPr>
        <w:t>类）16338.39万元：主要用于：</w:t>
      </w:r>
      <w:r>
        <w:rPr>
          <w:rFonts w:hint="eastAsia" w:ascii="仿宋_GB2312" w:eastAsia="仿宋_GB2312" w:cs="仿宋_GB2312"/>
          <w:color w:val="auto"/>
          <w:kern w:val="0"/>
          <w:sz w:val="32"/>
          <w:szCs w:val="32"/>
        </w:rPr>
        <w:t>一是医疗卫生机构按国家规定发放的在职人员工资津补贴及离退休人员工资方面的支出；二是卫生计生项目类支出。</w:t>
      </w:r>
      <w:r>
        <w:rPr>
          <w:rFonts w:hint="eastAsia" w:ascii="仿宋" w:hAnsi="仿宋" w:eastAsia="仿宋" w:cs="仿宋"/>
          <w:color w:val="auto"/>
          <w:sz w:val="32"/>
          <w:szCs w:val="32"/>
        </w:rPr>
        <w:t>较2021年度决算数减少1172.37万元，下降6.7</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%，主要原因是：医疗收入下降导致成本下降。</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ascii="仿宋" w:hAnsi="仿宋" w:eastAsia="仿宋" w:cs="仿宋"/>
          <w:color w:val="auto"/>
          <w:sz w:val="32"/>
        </w:rPr>
        <w:t>.</w:t>
      </w:r>
      <w:r>
        <w:rPr>
          <w:rFonts w:hint="eastAsia" w:ascii="仿宋" w:hAnsi="仿宋" w:eastAsia="仿宋" w:cs="仿宋"/>
          <w:color w:val="auto"/>
          <w:sz w:val="32"/>
          <w:szCs w:val="32"/>
        </w:rPr>
        <w:t>住房保障支出（221</w:t>
      </w:r>
      <w:r>
        <w:rPr>
          <w:rFonts w:ascii="Calibri" w:hAnsi="Calibri" w:eastAsia="宋体" w:cs="Times New Roman"/>
          <w:color w:val="auto"/>
        </w:rPr>
        <w:t xml:space="preserve"> </w:t>
      </w:r>
      <w:r>
        <w:rPr>
          <w:rFonts w:hint="eastAsia" w:ascii="仿宋" w:hAnsi="仿宋" w:eastAsia="仿宋" w:cs="仿宋"/>
          <w:color w:val="auto"/>
          <w:sz w:val="32"/>
          <w:szCs w:val="32"/>
        </w:rPr>
        <w:t>类）80.23万元：主要用于：</w:t>
      </w:r>
      <w:r>
        <w:rPr>
          <w:rFonts w:hint="eastAsia" w:ascii="仿宋_GB2312" w:eastAsia="仿宋_GB2312" w:cs="仿宋_GB2312"/>
          <w:color w:val="auto"/>
          <w:kern w:val="0"/>
          <w:sz w:val="32"/>
          <w:szCs w:val="32"/>
        </w:rPr>
        <w:t>按照国家政策规定代职工上缴住房公积金等支出</w:t>
      </w:r>
      <w:r>
        <w:rPr>
          <w:rFonts w:hint="eastAsia" w:ascii="仿宋" w:hAnsi="仿宋" w:eastAsia="仿宋" w:cs="仿宋"/>
          <w:color w:val="auto"/>
          <w:sz w:val="32"/>
          <w:szCs w:val="32"/>
        </w:rPr>
        <w:t>。较2021年度决算数增加3.79万元，增长4.96%，主要原因是：人员增加。</w:t>
      </w:r>
    </w:p>
    <w:p>
      <w:p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ascii="仿宋" w:hAnsi="仿宋" w:eastAsia="仿宋" w:cs="仿宋"/>
          <w:color w:val="auto"/>
          <w:sz w:val="32"/>
        </w:rPr>
        <w:t>.</w:t>
      </w:r>
      <w:r>
        <w:rPr>
          <w:rFonts w:hint="eastAsia" w:ascii="仿宋" w:hAnsi="仿宋" w:eastAsia="仿宋" w:cs="仿宋"/>
          <w:color w:val="auto"/>
          <w:sz w:val="32"/>
          <w:szCs w:val="32"/>
        </w:rPr>
        <w:t>其他支出（229类）20.5万元：主要用于：人员伙食补助。较2021年度决算数增加</w:t>
      </w:r>
      <w:r>
        <w:rPr>
          <w:rFonts w:hint="eastAsia" w:ascii="仿宋" w:hAnsi="仿宋" w:eastAsia="仿宋" w:cs="仿宋"/>
          <w:color w:val="auto"/>
          <w:sz w:val="32"/>
          <w:szCs w:val="32"/>
          <w:lang w:val="en-US" w:eastAsia="zh-CN"/>
        </w:rPr>
        <w:t>20.5万元，主要原因是：财政拨款增加。</w:t>
      </w:r>
    </w:p>
    <w:p>
      <w:pPr>
        <w:ind w:firstLine="620" w:firstLineChars="200"/>
        <w:jc w:val="left"/>
        <w:rPr>
          <w:rFonts w:ascii="仿宋" w:hAnsi="仿宋" w:eastAsia="仿宋_GB2312" w:cs="仿宋"/>
          <w:color w:val="auto"/>
          <w:sz w:val="32"/>
          <w:szCs w:val="32"/>
        </w:rPr>
      </w:pPr>
      <w:r>
        <w:rPr>
          <w:rFonts w:ascii="仿宋_GB2312" w:hAnsi="微软雅黑" w:eastAsia="仿宋_GB2312" w:cs="仿宋_GB2312"/>
          <w:color w:val="auto"/>
          <w:sz w:val="31"/>
          <w:szCs w:val="31"/>
          <w:shd w:val="clear" w:color="auto" w:fill="FFFFFF"/>
        </w:rPr>
        <w:t>结余分配</w:t>
      </w:r>
      <w:r>
        <w:rPr>
          <w:rFonts w:hint="eastAsia" w:ascii="仿宋_GB2312" w:hAnsi="微软雅黑" w:eastAsia="仿宋_GB2312" w:cs="仿宋_GB2312"/>
          <w:color w:val="auto"/>
          <w:sz w:val="31"/>
          <w:szCs w:val="31"/>
          <w:shd w:val="clear" w:color="auto" w:fill="FFFFFF"/>
        </w:rPr>
        <w:t>29.02</w:t>
      </w:r>
      <w:r>
        <w:rPr>
          <w:rFonts w:ascii="仿宋_GB2312" w:hAnsi="微软雅黑" w:eastAsia="仿宋_GB2312" w:cs="仿宋_GB2312"/>
          <w:color w:val="auto"/>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color w:val="auto"/>
          <w:sz w:val="31"/>
          <w:szCs w:val="31"/>
          <w:shd w:val="clear" w:color="auto" w:fill="FFFFFF"/>
        </w:rPr>
        <w:t>1</w:t>
      </w:r>
      <w:r>
        <w:rPr>
          <w:rFonts w:ascii="仿宋_GB2312" w:hAnsi="微软雅黑" w:eastAsia="仿宋_GB2312" w:cs="仿宋_GB2312"/>
          <w:color w:val="auto"/>
          <w:sz w:val="31"/>
          <w:szCs w:val="31"/>
          <w:shd w:val="clear" w:color="auto" w:fill="FFFFFF"/>
        </w:rPr>
        <w:t>年决算</w:t>
      </w:r>
      <w:r>
        <w:rPr>
          <w:rFonts w:hint="eastAsia" w:ascii="仿宋_GB2312" w:hAnsi="微软雅黑" w:eastAsia="仿宋_GB2312" w:cs="仿宋_GB2312"/>
          <w:color w:val="auto"/>
          <w:sz w:val="31"/>
          <w:szCs w:val="31"/>
          <w:shd w:val="clear" w:color="auto" w:fill="FFFFFF"/>
        </w:rPr>
        <w:t>136.83</w:t>
      </w:r>
      <w:r>
        <w:rPr>
          <w:rFonts w:ascii="仿宋_GB2312" w:hAnsi="微软雅黑" w:eastAsia="仿宋_GB2312" w:cs="仿宋_GB2312"/>
          <w:color w:val="auto"/>
          <w:sz w:val="31"/>
          <w:szCs w:val="31"/>
          <w:shd w:val="clear" w:color="auto" w:fill="FFFFFF"/>
        </w:rPr>
        <w:t>万元</w:t>
      </w:r>
      <w:r>
        <w:rPr>
          <w:rFonts w:hint="eastAsia" w:ascii="仿宋_GB2312" w:hAnsi="微软雅黑" w:eastAsia="仿宋_GB2312" w:cs="仿宋_GB2312"/>
          <w:color w:val="auto"/>
          <w:sz w:val="31"/>
          <w:szCs w:val="31"/>
          <w:shd w:val="clear" w:color="auto" w:fill="FFFFFF"/>
        </w:rPr>
        <w:t>,减少107.81</w:t>
      </w:r>
      <w:r>
        <w:rPr>
          <w:rFonts w:ascii="仿宋_GB2312" w:hAnsi="微软雅黑" w:eastAsia="仿宋_GB2312" w:cs="仿宋_GB2312"/>
          <w:color w:val="auto"/>
          <w:sz w:val="31"/>
          <w:szCs w:val="31"/>
          <w:shd w:val="clear" w:color="auto" w:fill="FFFFFF"/>
        </w:rPr>
        <w:t>万元，</w:t>
      </w:r>
      <w:r>
        <w:rPr>
          <w:rFonts w:hint="eastAsia" w:ascii="仿宋_GB2312" w:hAnsi="微软雅黑" w:eastAsia="仿宋_GB2312" w:cs="仿宋_GB2312"/>
          <w:color w:val="auto"/>
          <w:sz w:val="31"/>
          <w:szCs w:val="31"/>
          <w:shd w:val="clear" w:color="auto" w:fill="FFFFFF"/>
        </w:rPr>
        <w:t>下降78.79%</w:t>
      </w:r>
      <w:r>
        <w:rPr>
          <w:rFonts w:ascii="仿宋_GB2312" w:hAnsi="微软雅黑" w:eastAsia="仿宋_GB2312" w:cs="仿宋_GB2312"/>
          <w:color w:val="auto"/>
          <w:sz w:val="31"/>
          <w:szCs w:val="31"/>
          <w:shd w:val="clear" w:color="auto" w:fill="FFFFFF"/>
        </w:rPr>
        <w:t>，主要原因是</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人员增加</w:t>
      </w:r>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年末结转和结余</w:t>
      </w:r>
      <w:r>
        <w:rPr>
          <w:rFonts w:hint="eastAsia" w:ascii="仿宋" w:hAnsi="仿宋" w:eastAsia="仿宋" w:cs="仿宋"/>
          <w:color w:val="auto"/>
          <w:sz w:val="32"/>
        </w:rPr>
        <w:t>0</w:t>
      </w:r>
      <w:r>
        <w:rPr>
          <w:rFonts w:hint="eastAsia" w:ascii="仿宋" w:hAnsi="仿宋" w:eastAsia="仿宋" w:cs="仿宋"/>
          <w:color w:val="auto"/>
          <w:sz w:val="32"/>
          <w:szCs w:val="32"/>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rPr>
        <w:t>增加</w:t>
      </w:r>
      <w:r>
        <w:rPr>
          <w:rFonts w:hint="eastAsia" w:ascii="仿宋" w:hAnsi="仿宋" w:eastAsia="仿宋" w:cs="仿宋"/>
          <w:color w:val="auto"/>
          <w:sz w:val="32"/>
        </w:rPr>
        <w:t>0</w:t>
      </w:r>
      <w:r>
        <w:rPr>
          <w:rFonts w:hint="eastAsia" w:ascii="仿宋" w:hAnsi="仿宋" w:eastAsia="仿宋" w:cs="仿宋"/>
          <w:color w:val="auto"/>
          <w:sz w:val="32"/>
          <w:szCs w:val="32"/>
        </w:rPr>
        <w:t>万元，</w:t>
      </w:r>
      <w:r>
        <w:rPr>
          <w:rFonts w:ascii="仿宋" w:hAnsi="仿宋" w:eastAsia="仿宋" w:cs="仿宋"/>
          <w:color w:val="auto"/>
          <w:sz w:val="32"/>
        </w:rPr>
        <w:t>增长</w:t>
      </w:r>
      <w:r>
        <w:rPr>
          <w:rFonts w:hint="eastAsia" w:ascii="仿宋" w:hAnsi="仿宋" w:eastAsia="仿宋" w:cs="仿宋"/>
          <w:color w:val="auto"/>
          <w:sz w:val="32"/>
        </w:rPr>
        <w:t>0</w:t>
      </w:r>
      <w:r>
        <w:rPr>
          <w:rFonts w:ascii="仿宋" w:hAnsi="仿宋" w:eastAsia="仿宋" w:cs="仿宋"/>
          <w:color w:val="auto"/>
          <w:sz w:val="32"/>
        </w:rPr>
        <w:t>%</w:t>
      </w:r>
      <w:r>
        <w:rPr>
          <w:rFonts w:hint="eastAsia" w:ascii="仿宋" w:hAnsi="仿宋" w:eastAsia="仿宋" w:cs="仿宋"/>
          <w:color w:val="auto"/>
          <w:sz w:val="32"/>
          <w:szCs w:val="32"/>
        </w:rPr>
        <w:t>。</w:t>
      </w:r>
    </w:p>
    <w:p>
      <w:pPr>
        <w:ind w:firstLine="640" w:firstLineChars="200"/>
        <w:jc w:val="center"/>
        <w:rPr>
          <w:rFonts w:ascii="仿宋" w:hAnsi="仿宋" w:eastAsia="仿宋" w:cs="仿宋"/>
          <w:color w:val="auto"/>
          <w:sz w:val="32"/>
          <w:szCs w:val="32"/>
        </w:rPr>
      </w:pPr>
    </w:p>
    <w:p>
      <w:pPr>
        <w:jc w:val="left"/>
        <w:rPr>
          <w:rFonts w:ascii="黑体" w:hAnsi="黑体" w:eastAsia="黑体" w:cs="黑体"/>
          <w:color w:val="auto"/>
          <w:sz w:val="32"/>
          <w:szCs w:val="32"/>
        </w:rPr>
      </w:pPr>
      <w:r>
        <w:rPr>
          <w:rFonts w:hint="eastAsia" w:ascii="黑体" w:hAnsi="黑体" w:eastAsia="黑体" w:cs="黑体"/>
          <w:color w:val="auto"/>
          <w:sz w:val="32"/>
          <w:szCs w:val="32"/>
        </w:rPr>
        <w:t>二、2022年度</w:t>
      </w:r>
      <w:bookmarkStart w:id="0" w:name="OLE_LINK1"/>
      <w:r>
        <w:rPr>
          <w:rFonts w:hint="eastAsia" w:ascii="黑体" w:hAnsi="黑体" w:eastAsia="黑体" w:cs="黑体"/>
          <w:color w:val="auto"/>
          <w:sz w:val="32"/>
          <w:szCs w:val="32"/>
        </w:rPr>
        <w:t>一般公共预算财政拨款支出决算情况</w:t>
      </w:r>
      <w:bookmarkEnd w:id="0"/>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环江县毛南族自治县人民医院2022年度一般公共预算财政拨款支出</w:t>
      </w:r>
      <w:r>
        <w:rPr>
          <w:rFonts w:hint="eastAsia" w:ascii="仿宋" w:hAnsi="仿宋" w:eastAsia="仿宋" w:cs="仿宋"/>
          <w:color w:val="auto"/>
          <w:sz w:val="32"/>
        </w:rPr>
        <w:t>2963.41</w:t>
      </w:r>
      <w:r>
        <w:rPr>
          <w:rFonts w:hint="eastAsia" w:ascii="仿宋" w:hAnsi="仿宋" w:eastAsia="仿宋" w:cs="仿宋"/>
          <w:color w:val="auto"/>
          <w:sz w:val="32"/>
          <w:szCs w:val="32"/>
        </w:rPr>
        <w:t>万元，较2021年度决算数</w:t>
      </w:r>
      <w:r>
        <w:rPr>
          <w:rFonts w:hint="eastAsia" w:ascii="仿宋" w:hAnsi="仿宋" w:eastAsia="仿宋" w:cs="仿宋"/>
          <w:color w:val="auto"/>
          <w:sz w:val="32"/>
        </w:rPr>
        <w:t>增加825.59</w:t>
      </w:r>
      <w:r>
        <w:rPr>
          <w:rFonts w:hint="eastAsia" w:ascii="仿宋" w:hAnsi="仿宋" w:eastAsia="仿宋" w:cs="仿宋"/>
          <w:color w:val="auto"/>
          <w:sz w:val="32"/>
          <w:szCs w:val="32"/>
        </w:rPr>
        <w:t>万元，</w:t>
      </w:r>
      <w:r>
        <w:rPr>
          <w:rFonts w:hint="eastAsia" w:ascii="仿宋" w:hAnsi="仿宋" w:eastAsia="仿宋" w:cs="仿宋"/>
          <w:color w:val="auto"/>
          <w:sz w:val="32"/>
        </w:rPr>
        <w:t>增长38.62</w:t>
      </w:r>
      <w:r>
        <w:rPr>
          <w:rFonts w:ascii="仿宋" w:hAnsi="仿宋" w:eastAsia="仿宋" w:cs="仿宋"/>
          <w:color w:val="auto"/>
          <w:sz w:val="32"/>
        </w:rPr>
        <w:t>%</w:t>
      </w:r>
      <w:r>
        <w:rPr>
          <w:rFonts w:hint="eastAsia" w:ascii="仿宋" w:hAnsi="仿宋" w:eastAsia="仿宋" w:cs="仿宋"/>
          <w:color w:val="auto"/>
          <w:sz w:val="32"/>
          <w:szCs w:val="32"/>
        </w:rPr>
        <w:t>。其中：基本支出</w:t>
      </w:r>
      <w:r>
        <w:rPr>
          <w:rFonts w:hint="eastAsia" w:ascii="仿宋" w:hAnsi="仿宋" w:eastAsia="仿宋" w:cs="仿宋"/>
          <w:color w:val="auto"/>
          <w:sz w:val="32"/>
        </w:rPr>
        <w:t>1055.44</w:t>
      </w:r>
      <w:r>
        <w:rPr>
          <w:rFonts w:hint="eastAsia" w:ascii="仿宋" w:hAnsi="仿宋" w:eastAsia="仿宋" w:cs="仿宋"/>
          <w:color w:val="auto"/>
          <w:sz w:val="32"/>
          <w:szCs w:val="32"/>
        </w:rPr>
        <w:t>万元，项目支出</w:t>
      </w:r>
      <w:r>
        <w:rPr>
          <w:rFonts w:hint="eastAsia" w:ascii="仿宋" w:hAnsi="仿宋" w:eastAsia="仿宋" w:cs="仿宋"/>
          <w:color w:val="auto"/>
          <w:sz w:val="32"/>
        </w:rPr>
        <w:t>1907.97</w:t>
      </w:r>
      <w:r>
        <w:rPr>
          <w:rFonts w:hint="eastAsia" w:ascii="仿宋" w:hAnsi="仿宋" w:eastAsia="仿宋" w:cs="仿宋"/>
          <w:color w:val="auto"/>
          <w:sz w:val="32"/>
          <w:szCs w:val="32"/>
        </w:rPr>
        <w:t>万元。</w:t>
      </w:r>
    </w:p>
    <w:p>
      <w:pPr>
        <w:ind w:firstLine="640" w:firstLineChars="200"/>
        <w:jc w:val="left"/>
        <w:rPr>
          <w:rFonts w:ascii="仿宋" w:hAnsi="仿宋" w:eastAsia="仿宋"/>
          <w:color w:val="auto"/>
          <w:sz w:val="32"/>
          <w:szCs w:val="32"/>
        </w:rPr>
      </w:pPr>
      <w:r>
        <w:rPr>
          <w:rFonts w:hint="eastAsia" w:ascii="仿宋" w:hAnsi="仿宋" w:eastAsia="仿宋" w:cs="仿宋"/>
          <w:color w:val="auto"/>
          <w:sz w:val="32"/>
          <w:szCs w:val="32"/>
        </w:rPr>
        <w:t>环江县毛南族自治县人民医院2022 年度一般公共预算财政拨款支出年初预算为</w:t>
      </w:r>
      <w:r>
        <w:rPr>
          <w:rFonts w:hint="eastAsia" w:ascii="仿宋" w:hAnsi="仿宋" w:eastAsia="仿宋" w:cs="仿宋"/>
          <w:color w:val="auto"/>
          <w:sz w:val="32"/>
          <w:lang w:val="en-US" w:eastAsia="zh-CN"/>
        </w:rPr>
        <w:t>1071.36</w:t>
      </w:r>
      <w:r>
        <w:rPr>
          <w:rFonts w:hint="eastAsia" w:ascii="仿宋" w:hAnsi="仿宋" w:eastAsia="仿宋" w:cs="仿宋"/>
          <w:color w:val="auto"/>
          <w:sz w:val="32"/>
          <w:szCs w:val="32"/>
        </w:rPr>
        <w:t>万元，支出决算为</w:t>
      </w:r>
      <w:r>
        <w:rPr>
          <w:rFonts w:hint="eastAsia" w:ascii="仿宋" w:hAnsi="仿宋" w:eastAsia="仿宋" w:cs="仿宋"/>
          <w:color w:val="auto"/>
          <w:sz w:val="32"/>
        </w:rPr>
        <w:t>2963.41</w:t>
      </w:r>
      <w:r>
        <w:rPr>
          <w:rFonts w:hint="eastAsia" w:ascii="仿宋" w:hAnsi="仿宋" w:eastAsia="仿宋" w:cs="仿宋"/>
          <w:color w:val="auto"/>
          <w:sz w:val="32"/>
          <w:szCs w:val="32"/>
        </w:rPr>
        <w:t>万元，完成年初预算的</w:t>
      </w:r>
      <w:r>
        <w:rPr>
          <w:rFonts w:hint="eastAsia" w:ascii="仿宋" w:hAnsi="仿宋" w:eastAsia="仿宋" w:cs="仿宋"/>
          <w:color w:val="auto"/>
          <w:sz w:val="32"/>
          <w:lang w:val="en-US" w:eastAsia="zh-CN"/>
        </w:rPr>
        <w:t>276.60</w:t>
      </w:r>
      <w:r>
        <w:rPr>
          <w:rFonts w:ascii="仿宋" w:hAnsi="仿宋" w:eastAsia="仿宋" w:cs="仿宋"/>
          <w:color w:val="auto"/>
          <w:sz w:val="32"/>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具体情况如下：</w:t>
      </w:r>
      <w:bookmarkStart w:id="1" w:name="OLE_LINK2"/>
      <w:bookmarkEnd w:id="1"/>
    </w:p>
    <w:p>
      <w:pPr>
        <w:numPr>
          <w:ilvl w:val="0"/>
          <w:numId w:val="1"/>
        </w:numPr>
        <w:jc w:val="left"/>
        <w:rPr>
          <w:rFonts w:eastAsia="仿宋"/>
          <w:color w:val="auto"/>
        </w:rPr>
      </w:pPr>
      <w:r>
        <w:rPr>
          <w:rFonts w:hint="eastAsia" w:ascii="仿宋" w:hAnsi="仿宋" w:eastAsia="仿宋"/>
          <w:color w:val="auto"/>
          <w:sz w:val="32"/>
          <w:szCs w:val="32"/>
        </w:rPr>
        <w:t>社会保障和就业支出</w:t>
      </w:r>
      <w:r>
        <w:rPr>
          <w:rFonts w:ascii="仿宋" w:hAnsi="仿宋" w:eastAsia="仿宋"/>
          <w:color w:val="auto"/>
          <w:sz w:val="32"/>
        </w:rPr>
        <w:t>（208</w:t>
      </w:r>
      <w:r>
        <w:rPr>
          <w:rFonts w:hint="eastAsia" w:ascii="仿宋" w:hAnsi="仿宋" w:eastAsia="仿宋"/>
          <w:color w:val="auto"/>
          <w:sz w:val="32"/>
          <w:szCs w:val="32"/>
        </w:rPr>
        <w:t>类）年初预算为</w:t>
      </w:r>
      <w:r>
        <w:rPr>
          <w:rFonts w:hint="eastAsia" w:ascii="仿宋" w:hAnsi="仿宋" w:eastAsia="仿宋"/>
          <w:color w:val="auto"/>
          <w:sz w:val="32"/>
          <w:szCs w:val="32"/>
          <w:lang w:val="en-US" w:eastAsia="zh-CN"/>
        </w:rPr>
        <w:t>110.9</w:t>
      </w:r>
      <w:r>
        <w:rPr>
          <w:rFonts w:hint="eastAsia" w:ascii="仿宋" w:hAnsi="仿宋" w:eastAsia="仿宋"/>
          <w:color w:val="auto"/>
          <w:sz w:val="32"/>
          <w:szCs w:val="32"/>
        </w:rPr>
        <w:t>万元，支出决算为107.29万元，完成年初预算的</w:t>
      </w:r>
      <w:r>
        <w:rPr>
          <w:rFonts w:hint="eastAsia" w:ascii="仿宋" w:hAnsi="仿宋" w:eastAsia="仿宋"/>
          <w:color w:val="auto"/>
          <w:sz w:val="32"/>
          <w:szCs w:val="32"/>
          <w:lang w:val="en-US" w:eastAsia="zh-CN"/>
        </w:rPr>
        <w:t>96.74</w:t>
      </w:r>
      <w:r>
        <w:rPr>
          <w:rFonts w:ascii="仿宋" w:hAnsi="仿宋" w:eastAsia="仿宋"/>
          <w:color w:val="auto"/>
          <w:sz w:val="32"/>
          <w:szCs w:val="32"/>
        </w:rPr>
        <w:t>%</w:t>
      </w:r>
      <w:r>
        <w:rPr>
          <w:rFonts w:hint="eastAsia" w:ascii="仿宋" w:hAnsi="仿宋" w:eastAsia="仿宋"/>
          <w:color w:val="auto"/>
          <w:sz w:val="32"/>
          <w:szCs w:val="32"/>
        </w:rPr>
        <w:t>。预决算存有差异原因是：</w:t>
      </w:r>
      <w:r>
        <w:rPr>
          <w:rFonts w:hint="eastAsia" w:ascii="仿宋" w:hAnsi="仿宋" w:eastAsia="仿宋" w:cs="仿宋"/>
          <w:color w:val="auto"/>
          <w:sz w:val="32"/>
          <w:szCs w:val="32"/>
          <w:lang w:val="en-US" w:eastAsia="zh-CN"/>
        </w:rPr>
        <w:t>属于正常变动。</w:t>
      </w:r>
    </w:p>
    <w:p>
      <w:pPr>
        <w:jc w:val="left"/>
        <w:rPr>
          <w:rFonts w:hint="eastAsia" w:ascii="仿宋" w:hAnsi="仿宋" w:eastAsia="仿宋"/>
          <w:color w:val="auto"/>
          <w:sz w:val="32"/>
          <w:szCs w:val="32"/>
        </w:rPr>
      </w:pPr>
      <w:r>
        <w:rPr>
          <w:rFonts w:hint="eastAsia" w:ascii="仿宋" w:hAnsi="仿宋" w:eastAsia="仿宋"/>
          <w:color w:val="auto"/>
          <w:sz w:val="32"/>
          <w:szCs w:val="32"/>
        </w:rPr>
        <w:t>支出具体情况如下：</w:t>
      </w:r>
    </w:p>
    <w:p>
      <w:pPr>
        <w:numPr>
          <w:ilvl w:val="0"/>
          <w:numId w:val="0"/>
        </w:numPr>
        <w:ind w:firstLine="640" w:firstLineChars="200"/>
        <w:jc w:val="left"/>
        <w:rPr>
          <w:rFonts w:ascii="仿宋" w:hAnsi="仿宋" w:eastAsia="仿宋"/>
          <w:color w:val="auto"/>
          <w:sz w:val="32"/>
          <w:szCs w:val="32"/>
        </w:rPr>
      </w:pPr>
      <w:r>
        <w:rPr>
          <w:rFonts w:hint="eastAsia" w:ascii="仿宋" w:hAnsi="仿宋" w:eastAsia="仿宋"/>
          <w:color w:val="auto"/>
          <w:sz w:val="32"/>
          <w:szCs w:val="32"/>
          <w:lang w:val="en-US" w:eastAsia="zh-CN"/>
        </w:rPr>
        <w:t>机关事业单位基本养老保险缴费支出（2080505）</w:t>
      </w:r>
      <w:r>
        <w:rPr>
          <w:rFonts w:hint="eastAsia" w:ascii="仿宋" w:hAnsi="仿宋" w:eastAsia="仿宋"/>
          <w:color w:val="auto"/>
          <w:sz w:val="32"/>
          <w:szCs w:val="32"/>
        </w:rPr>
        <w:t>年初预算为</w:t>
      </w:r>
      <w:r>
        <w:rPr>
          <w:rFonts w:hint="eastAsia" w:ascii="仿宋" w:hAnsi="仿宋" w:eastAsia="仿宋"/>
          <w:color w:val="auto"/>
          <w:sz w:val="32"/>
          <w:szCs w:val="32"/>
          <w:lang w:val="en-US" w:eastAsia="zh-CN"/>
        </w:rPr>
        <w:t>110.9</w:t>
      </w:r>
      <w:r>
        <w:rPr>
          <w:rFonts w:hint="eastAsia" w:ascii="仿宋" w:hAnsi="仿宋" w:eastAsia="仿宋"/>
          <w:color w:val="auto"/>
          <w:sz w:val="32"/>
          <w:szCs w:val="32"/>
        </w:rPr>
        <w:t>万元，支出决算为107.29万元，完成年初预算的</w:t>
      </w:r>
      <w:r>
        <w:rPr>
          <w:rFonts w:hint="eastAsia" w:ascii="仿宋" w:hAnsi="仿宋" w:eastAsia="仿宋"/>
          <w:color w:val="auto"/>
          <w:sz w:val="32"/>
          <w:szCs w:val="32"/>
          <w:lang w:val="en-US" w:eastAsia="zh-CN"/>
        </w:rPr>
        <w:t>96.74</w:t>
      </w:r>
      <w:r>
        <w:rPr>
          <w:rFonts w:ascii="仿宋" w:hAnsi="仿宋" w:eastAsia="仿宋"/>
          <w:color w:val="auto"/>
          <w:sz w:val="32"/>
          <w:szCs w:val="32"/>
        </w:rPr>
        <w:t>%</w:t>
      </w:r>
      <w:r>
        <w:rPr>
          <w:rFonts w:hint="eastAsia" w:ascii="仿宋" w:hAnsi="仿宋" w:eastAsia="仿宋"/>
          <w:color w:val="auto"/>
          <w:sz w:val="32"/>
          <w:szCs w:val="32"/>
        </w:rPr>
        <w:t>。预决算存有差异原因是：</w:t>
      </w:r>
      <w:r>
        <w:rPr>
          <w:rFonts w:hint="eastAsia" w:ascii="仿宋" w:hAnsi="仿宋" w:eastAsia="仿宋" w:cs="仿宋"/>
          <w:color w:val="auto"/>
          <w:sz w:val="32"/>
          <w:szCs w:val="32"/>
          <w:lang w:val="en-US" w:eastAsia="zh-CN"/>
        </w:rPr>
        <w:t>属于正常变动。</w:t>
      </w:r>
    </w:p>
    <w:p>
      <w:pPr>
        <w:numPr>
          <w:ilvl w:val="0"/>
          <w:numId w:val="1"/>
        </w:numPr>
        <w:jc w:val="left"/>
        <w:rPr>
          <w:rFonts w:eastAsia="仿宋"/>
          <w:color w:val="auto"/>
        </w:rPr>
      </w:pPr>
      <w:r>
        <w:rPr>
          <w:rFonts w:hint="eastAsia" w:ascii="仿宋" w:hAnsi="仿宋" w:eastAsia="仿宋"/>
          <w:color w:val="auto"/>
          <w:sz w:val="32"/>
          <w:szCs w:val="32"/>
        </w:rPr>
        <w:t>卫生健康支出</w:t>
      </w:r>
      <w:r>
        <w:rPr>
          <w:rFonts w:ascii="仿宋" w:hAnsi="仿宋" w:eastAsia="仿宋"/>
          <w:color w:val="auto"/>
          <w:sz w:val="32"/>
        </w:rPr>
        <w:t>（210</w:t>
      </w:r>
      <w:r>
        <w:rPr>
          <w:rFonts w:hint="eastAsia" w:ascii="仿宋" w:hAnsi="仿宋" w:eastAsia="仿宋"/>
          <w:color w:val="auto"/>
          <w:sz w:val="32"/>
          <w:szCs w:val="32"/>
        </w:rPr>
        <w:t>类）年初预算为</w:t>
      </w:r>
      <w:r>
        <w:rPr>
          <w:rFonts w:hint="eastAsia" w:ascii="仿宋" w:hAnsi="仿宋" w:eastAsia="仿宋"/>
          <w:color w:val="auto"/>
          <w:sz w:val="32"/>
          <w:szCs w:val="32"/>
          <w:lang w:val="en-US" w:eastAsia="zh-CN"/>
        </w:rPr>
        <w:t>863.89</w:t>
      </w:r>
      <w:r>
        <w:rPr>
          <w:rFonts w:hint="eastAsia" w:ascii="仿宋" w:hAnsi="仿宋" w:eastAsia="仿宋"/>
          <w:color w:val="auto"/>
          <w:sz w:val="32"/>
          <w:szCs w:val="32"/>
        </w:rPr>
        <w:t>万元，支出决算为2755.39万元，完成年初预算的</w:t>
      </w:r>
      <w:r>
        <w:rPr>
          <w:rFonts w:hint="eastAsia" w:ascii="仿宋" w:hAnsi="仿宋" w:eastAsia="仿宋"/>
          <w:color w:val="auto"/>
          <w:sz w:val="32"/>
          <w:szCs w:val="32"/>
          <w:lang w:val="en-US" w:eastAsia="zh-CN"/>
        </w:rPr>
        <w:t>318.95</w:t>
      </w:r>
      <w:r>
        <w:rPr>
          <w:rFonts w:ascii="仿宋" w:hAnsi="仿宋" w:eastAsia="仿宋"/>
          <w:color w:val="auto"/>
          <w:sz w:val="32"/>
          <w:szCs w:val="32"/>
        </w:rPr>
        <w:t>%</w:t>
      </w:r>
      <w:r>
        <w:rPr>
          <w:rFonts w:hint="eastAsia" w:ascii="仿宋" w:hAnsi="仿宋" w:eastAsia="仿宋"/>
          <w:color w:val="auto"/>
          <w:sz w:val="32"/>
          <w:szCs w:val="32"/>
        </w:rPr>
        <w:t>。预决算存有差异原因是：</w:t>
      </w:r>
      <w:r>
        <w:rPr>
          <w:rFonts w:hint="eastAsia" w:ascii="仿宋" w:hAnsi="仿宋" w:eastAsia="仿宋" w:cs="仿宋"/>
          <w:color w:val="auto"/>
          <w:sz w:val="32"/>
          <w:szCs w:val="32"/>
          <w:lang w:val="en-US" w:eastAsia="zh-CN"/>
        </w:rPr>
        <w:t>项目业务增加，项目财政拨款增加。</w:t>
      </w:r>
    </w:p>
    <w:p>
      <w:pPr>
        <w:jc w:val="center"/>
        <w:rPr>
          <w:rFonts w:ascii="仿宋" w:hAnsi="仿宋" w:eastAsia="仿宋"/>
          <w:color w:val="auto"/>
          <w:sz w:val="32"/>
          <w:szCs w:val="32"/>
        </w:rPr>
      </w:pPr>
    </w:p>
    <w:p>
      <w:pPr>
        <w:numPr>
          <w:ilvl w:val="0"/>
          <w:numId w:val="1"/>
        </w:numPr>
        <w:jc w:val="left"/>
        <w:rPr>
          <w:rFonts w:eastAsia="仿宋"/>
          <w:color w:val="auto"/>
        </w:rPr>
      </w:pPr>
      <w:r>
        <w:rPr>
          <w:rFonts w:hint="eastAsia" w:ascii="仿宋" w:hAnsi="仿宋" w:eastAsia="仿宋"/>
          <w:color w:val="auto"/>
          <w:sz w:val="32"/>
          <w:szCs w:val="32"/>
        </w:rPr>
        <w:t>住房保障支出</w:t>
      </w:r>
      <w:r>
        <w:rPr>
          <w:rFonts w:ascii="仿宋" w:hAnsi="仿宋" w:eastAsia="仿宋"/>
          <w:color w:val="auto"/>
          <w:sz w:val="32"/>
        </w:rPr>
        <w:t>（221</w:t>
      </w:r>
      <w:r>
        <w:rPr>
          <w:rFonts w:hint="eastAsia" w:ascii="仿宋" w:hAnsi="仿宋" w:eastAsia="仿宋"/>
          <w:color w:val="auto"/>
          <w:sz w:val="32"/>
          <w:szCs w:val="32"/>
        </w:rPr>
        <w:t>类）年初预算为</w:t>
      </w:r>
      <w:r>
        <w:rPr>
          <w:rFonts w:hint="eastAsia" w:ascii="仿宋" w:hAnsi="仿宋" w:eastAsia="仿宋"/>
          <w:color w:val="auto"/>
          <w:sz w:val="32"/>
          <w:szCs w:val="32"/>
          <w:lang w:val="en-US" w:eastAsia="zh-CN"/>
        </w:rPr>
        <w:t>83.17</w:t>
      </w:r>
      <w:r>
        <w:rPr>
          <w:rFonts w:hint="eastAsia" w:ascii="仿宋" w:hAnsi="仿宋" w:eastAsia="仿宋"/>
          <w:color w:val="auto"/>
          <w:sz w:val="32"/>
          <w:szCs w:val="32"/>
        </w:rPr>
        <w:t>万元，支出决算为80.23万元，完成年初预算的</w:t>
      </w:r>
      <w:r>
        <w:rPr>
          <w:rFonts w:hint="eastAsia" w:ascii="仿宋" w:hAnsi="仿宋" w:eastAsia="仿宋"/>
          <w:color w:val="auto"/>
          <w:sz w:val="32"/>
          <w:szCs w:val="32"/>
          <w:lang w:val="en-US" w:eastAsia="zh-CN"/>
        </w:rPr>
        <w:t>96.47</w:t>
      </w:r>
      <w:r>
        <w:rPr>
          <w:rFonts w:ascii="仿宋" w:hAnsi="仿宋" w:eastAsia="仿宋"/>
          <w:color w:val="auto"/>
          <w:sz w:val="32"/>
          <w:szCs w:val="32"/>
        </w:rPr>
        <w:t>%</w:t>
      </w:r>
      <w:r>
        <w:rPr>
          <w:rFonts w:hint="eastAsia" w:ascii="仿宋" w:hAnsi="仿宋" w:eastAsia="仿宋"/>
          <w:color w:val="auto"/>
          <w:sz w:val="32"/>
          <w:szCs w:val="32"/>
        </w:rPr>
        <w:t>。预决算存有差异原因是：</w:t>
      </w:r>
      <w:r>
        <w:rPr>
          <w:rFonts w:hint="eastAsia" w:ascii="仿宋" w:hAnsi="仿宋" w:eastAsia="仿宋"/>
          <w:color w:val="auto"/>
          <w:sz w:val="32"/>
          <w:szCs w:val="32"/>
          <w:lang w:val="en-US" w:eastAsia="zh-CN"/>
        </w:rPr>
        <w:t>属于正常变动。</w:t>
      </w:r>
    </w:p>
    <w:p>
      <w:pPr>
        <w:ind w:firstLine="320" w:firstLineChars="100"/>
        <w:jc w:val="left"/>
        <w:rPr>
          <w:rFonts w:hint="default" w:ascii="仿宋" w:hAnsi="仿宋" w:eastAsia="仿宋"/>
          <w:color w:val="auto"/>
          <w:sz w:val="32"/>
          <w:szCs w:val="32"/>
          <w:lang w:val="en-US"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四</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其他支出（229类）</w:t>
      </w:r>
      <w:r>
        <w:rPr>
          <w:rFonts w:hint="eastAsia" w:ascii="仿宋" w:hAnsi="仿宋" w:eastAsia="仿宋"/>
          <w:color w:val="auto"/>
          <w:sz w:val="32"/>
          <w:szCs w:val="32"/>
        </w:rPr>
        <w:t>年初预算为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万元，支出决算</w:t>
      </w:r>
      <w:r>
        <w:rPr>
          <w:rFonts w:hint="eastAsia" w:ascii="仿宋" w:hAnsi="仿宋" w:eastAsia="仿宋"/>
          <w:color w:val="auto"/>
          <w:sz w:val="32"/>
          <w:szCs w:val="32"/>
          <w:lang w:val="en-US" w:eastAsia="zh-CN"/>
        </w:rPr>
        <w:t>20.5</w:t>
      </w:r>
      <w:r>
        <w:rPr>
          <w:rFonts w:hint="eastAsia" w:ascii="仿宋" w:hAnsi="仿宋" w:eastAsia="仿宋"/>
          <w:color w:val="auto"/>
          <w:sz w:val="32"/>
          <w:szCs w:val="32"/>
        </w:rPr>
        <w:t>万元，预决算存有差异原因是：</w:t>
      </w:r>
      <w:r>
        <w:rPr>
          <w:rFonts w:hint="eastAsia" w:ascii="仿宋" w:hAnsi="仿宋" w:eastAsia="仿宋"/>
          <w:color w:val="auto"/>
          <w:sz w:val="32"/>
          <w:szCs w:val="32"/>
          <w:lang w:val="en-US" w:eastAsia="zh-CN"/>
        </w:rPr>
        <w:t>增加人员伙食补助。</w:t>
      </w:r>
    </w:p>
    <w:p>
      <w:pPr>
        <w:jc w:val="left"/>
        <w:rPr>
          <w:rFonts w:ascii="仿宋" w:hAnsi="仿宋" w:eastAsia="仿宋" w:cs="仿宋"/>
          <w:color w:val="auto"/>
          <w:sz w:val="32"/>
          <w:szCs w:val="32"/>
        </w:rPr>
      </w:pPr>
      <w:r>
        <w:rPr>
          <w:rFonts w:hint="eastAsia" w:ascii="黑体" w:hAnsi="黑体" w:eastAsia="黑体" w:cs="黑体"/>
          <w:color w:val="auto"/>
          <w:sz w:val="32"/>
          <w:szCs w:val="32"/>
        </w:rPr>
        <w:t>三、2022年度一般公共预算财政拨款基本支出决算情况说明</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环江县毛南族自治县人民医院2022年度一般公共预算财政拨款基本支出</w:t>
      </w:r>
      <w:r>
        <w:rPr>
          <w:rFonts w:hint="eastAsia" w:ascii="仿宋" w:hAnsi="仿宋" w:eastAsia="仿宋" w:cs="仿宋"/>
          <w:color w:val="auto"/>
          <w:sz w:val="32"/>
        </w:rPr>
        <w:t>1055.44</w:t>
      </w:r>
      <w:r>
        <w:rPr>
          <w:rFonts w:hint="eastAsia" w:ascii="仿宋" w:hAnsi="仿宋" w:eastAsia="仿宋" w:cs="仿宋"/>
          <w:color w:val="auto"/>
          <w:sz w:val="32"/>
          <w:szCs w:val="32"/>
        </w:rPr>
        <w:t>万元，</w:t>
      </w:r>
      <w:r>
        <w:rPr>
          <w:rFonts w:ascii="仿宋_GB2312" w:hAnsi="微软雅黑" w:eastAsia="仿宋_GB2312" w:cs="仿宋_GB2312"/>
          <w:color w:val="auto"/>
          <w:sz w:val="31"/>
          <w:szCs w:val="31"/>
          <w:shd w:val="clear" w:color="auto" w:fill="FFFFFF"/>
        </w:rPr>
        <w:t>其中：人员经费支出</w:t>
      </w:r>
      <w:r>
        <w:rPr>
          <w:rFonts w:hint="eastAsia" w:ascii="仿宋" w:hAnsi="仿宋" w:eastAsia="仿宋" w:cs="仿宋"/>
          <w:color w:val="auto"/>
          <w:sz w:val="32"/>
          <w:szCs w:val="32"/>
        </w:rPr>
        <w:t>1055.44</w:t>
      </w:r>
      <w:r>
        <w:rPr>
          <w:rFonts w:ascii="仿宋_GB2312" w:hAnsi="微软雅黑" w:eastAsia="仿宋_GB2312" w:cs="仿宋_GB2312"/>
          <w:color w:val="auto"/>
          <w:sz w:val="31"/>
          <w:szCs w:val="31"/>
          <w:shd w:val="clear" w:color="auto" w:fill="FFFFFF"/>
        </w:rPr>
        <w:t>万元，公用经费支出</w:t>
      </w:r>
      <w:r>
        <w:rPr>
          <w:rFonts w:hint="eastAsia" w:ascii="仿宋" w:hAnsi="仿宋" w:eastAsia="仿宋" w:cs="仿宋"/>
          <w:color w:val="auto"/>
          <w:sz w:val="32"/>
          <w:szCs w:val="32"/>
        </w:rPr>
        <w:t>0</w:t>
      </w:r>
      <w:r>
        <w:rPr>
          <w:rFonts w:ascii="仿宋_GB2312" w:hAnsi="微软雅黑" w:eastAsia="仿宋_GB2312" w:cs="仿宋_GB2312"/>
          <w:color w:val="auto"/>
          <w:sz w:val="31"/>
          <w:szCs w:val="31"/>
          <w:shd w:val="clear" w:color="auto" w:fill="FFFFFF"/>
        </w:rPr>
        <w:t>万元，</w:t>
      </w:r>
      <w:r>
        <w:rPr>
          <w:rFonts w:hint="eastAsia" w:ascii="仿宋" w:hAnsi="仿宋" w:eastAsia="仿宋" w:cs="仿宋"/>
          <w:color w:val="auto"/>
          <w:sz w:val="32"/>
          <w:szCs w:val="32"/>
        </w:rPr>
        <w:t>支出具体情况如下：</w:t>
      </w:r>
    </w:p>
    <w:p>
      <w:pPr>
        <w:numPr>
          <w:ilvl w:val="0"/>
          <w:numId w:val="2"/>
        </w:numPr>
        <w:jc w:val="left"/>
        <w:rPr>
          <w:rFonts w:hint="default" w:ascii="仿宋" w:hAnsi="仿宋" w:eastAsia="仿宋" w:cs="仿宋"/>
          <w:color w:val="auto"/>
          <w:sz w:val="32"/>
          <w:szCs w:val="32"/>
          <w:lang w:val="en-US"/>
        </w:rPr>
      </w:pPr>
      <w:r>
        <w:rPr>
          <w:rFonts w:hint="eastAsia" w:ascii="仿宋" w:hAnsi="仿宋" w:eastAsia="仿宋" w:cs="仿宋"/>
          <w:color w:val="auto"/>
          <w:sz w:val="32"/>
          <w:szCs w:val="32"/>
        </w:rPr>
        <w:t>工资福利支出</w:t>
      </w:r>
      <w:r>
        <w:rPr>
          <w:rFonts w:hint="eastAsia" w:ascii="仿宋" w:hAnsi="仿宋" w:eastAsia="仿宋" w:cs="仿宋"/>
          <w:color w:val="auto"/>
          <w:sz w:val="32"/>
        </w:rPr>
        <w:t>986.57</w:t>
      </w:r>
      <w:r>
        <w:rPr>
          <w:rFonts w:ascii="仿宋" w:hAnsi="仿宋" w:eastAsia="仿宋" w:cs="仿宋"/>
          <w:color w:val="auto"/>
          <w:sz w:val="32"/>
        </w:rPr>
        <w:t>万元，</w:t>
      </w:r>
      <w:r>
        <w:rPr>
          <w:rFonts w:ascii="仿宋_GB2312" w:hAnsi="微软雅黑" w:eastAsia="仿宋_GB2312" w:cs="仿宋_GB2312"/>
          <w:color w:val="auto"/>
          <w:sz w:val="31"/>
          <w:szCs w:val="31"/>
          <w:shd w:val="clear" w:color="auto" w:fill="FFFFFF"/>
        </w:rPr>
        <w:t>完成年初预算的</w:t>
      </w:r>
      <w:r>
        <w:rPr>
          <w:rFonts w:hint="eastAsia" w:ascii="仿宋" w:hAnsi="仿宋" w:eastAsia="仿宋" w:cs="仿宋"/>
          <w:color w:val="auto"/>
          <w:sz w:val="32"/>
          <w:szCs w:val="32"/>
          <w:lang w:val="en-US" w:eastAsia="zh-CN"/>
        </w:rPr>
        <w:t>106.62</w:t>
      </w:r>
      <w:r>
        <w:rPr>
          <w:rFonts w:hint="eastAsia" w:ascii="仿宋" w:hAnsi="仿宋" w:eastAsia="仿宋" w:cs="仿宋"/>
          <w:color w:val="auto"/>
          <w:sz w:val="32"/>
          <w:szCs w:val="32"/>
        </w:rPr>
        <w:t>%</w:t>
      </w:r>
      <w:r>
        <w:rPr>
          <w:rFonts w:ascii="仿宋_GB2312" w:hAnsi="微软雅黑" w:eastAsia="仿宋_GB2312" w:cs="仿宋_GB2312"/>
          <w:color w:val="auto"/>
          <w:sz w:val="31"/>
          <w:szCs w:val="31"/>
          <w:shd w:val="clear" w:color="auto" w:fill="FFFFFF"/>
        </w:rPr>
        <w:t>，</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人员增加。</w:t>
      </w:r>
    </w:p>
    <w:p>
      <w:pPr>
        <w:jc w:val="left"/>
        <w:rPr>
          <w:rFonts w:ascii="仿宋" w:hAnsi="仿宋" w:eastAsia="仿宋" w:cs="仿宋"/>
          <w:color w:val="auto"/>
          <w:sz w:val="32"/>
          <w:szCs w:val="32"/>
        </w:rPr>
      </w:pPr>
      <w:r>
        <w:rPr>
          <w:rFonts w:hint="eastAsia" w:ascii="仿宋" w:hAnsi="仿宋" w:eastAsia="仿宋"/>
          <w:color w:val="auto"/>
          <w:sz w:val="32"/>
          <w:szCs w:val="32"/>
        </w:rPr>
        <w:t>支出具体情况如下</w:t>
      </w:r>
      <w:r>
        <w:rPr>
          <w:rFonts w:hint="eastAsia" w:ascii="仿宋" w:hAnsi="仿宋" w:eastAsia="仿宋" w:cs="仿宋"/>
          <w:color w:val="auto"/>
          <w:sz w:val="32"/>
          <w:szCs w:val="32"/>
        </w:rPr>
        <w:t>：30101基本工资486.78万元，30102津贴补贴27.43万元，30103奖金0万元，30106伙食补助费20.5万元，30107绩效工资214.68万元，30108机关事业单位基本养老保险缴费107.29万元，30110职工基本医疗保险缴费46.48万元，30111公务员医疗补助缴费0万元，30112其他社会保障缴费3.18万元，30113住房公积金80.23万元，30199其他工资福利支出0万元。</w:t>
      </w:r>
    </w:p>
    <w:p>
      <w:pPr>
        <w:numPr>
          <w:ilvl w:val="0"/>
          <w:numId w:val="2"/>
        </w:numPr>
        <w:jc w:val="left"/>
        <w:rPr>
          <w:rFonts w:ascii="仿宋" w:hAnsi="仿宋" w:eastAsia="仿宋" w:cs="仿宋"/>
          <w:color w:val="auto"/>
          <w:sz w:val="32"/>
          <w:szCs w:val="32"/>
        </w:rPr>
      </w:pPr>
      <w:r>
        <w:rPr>
          <w:rFonts w:hint="eastAsia" w:ascii="仿宋" w:hAnsi="仿宋" w:eastAsia="仿宋" w:cs="仿宋"/>
          <w:color w:val="auto"/>
          <w:sz w:val="32"/>
          <w:szCs w:val="32"/>
        </w:rPr>
        <w:t>商品和服务支出</w:t>
      </w:r>
      <w:r>
        <w:rPr>
          <w:rFonts w:hint="eastAsia" w:ascii="仿宋" w:hAnsi="仿宋" w:eastAsia="仿宋" w:cs="仿宋"/>
          <w:color w:val="auto"/>
          <w:sz w:val="32"/>
        </w:rPr>
        <w:t>0</w:t>
      </w:r>
      <w:r>
        <w:rPr>
          <w:rFonts w:ascii="仿宋" w:hAnsi="仿宋" w:eastAsia="仿宋" w:cs="仿宋"/>
          <w:color w:val="auto"/>
          <w:sz w:val="32"/>
        </w:rPr>
        <w:t>万元，</w:t>
      </w:r>
      <w:r>
        <w:rPr>
          <w:rFonts w:ascii="仿宋_GB2312" w:hAnsi="微软雅黑" w:eastAsia="仿宋_GB2312" w:cs="仿宋_GB2312"/>
          <w:color w:val="auto"/>
          <w:sz w:val="31"/>
          <w:szCs w:val="31"/>
          <w:shd w:val="clear" w:color="auto" w:fill="FFFFFF"/>
        </w:rPr>
        <w:t>完成年初预算的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numPr>
          <w:ilvl w:val="0"/>
          <w:numId w:val="2"/>
        </w:numPr>
        <w:jc w:val="left"/>
        <w:rPr>
          <w:rFonts w:hint="default" w:ascii="仿宋" w:hAnsi="仿宋" w:eastAsia="仿宋" w:cs="仿宋"/>
          <w:color w:val="auto"/>
          <w:sz w:val="32"/>
          <w:szCs w:val="32"/>
          <w:lang w:val="en-US"/>
        </w:rPr>
      </w:pPr>
      <w:r>
        <w:rPr>
          <w:rFonts w:hint="eastAsia" w:ascii="仿宋" w:hAnsi="仿宋" w:eastAsia="仿宋" w:cs="仿宋"/>
          <w:color w:val="auto"/>
          <w:sz w:val="32"/>
          <w:szCs w:val="32"/>
        </w:rPr>
        <w:t>对个人和家庭的补助</w:t>
      </w:r>
      <w:r>
        <w:rPr>
          <w:rFonts w:hint="eastAsia" w:ascii="仿宋" w:hAnsi="仿宋" w:eastAsia="仿宋" w:cs="仿宋"/>
          <w:color w:val="auto"/>
          <w:sz w:val="32"/>
        </w:rPr>
        <w:t>68.87</w:t>
      </w:r>
      <w:r>
        <w:rPr>
          <w:rFonts w:ascii="仿宋" w:hAnsi="仿宋" w:eastAsia="仿宋" w:cs="仿宋"/>
          <w:color w:val="auto"/>
          <w:sz w:val="32"/>
        </w:rPr>
        <w:t>万元，</w:t>
      </w:r>
      <w:r>
        <w:rPr>
          <w:rFonts w:ascii="仿宋_GB2312" w:hAnsi="微软雅黑" w:eastAsia="仿宋_GB2312" w:cs="仿宋_GB2312"/>
          <w:color w:val="auto"/>
          <w:sz w:val="31"/>
          <w:szCs w:val="31"/>
          <w:shd w:val="clear" w:color="auto" w:fill="FFFFFF"/>
        </w:rPr>
        <w:t>完成年初预算的</w:t>
      </w:r>
      <w:r>
        <w:rPr>
          <w:rFonts w:hint="eastAsia" w:ascii="仿宋" w:hAnsi="仿宋" w:eastAsia="仿宋" w:cs="仿宋"/>
          <w:color w:val="auto"/>
          <w:sz w:val="32"/>
          <w:szCs w:val="32"/>
          <w:lang w:val="en-US" w:eastAsia="zh-CN"/>
        </w:rPr>
        <w:t>134.04</w:t>
      </w:r>
      <w:r>
        <w:rPr>
          <w:rFonts w:hint="eastAsia" w:ascii="仿宋" w:hAnsi="仿宋" w:eastAsia="仿宋" w:cs="仿宋"/>
          <w:color w:val="auto"/>
          <w:sz w:val="32"/>
          <w:szCs w:val="32"/>
        </w:rPr>
        <w:t>%</w:t>
      </w:r>
      <w:r>
        <w:rPr>
          <w:rFonts w:ascii="仿宋_GB2312" w:hAnsi="微软雅黑" w:eastAsia="仿宋_GB2312" w:cs="仿宋_GB2312"/>
          <w:color w:val="auto"/>
          <w:sz w:val="31"/>
          <w:szCs w:val="31"/>
          <w:shd w:val="clear" w:color="auto" w:fill="FFFFFF"/>
        </w:rPr>
        <w:t>，</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增加抚恤金16.34万元。</w:t>
      </w:r>
    </w:p>
    <w:p>
      <w:pPr>
        <w:jc w:val="left"/>
        <w:rPr>
          <w:rFonts w:ascii="仿宋" w:hAnsi="仿宋" w:eastAsia="仿宋" w:cs="仿宋"/>
          <w:color w:val="auto"/>
          <w:sz w:val="32"/>
          <w:szCs w:val="32"/>
        </w:rPr>
      </w:pPr>
      <w:r>
        <w:rPr>
          <w:rFonts w:hint="eastAsia" w:ascii="仿宋" w:hAnsi="仿宋" w:eastAsia="仿宋"/>
          <w:color w:val="auto"/>
          <w:sz w:val="32"/>
          <w:szCs w:val="32"/>
        </w:rPr>
        <w:t>支出具体情况如下</w:t>
      </w:r>
      <w:r>
        <w:rPr>
          <w:rFonts w:hint="eastAsia" w:ascii="仿宋" w:hAnsi="仿宋" w:eastAsia="仿宋" w:cs="仿宋"/>
          <w:color w:val="auto"/>
          <w:sz w:val="32"/>
          <w:szCs w:val="32"/>
        </w:rPr>
        <w:t>：30301离休费0万元，30302退休费0万元，30304抚恤金16.34万元，30305生活补助52.52万元。</w:t>
      </w:r>
    </w:p>
    <w:p>
      <w:pPr>
        <w:jc w:val="left"/>
        <w:rPr>
          <w:rFonts w:ascii="黑体" w:hAnsi="黑体" w:eastAsia="黑体" w:cs="黑体"/>
          <w:color w:val="auto"/>
          <w:sz w:val="32"/>
          <w:szCs w:val="32"/>
        </w:rPr>
      </w:pPr>
      <w:r>
        <w:rPr>
          <w:rFonts w:hint="eastAsia" w:ascii="黑体" w:hAnsi="黑体" w:eastAsia="黑体" w:cs="黑体"/>
          <w:color w:val="auto"/>
          <w:sz w:val="32"/>
          <w:szCs w:val="32"/>
        </w:rPr>
        <w:t>四、2022年度政府性基金支出决算情况</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环江县毛南族自治县人民医院</w:t>
      </w:r>
      <w:r>
        <w:rPr>
          <w:rFonts w:ascii="仿宋_GB2312" w:hAnsi="仿宋_GB2312" w:eastAsia="仿宋_GB2312" w:cs="仿宋_GB2312"/>
          <w:color w:val="auto"/>
          <w:sz w:val="32"/>
        </w:rPr>
        <w:t>没有政府性基金收入，也没有政府性基金收入安排的支</w:t>
      </w:r>
      <w:r>
        <w:rPr>
          <w:rFonts w:hint="eastAsia" w:ascii="仿宋_GB2312" w:hAnsi="Times New Roman" w:eastAsia="仿宋_GB2312" w:cs="Times New Roman"/>
          <w:color w:val="auto"/>
          <w:sz w:val="32"/>
          <w:szCs w:val="32"/>
        </w:rPr>
        <w:t>。。</w:t>
      </w:r>
    </w:p>
    <w:p>
      <w:pPr>
        <w:jc w:val="left"/>
        <w:rPr>
          <w:rFonts w:ascii="仿宋" w:hAnsi="仿宋" w:eastAsia="仿宋" w:cs="仿宋"/>
          <w:color w:val="auto"/>
          <w:sz w:val="32"/>
          <w:szCs w:val="32"/>
        </w:rPr>
      </w:pPr>
      <w:r>
        <w:rPr>
          <w:rFonts w:hint="eastAsia" w:ascii="黑体" w:hAnsi="黑体" w:eastAsia="黑体" w:cs="黑体"/>
          <w:color w:val="auto"/>
          <w:sz w:val="32"/>
          <w:szCs w:val="32"/>
        </w:rPr>
        <w:t>五、2022年度国有资本经营预算支出决算情况</w:t>
      </w:r>
    </w:p>
    <w:p>
      <w:pPr>
        <w:ind w:firstLine="640" w:firstLineChars="200"/>
        <w:jc w:val="left"/>
        <w:rPr>
          <w:rFonts w:ascii="仿宋" w:hAnsi="仿宋" w:eastAsia="仿宋" w:cs="仿宋"/>
          <w:color w:val="auto"/>
          <w:sz w:val="32"/>
          <w:szCs w:val="32"/>
        </w:rPr>
      </w:pPr>
      <w:bookmarkStart w:id="2" w:name="PO_part3A5B1C1DiffReason1"/>
      <w:r>
        <w:rPr>
          <w:rFonts w:hint="eastAsia" w:ascii="仿宋" w:hAnsi="仿宋" w:eastAsia="仿宋" w:cs="仿宋"/>
          <w:color w:val="auto"/>
          <w:sz w:val="32"/>
          <w:szCs w:val="32"/>
        </w:rPr>
        <w:t>环江县毛南族自治县人民医院</w:t>
      </w:r>
      <w:r>
        <w:rPr>
          <w:rFonts w:ascii="仿宋_GB2312" w:hAnsi="仿宋_GB2312" w:eastAsia="仿宋_GB2312" w:cs="仿宋_GB2312"/>
          <w:color w:val="auto"/>
          <w:sz w:val="32"/>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2"/>
      <w:r>
        <w:rPr>
          <w:rFonts w:hint="eastAsia" w:ascii="仿宋_GB2312" w:hAnsi="Times New Roman" w:eastAsia="仿宋_GB2312" w:cs="Times New Roman"/>
          <w:color w:val="auto"/>
          <w:sz w:val="32"/>
          <w:szCs w:val="32"/>
        </w:rPr>
        <w:t>。</w:t>
      </w:r>
    </w:p>
    <w:p>
      <w:pPr>
        <w:jc w:val="left"/>
        <w:rPr>
          <w:rFonts w:ascii="仿宋" w:hAnsi="仿宋" w:eastAsia="仿宋" w:cs="仿宋"/>
          <w:color w:val="auto"/>
          <w:sz w:val="32"/>
          <w:szCs w:val="32"/>
        </w:rPr>
      </w:pPr>
      <w:r>
        <w:rPr>
          <w:rFonts w:hint="eastAsia" w:ascii="黑体" w:hAnsi="黑体" w:eastAsia="黑体" w:cs="黑体"/>
          <w:color w:val="auto"/>
          <w:sz w:val="32"/>
          <w:szCs w:val="32"/>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2022年度一般公共预算财政拨款安排的“三公”经费支出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主要原因是：本部门没有</w:t>
      </w:r>
      <w:r>
        <w:rPr>
          <w:rFonts w:hint="eastAsia" w:ascii="仿宋" w:hAnsi="仿宋" w:eastAsia="仿宋" w:cs="仿宋"/>
          <w:color w:val="auto"/>
          <w:sz w:val="32"/>
          <w:szCs w:val="32"/>
        </w:rPr>
        <w:t>一般公共预算财政拨款安排的“三公”经费支出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numPr>
          <w:ilvl w:val="0"/>
          <w:numId w:val="3"/>
        </w:num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本部门无</w:t>
      </w:r>
      <w:r>
        <w:rPr>
          <w:rFonts w:hint="eastAsia" w:ascii="仿宋" w:hAnsi="仿宋" w:eastAsia="仿宋" w:cs="仿宋"/>
          <w:color w:val="auto"/>
          <w:sz w:val="32"/>
          <w:szCs w:val="32"/>
          <w:lang w:val="en-US" w:eastAsia="zh-CN"/>
        </w:rPr>
        <w:t>开支财政拨款安排的</w:t>
      </w:r>
      <w:r>
        <w:rPr>
          <w:rFonts w:hint="eastAsia" w:ascii="仿宋" w:hAnsi="仿宋" w:eastAsia="仿宋" w:cs="仿宋"/>
          <w:color w:val="auto"/>
          <w:sz w:val="32"/>
          <w:szCs w:val="32"/>
          <w:highlight w:val="none"/>
        </w:rPr>
        <w:t>因公出国（境）</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主要原因是本部门无公务用车购置。</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rPr>
        <w:t>本部门无公务用车</w:t>
      </w:r>
      <w:r>
        <w:rPr>
          <w:rFonts w:hint="eastAsia" w:ascii="仿宋" w:hAnsi="仿宋" w:eastAsia="仿宋" w:cs="仿宋"/>
          <w:color w:val="auto"/>
          <w:sz w:val="32"/>
          <w:szCs w:val="32"/>
          <w:highlight w:val="none"/>
        </w:rPr>
        <w:t>运行维护费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环江毛南族自治县人民医院</w:t>
      </w:r>
      <w:r>
        <w:rPr>
          <w:rFonts w:hint="eastAsia" w:ascii="仿宋" w:hAnsi="仿宋" w:eastAsia="仿宋" w:cs="仿宋"/>
          <w:color w:val="auto"/>
          <w:sz w:val="32"/>
          <w:szCs w:val="32"/>
          <w:highlight w:val="none"/>
        </w:rPr>
        <w:t>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主要原因是：本部门无</w:t>
      </w:r>
      <w:r>
        <w:rPr>
          <w:rFonts w:hint="eastAsia" w:ascii="仿宋" w:hAnsi="仿宋" w:eastAsia="仿宋" w:cs="仿宋"/>
          <w:color w:val="auto"/>
          <w:sz w:val="32"/>
          <w:szCs w:val="32"/>
          <w:lang w:val="en-US" w:eastAsia="zh-CN"/>
        </w:rPr>
        <w:t>开支财政补款安排的公务接待费</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szCs w:val="32"/>
          <w:highlight w:val="none"/>
        </w:rPr>
        <w:t>国内公务接待批次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次，人次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auto"/>
          <w:sz w:val="32"/>
          <w:szCs w:val="32"/>
          <w:highlight w:val="none"/>
        </w:rPr>
      </w:pPr>
      <w:r>
        <w:rPr>
          <w:rFonts w:hint="default" w:ascii="Times New Roman" w:hAnsi="Times New Roman" w:eastAsia="仿宋_GB2312" w:cs="Times New Roman"/>
          <w:b w:val="0"/>
          <w:bCs w:val="0"/>
          <w:color w:val="auto"/>
          <w:kern w:val="0"/>
          <w:sz w:val="32"/>
          <w:szCs w:val="32"/>
          <w:highlight w:val="none"/>
        </w:rPr>
        <w:t>本部门无机关运行经费支出。</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ascii="仿宋" w:hAnsi="仿宋" w:eastAsia="仿宋" w:cs="仿宋"/>
          <w:color w:val="auto"/>
          <w:sz w:val="32"/>
          <w:szCs w:val="32"/>
          <w:highlight w:val="none"/>
        </w:rPr>
      </w:pPr>
      <w:r>
        <w:rPr>
          <w:rFonts w:hint="default" w:ascii="Times New Roman" w:hAnsi="Times New Roman" w:eastAsia="仿宋_GB2312" w:cs="Times New Roman"/>
          <w:b w:val="0"/>
          <w:bCs w:val="0"/>
          <w:i w:val="0"/>
          <w:iCs w:val="0"/>
          <w:color w:val="auto"/>
          <w:kern w:val="0"/>
          <w:sz w:val="32"/>
          <w:szCs w:val="32"/>
          <w:highlight w:val="none"/>
        </w:rPr>
        <w:t>本部门无政府采购支出。</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根据财政预算管理要求，本部门组织对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度一般公共预算项目支出全面开展绩效自评。其中，一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个，共涉及资金</w:t>
      </w:r>
      <w:r>
        <w:rPr>
          <w:rFonts w:hint="eastAsia" w:ascii="仿宋" w:hAnsi="仿宋" w:eastAsia="仿宋" w:cs="仿宋"/>
          <w:color w:val="auto"/>
          <w:sz w:val="32"/>
          <w:szCs w:val="32"/>
          <w:lang w:val="en-US" w:eastAsia="zh-CN"/>
        </w:rPr>
        <w:t>332.11</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17.41</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个政府性基金预算项目支出开展绩效自评，共涉及资金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万元，占政府性基金预算项目支出总额的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个国有资本经营预算项目支出开展绩效自评，共涉及资金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万元，占国有资本经营预算项目支出总额的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val="en-US" w:eastAsia="zh-CN"/>
        </w:rPr>
        <w:t>药品零差率县级补助</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个项目进行了部门评价，涉及一般公共预算支出</w:t>
      </w:r>
      <w:r>
        <w:rPr>
          <w:rFonts w:hint="eastAsia" w:ascii="仿宋" w:hAnsi="仿宋" w:eastAsia="仿宋" w:cs="仿宋"/>
          <w:color w:val="auto"/>
          <w:sz w:val="32"/>
          <w:szCs w:val="32"/>
          <w:lang w:val="en-US" w:eastAsia="zh-CN"/>
        </w:rPr>
        <w:t>332.11</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万元，国有资本经营预算支出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val="en-US" w:eastAsia="zh-CN"/>
        </w:rPr>
        <w:t>开展绩效自评的项目都能按时按进度完成工作任务，保障了医院运行状况良好，服务质量进一步提升。</w:t>
      </w:r>
    </w:p>
    <w:p>
      <w:p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个部门开展整体支出绩效评价试点，涉及一般公共预算支出</w:t>
      </w:r>
      <w:r>
        <w:rPr>
          <w:rFonts w:hint="eastAsia" w:ascii="仿宋" w:hAnsi="仿宋" w:eastAsia="仿宋" w:cs="仿宋"/>
          <w:color w:val="auto"/>
          <w:sz w:val="32"/>
          <w:szCs w:val="32"/>
          <w:lang w:val="en-US" w:eastAsia="zh-CN"/>
        </w:rPr>
        <w:t>332.11</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val="en-US" w:eastAsia="zh-CN"/>
        </w:rPr>
        <w:t>开展绩效自评的项目都能按时按进度完成工作任务，保障了医院运行状况良好，服务质量进一步提升。</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w:t>
      </w:r>
    </w:p>
    <w:p>
      <w:pPr>
        <w:ind w:firstLine="640" w:firstLineChars="200"/>
        <w:jc w:val="left"/>
        <w:rPr>
          <w:rFonts w:hint="eastAsia" w:ascii="仿宋" w:hAnsi="仿宋" w:eastAsia="仿宋" w:cs="仿宋"/>
          <w:color w:val="auto"/>
          <w:sz w:val="32"/>
          <w:szCs w:val="32"/>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color w:val="auto"/>
          <w:sz w:val="32"/>
          <w:szCs w:val="32"/>
        </w:rPr>
        <w:t>我部门根据年初设定的绩效目标，药品零差率县级补助项目自评得分为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一次性抚恤金项目自评得分为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核酸检测及疫情常态化防控项目自评得分为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自治区财政补助市县医药卫生人才队伍建设专项资金项目自评得分为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免费预防性体检项目自评得分为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自治区补助市县公立医院取消药品加成补偿项目自评得分为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新冠病毒疫苗接种点耗材经费项目自评得分为</w:t>
      </w:r>
      <w:r>
        <w:rPr>
          <w:rFonts w:hint="eastAsia" w:ascii="仿宋" w:hAnsi="仿宋" w:eastAsia="仿宋" w:cs="仿宋"/>
          <w:color w:val="auto"/>
          <w:sz w:val="32"/>
          <w:szCs w:val="32"/>
          <w:lang w:val="en-US" w:eastAsia="zh-CN"/>
        </w:rPr>
        <w:t>100。</w:t>
      </w:r>
    </w:p>
    <w:p>
      <w:pPr>
        <w:jc w:val="left"/>
        <w:rPr>
          <w:rFonts w:hint="eastAsia" w:ascii="仿宋" w:hAnsi="仿宋" w:eastAsia="仿宋" w:cs="仿宋"/>
          <w:color w:val="auto"/>
          <w:sz w:val="32"/>
          <w:szCs w:val="32"/>
          <w:lang w:eastAsia="zh-CN"/>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hint="eastAsia" w:ascii="仿宋" w:hAnsi="仿宋" w:eastAsia="仿宋" w:cs="仿宋"/>
          <w:color w:val="auto"/>
          <w:sz w:val="32"/>
          <w:u w:color="auto"/>
          <w:lang w:val="en-US" w:eastAsia="zh-CN"/>
        </w:rPr>
        <w:t>环江县</w:t>
      </w:r>
      <w:r>
        <w:rPr>
          <w:rFonts w:ascii="仿宋" w:hAnsi="仿宋" w:eastAsia="仿宋" w:cs="仿宋"/>
          <w:color w:val="auto"/>
          <w:sz w:val="32"/>
          <w:u w:color="auto"/>
        </w:rPr>
        <w:t>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六、年初结转和结余：指以前年度尚未完成、结转到本年 按有关规定继续使用的资金</w:t>
      </w:r>
      <w:r>
        <w:rPr>
          <w:rFonts w:hint="eastAsia" w:ascii="仿宋" w:hAnsi="仿宋" w:eastAsia="仿宋" w:cs="仿宋"/>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十二、“三公”经费：纳入</w:t>
      </w:r>
      <w:r>
        <w:rPr>
          <w:rFonts w:hint="eastAsia" w:ascii="仿宋" w:hAnsi="仿宋" w:eastAsia="仿宋" w:cs="仿宋"/>
          <w:color w:val="auto"/>
          <w:sz w:val="32"/>
          <w:u w:color="auto"/>
          <w:lang w:val="en-US" w:eastAsia="zh-CN"/>
        </w:rPr>
        <w:t>环江县</w:t>
      </w:r>
      <w:r>
        <w:rPr>
          <w:rFonts w:ascii="仿宋" w:hAnsi="仿宋" w:eastAsia="仿宋" w:cs="仿宋"/>
          <w:color w:val="auto"/>
          <w:sz w:val="32"/>
          <w:u w:color="auto"/>
        </w:rPr>
        <w:t>财政预决算管理的“三公”经费，是指</w:t>
      </w:r>
      <w:r>
        <w:rPr>
          <w:rFonts w:hint="eastAsia" w:ascii="仿宋" w:hAnsi="仿宋" w:eastAsia="仿宋" w:cs="仿宋"/>
          <w:color w:val="auto"/>
          <w:sz w:val="32"/>
          <w:u w:color="auto"/>
          <w:lang w:val="en-US" w:eastAsia="zh-CN"/>
        </w:rPr>
        <w:t>环江县</w:t>
      </w:r>
      <w:r>
        <w:rPr>
          <w:rFonts w:ascii="仿宋" w:hAnsi="仿宋" w:eastAsia="仿宋" w:cs="仿宋"/>
          <w:color w:val="auto"/>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仿宋"/>
          <w:color w:val="auto"/>
          <w:sz w:val="32"/>
          <w:szCs w:val="32"/>
        </w:rPr>
      </w:pPr>
    </w:p>
    <w:sectPr>
      <w:pgSz w:w="16838" w:h="11906" w:orient="landscape"/>
      <w:pgMar w:top="1800" w:right="1440" w:bottom="1800" w:left="144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7FAB5174"/>
    <w:multiLevelType w:val="singleLevel"/>
    <w:tmpl w:val="7FAB517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E0YzE1MDY2NzJhOGI3MTI2ZTU2Y2ZjZGU5NTU5NzgifQ=="/>
  </w:docVars>
  <w:rsids>
    <w:rsidRoot w:val="637D7558"/>
    <w:rsid w:val="00002C84"/>
    <w:rsid w:val="00022149"/>
    <w:rsid w:val="00047F6C"/>
    <w:rsid w:val="00093C26"/>
    <w:rsid w:val="00094B91"/>
    <w:rsid w:val="000B06D8"/>
    <w:rsid w:val="000E5855"/>
    <w:rsid w:val="001418A5"/>
    <w:rsid w:val="00147D40"/>
    <w:rsid w:val="00156E3F"/>
    <w:rsid w:val="00156EF2"/>
    <w:rsid w:val="001D7B97"/>
    <w:rsid w:val="00210E20"/>
    <w:rsid w:val="00223F38"/>
    <w:rsid w:val="00233613"/>
    <w:rsid w:val="00254DBE"/>
    <w:rsid w:val="00265874"/>
    <w:rsid w:val="00275CAB"/>
    <w:rsid w:val="00280A50"/>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73254"/>
    <w:rsid w:val="008F1B95"/>
    <w:rsid w:val="008F4AE2"/>
    <w:rsid w:val="008F6882"/>
    <w:rsid w:val="00934C72"/>
    <w:rsid w:val="00946CCF"/>
    <w:rsid w:val="0097721B"/>
    <w:rsid w:val="009831F8"/>
    <w:rsid w:val="009B3E00"/>
    <w:rsid w:val="009D1667"/>
    <w:rsid w:val="00A07CCE"/>
    <w:rsid w:val="00A15AF5"/>
    <w:rsid w:val="00A27624"/>
    <w:rsid w:val="00A358E6"/>
    <w:rsid w:val="00AA78EE"/>
    <w:rsid w:val="00AB53E1"/>
    <w:rsid w:val="00AE5F66"/>
    <w:rsid w:val="00B07A0B"/>
    <w:rsid w:val="00B22F28"/>
    <w:rsid w:val="00B37453"/>
    <w:rsid w:val="00B45479"/>
    <w:rsid w:val="00B60171"/>
    <w:rsid w:val="00B66591"/>
    <w:rsid w:val="00B837AC"/>
    <w:rsid w:val="00BB4FB8"/>
    <w:rsid w:val="00BD315D"/>
    <w:rsid w:val="00C3279E"/>
    <w:rsid w:val="00C34857"/>
    <w:rsid w:val="00CA2E26"/>
    <w:rsid w:val="00D00918"/>
    <w:rsid w:val="00D14326"/>
    <w:rsid w:val="00D772CC"/>
    <w:rsid w:val="00D84F30"/>
    <w:rsid w:val="00D878A6"/>
    <w:rsid w:val="00DE74BD"/>
    <w:rsid w:val="00DE7D07"/>
    <w:rsid w:val="00E11BD2"/>
    <w:rsid w:val="00E15E41"/>
    <w:rsid w:val="00EB7822"/>
    <w:rsid w:val="00EC50A9"/>
    <w:rsid w:val="00ED04DB"/>
    <w:rsid w:val="00EE2354"/>
    <w:rsid w:val="00F21455"/>
    <w:rsid w:val="00F5354B"/>
    <w:rsid w:val="00F95135"/>
    <w:rsid w:val="00F9658C"/>
    <w:rsid w:val="00F978FD"/>
    <w:rsid w:val="00FA738E"/>
    <w:rsid w:val="00FC438B"/>
    <w:rsid w:val="01234E98"/>
    <w:rsid w:val="015F1951"/>
    <w:rsid w:val="020C171D"/>
    <w:rsid w:val="0216715F"/>
    <w:rsid w:val="02E0291A"/>
    <w:rsid w:val="0423794B"/>
    <w:rsid w:val="04E54546"/>
    <w:rsid w:val="05992762"/>
    <w:rsid w:val="05FB5D17"/>
    <w:rsid w:val="07B0770E"/>
    <w:rsid w:val="0942143F"/>
    <w:rsid w:val="0B7E024F"/>
    <w:rsid w:val="0D100297"/>
    <w:rsid w:val="0D202B45"/>
    <w:rsid w:val="0F8D4C87"/>
    <w:rsid w:val="10505FAA"/>
    <w:rsid w:val="105F7E7E"/>
    <w:rsid w:val="1060779A"/>
    <w:rsid w:val="11E56B5B"/>
    <w:rsid w:val="125C77AB"/>
    <w:rsid w:val="14CB726E"/>
    <w:rsid w:val="163631F2"/>
    <w:rsid w:val="170E4165"/>
    <w:rsid w:val="17E92249"/>
    <w:rsid w:val="18D304F1"/>
    <w:rsid w:val="19F32577"/>
    <w:rsid w:val="19F45B80"/>
    <w:rsid w:val="1B0C078D"/>
    <w:rsid w:val="1B0E75F9"/>
    <w:rsid w:val="1B2B31E2"/>
    <w:rsid w:val="1B4C295A"/>
    <w:rsid w:val="1B6C15DA"/>
    <w:rsid w:val="1B973C63"/>
    <w:rsid w:val="1BA1001E"/>
    <w:rsid w:val="1BC85169"/>
    <w:rsid w:val="1D317259"/>
    <w:rsid w:val="1D6334B4"/>
    <w:rsid w:val="1E067117"/>
    <w:rsid w:val="1E664F5B"/>
    <w:rsid w:val="1EB34BE1"/>
    <w:rsid w:val="215E639F"/>
    <w:rsid w:val="21EC3183"/>
    <w:rsid w:val="225E72CD"/>
    <w:rsid w:val="23307F71"/>
    <w:rsid w:val="246E2F77"/>
    <w:rsid w:val="254B4E2B"/>
    <w:rsid w:val="27DC645D"/>
    <w:rsid w:val="283D7C94"/>
    <w:rsid w:val="29480E03"/>
    <w:rsid w:val="2983634D"/>
    <w:rsid w:val="2BB02055"/>
    <w:rsid w:val="2C575A56"/>
    <w:rsid w:val="2C695F59"/>
    <w:rsid w:val="2F257714"/>
    <w:rsid w:val="2F3275E5"/>
    <w:rsid w:val="30AA08EF"/>
    <w:rsid w:val="30D23D1C"/>
    <w:rsid w:val="31221CF5"/>
    <w:rsid w:val="31400178"/>
    <w:rsid w:val="321E3342"/>
    <w:rsid w:val="327759C8"/>
    <w:rsid w:val="33185FE3"/>
    <w:rsid w:val="34DF6659"/>
    <w:rsid w:val="34EE2E36"/>
    <w:rsid w:val="36777241"/>
    <w:rsid w:val="38A951DB"/>
    <w:rsid w:val="38B31605"/>
    <w:rsid w:val="39003F4F"/>
    <w:rsid w:val="3BC812AC"/>
    <w:rsid w:val="3C07002B"/>
    <w:rsid w:val="3C88242C"/>
    <w:rsid w:val="3D0D152A"/>
    <w:rsid w:val="3DF62756"/>
    <w:rsid w:val="3F1B7587"/>
    <w:rsid w:val="407C3A95"/>
    <w:rsid w:val="41E57B4F"/>
    <w:rsid w:val="432F26F6"/>
    <w:rsid w:val="43880F63"/>
    <w:rsid w:val="441C5A6F"/>
    <w:rsid w:val="44C44FCC"/>
    <w:rsid w:val="44CC7369"/>
    <w:rsid w:val="450B3BFA"/>
    <w:rsid w:val="45635A6C"/>
    <w:rsid w:val="457F5108"/>
    <w:rsid w:val="464936ED"/>
    <w:rsid w:val="46951B6B"/>
    <w:rsid w:val="49A34401"/>
    <w:rsid w:val="4A3E30AB"/>
    <w:rsid w:val="4AC14DAC"/>
    <w:rsid w:val="4D154C85"/>
    <w:rsid w:val="4EC8553A"/>
    <w:rsid w:val="4F6B2B6B"/>
    <w:rsid w:val="501F67AB"/>
    <w:rsid w:val="508F4E24"/>
    <w:rsid w:val="51461E90"/>
    <w:rsid w:val="51463753"/>
    <w:rsid w:val="52553A93"/>
    <w:rsid w:val="53521F8B"/>
    <w:rsid w:val="53E22F47"/>
    <w:rsid w:val="54522FF8"/>
    <w:rsid w:val="55450629"/>
    <w:rsid w:val="55AC6477"/>
    <w:rsid w:val="56692963"/>
    <w:rsid w:val="568B0F48"/>
    <w:rsid w:val="5786217B"/>
    <w:rsid w:val="59337A15"/>
    <w:rsid w:val="59810274"/>
    <w:rsid w:val="5B092532"/>
    <w:rsid w:val="5CA96A00"/>
    <w:rsid w:val="5CF730BC"/>
    <w:rsid w:val="5E5F0DCE"/>
    <w:rsid w:val="5FA40A7B"/>
    <w:rsid w:val="5FD56D29"/>
    <w:rsid w:val="5FEC7F3F"/>
    <w:rsid w:val="60F74BC3"/>
    <w:rsid w:val="617D3BF8"/>
    <w:rsid w:val="61841F6A"/>
    <w:rsid w:val="623007A9"/>
    <w:rsid w:val="637D7558"/>
    <w:rsid w:val="644F19AC"/>
    <w:rsid w:val="65AA4920"/>
    <w:rsid w:val="67694F1E"/>
    <w:rsid w:val="69597934"/>
    <w:rsid w:val="6B964DDC"/>
    <w:rsid w:val="6C783074"/>
    <w:rsid w:val="6D9E65C6"/>
    <w:rsid w:val="6DA81947"/>
    <w:rsid w:val="6EB66DE2"/>
    <w:rsid w:val="6ED3075F"/>
    <w:rsid w:val="6F2A2D4B"/>
    <w:rsid w:val="6F8A0C1E"/>
    <w:rsid w:val="6FAF7AC7"/>
    <w:rsid w:val="703F45D4"/>
    <w:rsid w:val="70AA473C"/>
    <w:rsid w:val="715D6546"/>
    <w:rsid w:val="71BE069E"/>
    <w:rsid w:val="737F118B"/>
    <w:rsid w:val="73953409"/>
    <w:rsid w:val="73E069A3"/>
    <w:rsid w:val="74E96E69"/>
    <w:rsid w:val="76A32A01"/>
    <w:rsid w:val="78104AA8"/>
    <w:rsid w:val="78E257C5"/>
    <w:rsid w:val="794B35BE"/>
    <w:rsid w:val="7B0A3A31"/>
    <w:rsid w:val="7B3360ED"/>
    <w:rsid w:val="7B5319F3"/>
    <w:rsid w:val="7B961585"/>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4">
    <w:name w:val="font11"/>
    <w:basedOn w:val="8"/>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7FED-D5A6-4D4F-9DBF-53F5CF9E8D2F}">
  <ds:schemaRefs/>
</ds:datastoreItem>
</file>

<file path=docProps/app.xml><?xml version="1.0" encoding="utf-8"?>
<Properties xmlns="http://schemas.openxmlformats.org/officeDocument/2006/extended-properties" xmlns:vt="http://schemas.openxmlformats.org/officeDocument/2006/docPropsVTypes">
  <Template>Normal</Template>
  <Pages>35</Pages>
  <Words>2379</Words>
  <Characters>13566</Characters>
  <Lines>113</Lines>
  <Paragraphs>31</Paragraphs>
  <TotalTime>11</TotalTime>
  <ScaleCrop>false</ScaleCrop>
  <LinksUpToDate>false</LinksUpToDate>
  <CharactersWithSpaces>15914</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2023-11-27T03:49:01Z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