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环江毛南族自治县东兴镇中心卫生院</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环江毛南族自治县东兴镇中心卫生院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环江毛南族自治县东兴镇中心卫生院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环江毛南族自治县东兴镇中心卫生院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环江毛南族自治县东兴镇中心卫生院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jc w:val="left"/>
        <w:rPr>
          <w:rFonts w:hint="eastAsia" w:ascii="仿宋" w:hAnsi="仿宋" w:eastAsia="仿宋" w:cs="仿宋"/>
          <w:b/>
          <w:bCs/>
          <w:color w:val="auto"/>
          <w:sz w:val="32"/>
          <w:szCs w:val="32"/>
          <w:lang w:val="en-US" w:eastAsia="zh-CN"/>
        </w:rPr>
      </w:pPr>
      <w:r>
        <w:rPr>
          <w:rFonts w:hint="eastAsia" w:ascii="仿宋_GB2312" w:hAnsi="仿宋_GB2312" w:eastAsia="仿宋_GB2312" w:cs="Times New Roman"/>
          <w:sz w:val="32"/>
          <w:szCs w:val="32"/>
          <w:lang w:val="en-US" w:eastAsia="zh-CN"/>
        </w:rPr>
        <w:t>环江毛南族自治县东兴镇中心卫生院</w:t>
      </w:r>
      <w:r>
        <w:rPr>
          <w:rFonts w:hint="eastAsia" w:ascii="仿宋_GB2312" w:hAnsi="仿宋_GB2312" w:eastAsia="仿宋_GB2312" w:cs="Times New Roman"/>
          <w:sz w:val="32"/>
          <w:szCs w:val="32"/>
        </w:rPr>
        <w:t>是国家公益一类事业单位，主要承担</w:t>
      </w:r>
      <w:r>
        <w:rPr>
          <w:rFonts w:hint="eastAsia" w:ascii="仿宋_GB2312" w:hAnsi="仿宋_GB2312" w:eastAsia="仿宋_GB2312" w:cs="Times New Roman"/>
          <w:sz w:val="32"/>
          <w:szCs w:val="32"/>
          <w:lang w:val="en-US" w:eastAsia="zh-CN"/>
        </w:rPr>
        <w:t>东兴镇</w:t>
      </w:r>
      <w:r>
        <w:rPr>
          <w:rFonts w:hint="eastAsia" w:ascii="仿宋_GB2312" w:hAnsi="仿宋_GB2312" w:eastAsia="仿宋_GB2312" w:cs="Times New Roman"/>
          <w:sz w:val="32"/>
          <w:szCs w:val="32"/>
        </w:rPr>
        <w:t>辖区范围内人民群众的医疗卫生服务。</w:t>
      </w:r>
      <w:r>
        <w:rPr>
          <w:rFonts w:hint="eastAsia" w:ascii="仿宋" w:hAnsi="仿宋" w:eastAsia="仿宋" w:cs="仿宋"/>
          <w:b/>
          <w:bCs/>
          <w:color w:val="auto"/>
          <w:sz w:val="32"/>
          <w:szCs w:val="32"/>
          <w:lang w:val="en-US" w:eastAsia="zh-CN"/>
        </w:rPr>
        <w:t>（一）提供公共卫生服务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1、承担本镇农村居民健康档案规范建档指导、管理及服务。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2、普及卫生保健常识，在重点人群和重点场所开展健康教育，帮助居民形成有利于维护和增进健康的行为方式；指导开展爱国卫生工作。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3、提供并组织实施本镇预防接种服务，落实国家免疫规划。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4、及时发现、登记并报告本镇内发现的传染病病例和疑似病例，参与现场疫情处理。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5、开展新生儿访视及儿童保健系统管理，进行体格检查和生长发育监测及评价，开展健康指导。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6、开展孕产妇保健系统管理和产后访视，进行一般体格检查及孕.期营养、心理等健康指导。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7、对本乡65岁及以上老年人进行登记管理， 进行健康危险因素调查和一般体格检查，开展健康指导。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8、对高血压、糖尿病等慢性病高危人群进行指导，对确诊高血压、糖尿病等慢性病病例进行登记管理、定期随访和健康指导。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9、对本镇重性精神疾病患者进行登记管理、治疗随访和康复指导.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10、负责本镇内突发公共卫生事件的报告并协助处理。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11、做好卫生行政部门规定的其他公共卫生服务。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（二）提供基本医疗服务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1、使用农村适宜医疗技术和中医药技术， 正确处理常见病、多发病，对疑难重症进行恰当的处理并转诊。承担乡村现场应急救护、转诊服务和康复服务。</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2、能完成外科的止血、缝合、包扎、骨折固定等处置，能开展阑尾、疝气等常见下腹部手术，有条件的中心卫生院还应能开展部分上腹部手术。</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3、健全消毒、隔离制度，遵守无菌操作规程，加强医疗质量管理。做好医疗废物处理和污水、污物无害化处理.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4、执行国家基本药物制度药品集中采购、零差率销售等政策，为实施一体化管理的村卫生室统一代购药品。</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5、提供政府卫生行政部门批准的其他适宜的医疗服务。</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（三）承担公共卫生管理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1、对本乡内传染病防治、学校卫生、食品卫生、饮水卫生、职业卫生，以及村级预防保健工作进行指导、培训、考核与监督。</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2、严格执行新型农村合作医疗政策规定，履行定点医疗机构职责，做好有关的政策宣传、监督及服务工作。</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3、深入推进乡村卫生服务一体化管理，对村卫生室实行以行政、人员、业务、药品、财产为基本内容的“五统一”规范管理；负责村卫生室的技术指导和乡村医生培训等工作。</w:t>
      </w:r>
    </w:p>
    <w:p>
      <w:pPr>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（四）卫生行政管理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1、在当地政府和上级卫生行政部门领导下，依据当地社会经济发展规划，协助制定和实施社区的初级卫生规划。</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2、配合有关部门动员组织群众开展爱国卫生活动，逐步改善本乡卫生状况。</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3、贯彻执行国家各种卫生法规，对本镇内有关行业实行监督管理。</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4、负责本乡内村级卫生服务站的管理和培训工作。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rPr>
          <w:rFonts w:hint="eastAsia" w:ascii="仿宋" w:hAnsi="仿宋" w:eastAsia="仿宋" w:cs="仿宋"/>
          <w:b/>
          <w:bCs/>
          <w:sz w:val="32"/>
          <w:szCs w:val="32"/>
        </w:rPr>
      </w:pPr>
      <w:r>
        <w:rPr>
          <w:rFonts w:hint="eastAsia" w:ascii="仿宋" w:hAnsi="仿宋" w:eastAsia="仿宋" w:cs="仿宋"/>
          <w:b/>
          <w:bCs/>
          <w:sz w:val="32"/>
          <w:szCs w:val="32"/>
        </w:rPr>
        <w:t>（一）机构设置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本单位属于差额拨款公益一类事业单位，</w:t>
      </w:r>
      <w:r>
        <w:rPr>
          <w:rFonts w:hint="eastAsia" w:ascii="仿宋" w:hAnsi="仿宋" w:eastAsia="仿宋" w:cs="仿宋"/>
          <w:color w:val="333333"/>
          <w:sz w:val="32"/>
          <w:szCs w:val="32"/>
          <w:shd w:val="clear" w:color="auto" w:fill="FFFFFF"/>
        </w:rPr>
        <w:t>主要</w:t>
      </w:r>
      <w:r>
        <w:rPr>
          <w:rFonts w:hint="eastAsia" w:ascii="仿宋" w:hAnsi="仿宋" w:eastAsia="仿宋" w:cs="仿宋"/>
          <w:sz w:val="32"/>
          <w:szCs w:val="32"/>
        </w:rPr>
        <w:t>设立</w:t>
      </w:r>
      <w:r>
        <w:rPr>
          <w:rFonts w:hint="eastAsia" w:ascii="仿宋" w:hAnsi="仿宋" w:eastAsia="仿宋" w:cs="仿宋"/>
          <w:color w:val="333333"/>
          <w:sz w:val="32"/>
          <w:szCs w:val="32"/>
          <w:shd w:val="clear" w:color="auto" w:fill="FFFFFF"/>
        </w:rPr>
        <w:t>有：预防保健科、全科医疗科、儿科、儿童保健科、医学检验科、公共卫生科、财务室、药房、医学影像科。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所属单位</w:t>
      </w:r>
      <w:r>
        <w:rPr>
          <w:rFonts w:hint="eastAsia" w:ascii="仿宋" w:hAnsi="仿宋" w:eastAsia="仿宋" w:cs="仿宋"/>
          <w:sz w:val="32"/>
          <w:szCs w:val="32"/>
          <w:lang w:eastAsia="zh-CN"/>
        </w:rPr>
        <w:t>：</w:t>
      </w:r>
      <w:r>
        <w:rPr>
          <w:rFonts w:hint="eastAsia" w:ascii="仿宋" w:hAnsi="仿宋" w:eastAsia="仿宋" w:cs="仿宋"/>
          <w:sz w:val="32"/>
          <w:szCs w:val="32"/>
        </w:rPr>
        <w:t>本单位属于差额拨款公益一类事业单位，属于环江县卫生健康局的二层机构。</w:t>
      </w:r>
    </w:p>
    <w:p>
      <w:pPr>
        <w:numPr>
          <w:ilvl w:val="0"/>
          <w:numId w:val="1"/>
        </w:numPr>
        <w:spacing w:line="560" w:lineRule="exact"/>
        <w:rPr>
          <w:rFonts w:hint="eastAsia" w:ascii="仿宋" w:hAnsi="仿宋" w:eastAsia="仿宋" w:cs="仿宋"/>
          <w:b/>
          <w:bCs/>
          <w:sz w:val="32"/>
          <w:szCs w:val="32"/>
        </w:rPr>
      </w:pPr>
      <w:r>
        <w:rPr>
          <w:rFonts w:hint="eastAsia" w:ascii="仿宋" w:hAnsi="仿宋" w:eastAsia="仿宋" w:cs="仿宋"/>
          <w:b/>
          <w:bCs/>
          <w:sz w:val="32"/>
          <w:szCs w:val="32"/>
        </w:rPr>
        <w:t>部门预算单位构成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本单位主管部门为环江县卫生健康局，为二级预算单位。</w:t>
      </w:r>
    </w:p>
    <w:p>
      <w:pPr>
        <w:numPr>
          <w:ilvl w:val="0"/>
          <w:numId w:val="0"/>
        </w:numPr>
        <w:spacing w:line="560" w:lineRule="exac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编制现状和人员构成</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编制现状</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我单位核定编制人数</w:t>
      </w:r>
      <w:r>
        <w:rPr>
          <w:rFonts w:hint="eastAsia" w:ascii="仿宋" w:hAnsi="仿宋" w:eastAsia="仿宋" w:cs="仿宋"/>
          <w:b w:val="0"/>
          <w:bCs w:val="0"/>
          <w:sz w:val="32"/>
          <w:szCs w:val="32"/>
          <w:lang w:val="en-US" w:eastAsia="zh-CN"/>
        </w:rPr>
        <w:t>45</w:t>
      </w:r>
      <w:r>
        <w:rPr>
          <w:rFonts w:hint="eastAsia" w:ascii="仿宋" w:hAnsi="仿宋" w:eastAsia="仿宋" w:cs="仿宋"/>
          <w:b w:val="0"/>
          <w:bCs w:val="0"/>
          <w:sz w:val="32"/>
          <w:szCs w:val="32"/>
        </w:rPr>
        <w:t>人，其中：管理人员</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人，专业技术人员</w:t>
      </w:r>
      <w:r>
        <w:rPr>
          <w:rFonts w:hint="eastAsia" w:ascii="仿宋" w:hAnsi="仿宋" w:eastAsia="仿宋" w:cs="仿宋"/>
          <w:b w:val="0"/>
          <w:bCs w:val="0"/>
          <w:sz w:val="32"/>
          <w:szCs w:val="32"/>
          <w:lang w:val="en-US" w:eastAsia="zh-CN"/>
        </w:rPr>
        <w:t>42</w:t>
      </w:r>
      <w:r>
        <w:rPr>
          <w:rFonts w:hint="eastAsia" w:ascii="仿宋" w:hAnsi="仿宋" w:eastAsia="仿宋" w:cs="仿宋"/>
          <w:b w:val="0"/>
          <w:bCs w:val="0"/>
          <w:sz w:val="32"/>
          <w:szCs w:val="32"/>
        </w:rPr>
        <w:t>人，后勤服务聘用人员控制数1人。</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人员构成</w:t>
      </w:r>
    </w:p>
    <w:p>
      <w:pPr>
        <w:spacing w:line="560" w:lineRule="exact"/>
        <w:ind w:firstLine="640" w:firstLineChars="200"/>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我单位本年在职职工人数</w:t>
      </w:r>
      <w:r>
        <w:rPr>
          <w:rFonts w:hint="eastAsia" w:ascii="仿宋" w:hAnsi="仿宋" w:eastAsia="仿宋" w:cs="仿宋"/>
          <w:sz w:val="32"/>
          <w:szCs w:val="32"/>
          <w:lang w:val="en-US" w:eastAsia="zh-CN"/>
        </w:rPr>
        <w:t>79</w:t>
      </w:r>
      <w:r>
        <w:rPr>
          <w:rFonts w:hint="eastAsia" w:ascii="仿宋" w:hAnsi="仿宋" w:eastAsia="仿宋" w:cs="仿宋"/>
          <w:sz w:val="32"/>
          <w:szCs w:val="32"/>
        </w:rPr>
        <w:t>人，其中编制内实有人数</w:t>
      </w:r>
      <w:r>
        <w:rPr>
          <w:rFonts w:hint="eastAsia" w:ascii="仿宋" w:hAnsi="仿宋" w:eastAsia="仿宋" w:cs="仿宋"/>
          <w:sz w:val="32"/>
          <w:szCs w:val="32"/>
          <w:lang w:val="en-US" w:eastAsia="zh-CN"/>
        </w:rPr>
        <w:t>44</w:t>
      </w:r>
      <w:r>
        <w:rPr>
          <w:rFonts w:hint="eastAsia" w:ascii="仿宋" w:hAnsi="仿宋" w:eastAsia="仿宋" w:cs="仿宋"/>
          <w:sz w:val="32"/>
          <w:szCs w:val="32"/>
        </w:rPr>
        <w:t>人，后勤服务聘用人员控制数1人</w:t>
      </w:r>
      <w:r>
        <w:rPr>
          <w:rFonts w:hint="eastAsia" w:ascii="仿宋" w:hAnsi="仿宋" w:eastAsia="仿宋" w:cs="仿宋"/>
          <w:sz w:val="32"/>
          <w:szCs w:val="32"/>
          <w:lang w:eastAsia="zh-CN"/>
        </w:rPr>
        <w:t>，</w:t>
      </w:r>
      <w:r>
        <w:rPr>
          <w:rFonts w:hint="eastAsia" w:ascii="仿宋" w:hAnsi="仿宋" w:eastAsia="仿宋" w:cs="仿宋"/>
          <w:sz w:val="32"/>
          <w:szCs w:val="32"/>
        </w:rPr>
        <w:t>单位自聘人员有</w:t>
      </w:r>
      <w:r>
        <w:rPr>
          <w:rFonts w:hint="eastAsia" w:ascii="仿宋" w:hAnsi="仿宋" w:eastAsia="仿宋" w:cs="仿宋"/>
          <w:sz w:val="32"/>
          <w:szCs w:val="32"/>
          <w:lang w:val="en-US" w:eastAsia="zh-CN"/>
        </w:rPr>
        <w:t>34</w:t>
      </w:r>
      <w:r>
        <w:rPr>
          <w:rFonts w:hint="eastAsia" w:ascii="仿宋" w:hAnsi="仿宋" w:eastAsia="仿宋" w:cs="仿宋"/>
          <w:sz w:val="32"/>
          <w:szCs w:val="32"/>
        </w:rPr>
        <w:t>人。</w:t>
      </w:r>
    </w:p>
    <w:p>
      <w:pPr>
        <w:ind w:firstLine="2240" w:firstLineChars="700"/>
        <w:jc w:val="both"/>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u w:color="auto"/>
          <w:lang w:val="en-US" w:eastAsia="zh-CN"/>
        </w:rPr>
        <w:t>环江毛南族自治县东兴镇中心卫生院</w:t>
      </w:r>
      <w:r>
        <w:rPr>
          <w:rFonts w:hint="eastAsia" w:ascii="黑体" w:hAnsi="黑体" w:eastAsia="黑体" w:cs="黑体"/>
          <w:color w:val="auto"/>
          <w:sz w:val="32"/>
          <w:szCs w:val="32"/>
          <w:highlight w:val="none"/>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auto"/>
                <w:sz w:val="20"/>
                <w:szCs w:val="20"/>
                <w:highlight w:val="none"/>
                <w:lang w:val="en-US"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val="en-US" w:eastAsia="zh-CN"/>
              </w:rPr>
              <w:t>环江毛南族自治县东兴镇中心卫生院</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730.06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631"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893.62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bidi="ar"/>
              </w:rPr>
              <w:t>47.96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bidi="ar"/>
              </w:rPr>
              <w:t>1468.15</w:t>
            </w:r>
          </w:p>
        </w:tc>
      </w:tr>
      <w:tr>
        <w:tblPrEx>
          <w:tblCellMar>
            <w:top w:w="0" w:type="dxa"/>
            <w:left w:w="108" w:type="dxa"/>
            <w:bottom w:w="0" w:type="dxa"/>
            <w:right w:w="108" w:type="dxa"/>
          </w:tblCellMar>
        </w:tblPrEx>
        <w:trPr>
          <w:trHeight w:val="90"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52.36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430"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1623.68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1601.02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22.66</w:t>
            </w:r>
          </w:p>
        </w:tc>
      </w:tr>
      <w:tr>
        <w:tblPrEx>
          <w:tblCellMar>
            <w:top w:w="0" w:type="dxa"/>
            <w:left w:w="108" w:type="dxa"/>
            <w:bottom w:w="0" w:type="dxa"/>
            <w:right w:w="108" w:type="dxa"/>
          </w:tblCellMar>
        </w:tblPrEx>
        <w:trPr>
          <w:trHeight w:val="22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1623.68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1623.68</w:t>
            </w:r>
          </w:p>
        </w:tc>
      </w:tr>
    </w:tbl>
    <w:p>
      <w:pPr>
        <w:rPr>
          <w:rFonts w:hint="eastAsia"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42"/>
        <w:gridCol w:w="222"/>
        <w:gridCol w:w="240"/>
        <w:gridCol w:w="2624"/>
        <w:gridCol w:w="1546"/>
        <w:gridCol w:w="934"/>
        <w:gridCol w:w="607"/>
        <w:gridCol w:w="766"/>
        <w:gridCol w:w="643"/>
        <w:gridCol w:w="607"/>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081" w:type="dxa"/>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44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4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44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4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752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0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4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0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490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62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4" w:hRule="atLeast"/>
        </w:trPr>
        <w:tc>
          <w:tcPr>
            <w:tcW w:w="490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24"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4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752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52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1,623.68</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730.06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893.62</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1,490.82</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893.62</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1,280.72</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387.10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893.62</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1,214.44</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320.82</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893.62</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90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rPr>
          <w:rFonts w:hint="eastAsia" w:ascii="宋体" w:hAnsi="宋体" w:eastAsia="宋体" w:cs="宋体"/>
          <w:color w:val="0000FF"/>
          <w:kern w:val="0"/>
          <w:sz w:val="30"/>
          <w:szCs w:val="30"/>
          <w:highlight w:val="none"/>
          <w:lang w:bidi="ar"/>
        </w:rPr>
      </w:pPr>
    </w:p>
    <w:p>
      <w:pPr>
        <w:jc w:val="left"/>
        <w:rPr>
          <w:rFonts w:hint="eastAsia" w:ascii="仿宋" w:hAnsi="仿宋" w:eastAsia="仿宋" w:cs="仿宋"/>
          <w:sz w:val="24"/>
          <w:highlight w:val="none"/>
        </w:rPr>
      </w:pPr>
    </w:p>
    <w:p>
      <w:pPr>
        <w:jc w:val="left"/>
        <w:rPr>
          <w:rFonts w:hint="eastAsia" w:ascii="宋体" w:hAnsi="宋体" w:eastAsia="宋体" w:cs="宋体"/>
          <w:color w:val="0000FF"/>
          <w:kern w:val="0"/>
          <w:sz w:val="30"/>
          <w:szCs w:val="30"/>
          <w:highlight w:val="none"/>
          <w:lang w:bidi="ar"/>
        </w:rPr>
      </w:pPr>
      <w:r>
        <w:rPr>
          <w:rFonts w:hint="eastAsia" w:ascii="仿宋" w:hAnsi="仿宋" w:eastAsia="仿宋" w:cs="仿宋"/>
          <w:sz w:val="24"/>
          <w:highlight w:val="none"/>
        </w:rPr>
        <w:t>表三：支出决算表</w:t>
      </w: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9"/>
        <w:gridCol w:w="222"/>
        <w:gridCol w:w="222"/>
        <w:gridCol w:w="2705"/>
        <w:gridCol w:w="1320"/>
        <w:gridCol w:w="1186"/>
        <w:gridCol w:w="960"/>
        <w:gridCol w:w="779"/>
        <w:gridCol w:w="61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7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2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7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7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502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05"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7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2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2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1,601.02</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1,324.47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276.55</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1,468.15</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1,191.61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276.55</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1,258.06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1,191.61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66.45</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1,191.77</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1,169.53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22.25</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both"/>
        <w:rPr>
          <w:rFonts w:ascii="仿宋" w:hAnsi="仿宋" w:eastAsia="仿宋" w:cs="仿宋"/>
          <w:sz w:val="24"/>
          <w:highlight w:val="none"/>
        </w:rPr>
      </w:pPr>
    </w:p>
    <w:tbl>
      <w:tblPr>
        <w:tblStyle w:val="7"/>
        <w:tblW w:w="125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35"/>
        <w:gridCol w:w="570"/>
        <w:gridCol w:w="1245"/>
        <w:gridCol w:w="3090"/>
        <w:gridCol w:w="570"/>
        <w:gridCol w:w="1050"/>
        <w:gridCol w:w="1050"/>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510" w:type="dxa"/>
            <w:gridSpan w:val="9"/>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83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9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835"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57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5"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9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5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8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8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0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835"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3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30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730.06</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60"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05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jc w:val="both"/>
        <w:rPr>
          <w:rFonts w:ascii="仿宋" w:hAnsi="仿宋" w:eastAsia="仿宋" w:cs="仿宋"/>
          <w:sz w:val="24"/>
          <w:highlight w:val="none"/>
        </w:rPr>
      </w:pPr>
    </w:p>
    <w:p>
      <w:pPr>
        <w:pStyle w:val="2"/>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both"/>
        <w:rPr>
          <w:rFonts w:ascii="仿宋" w:hAnsi="仿宋" w:eastAsia="仿宋" w:cs="仿宋"/>
          <w:sz w:val="24"/>
          <w:highlight w:val="none"/>
        </w:rPr>
      </w:pPr>
    </w:p>
    <w:p>
      <w:pPr>
        <w:jc w:val="center"/>
        <w:rPr>
          <w:rFonts w:ascii="仿宋" w:hAnsi="仿宋" w:eastAsia="仿宋" w:cs="仿宋"/>
          <w:sz w:val="24"/>
          <w:highlight w:val="none"/>
        </w:rPr>
      </w:pPr>
    </w:p>
    <w:tbl>
      <w:tblPr>
        <w:tblStyle w:val="7"/>
        <w:tblW w:w="12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3956"/>
        <w:gridCol w:w="882"/>
        <w:gridCol w:w="882"/>
        <w:gridCol w:w="1616"/>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表五：一般公共预算财政拨款支出决算表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c>
          <w:tcPr>
            <w:tcW w:w="10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276.55</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276.55</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66.45</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22.25</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154.26</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w:t>
      </w:r>
    </w:p>
    <w:p>
      <w:pPr>
        <w:jc w:val="left"/>
        <w:rPr>
          <w:rFonts w:hint="eastAsia" w:ascii="仿宋" w:hAnsi="仿宋" w:eastAsia="仿宋" w:cs="仿宋"/>
          <w:sz w:val="24"/>
          <w:highlight w:val="none"/>
        </w:rPr>
      </w:pPr>
      <w:r>
        <w:rPr>
          <w:rFonts w:hint="eastAsia" w:ascii="仿宋" w:hAnsi="仿宋" w:eastAsia="仿宋" w:cs="仿宋"/>
          <w:sz w:val="24"/>
          <w:highlight w:val="none"/>
        </w:rPr>
        <w:t>六：一般公共预算财政拨款基本支出决算表</w:t>
      </w: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60"/>
        <w:gridCol w:w="1826"/>
        <w:gridCol w:w="1008"/>
        <w:gridCol w:w="792"/>
        <w:gridCol w:w="1658"/>
        <w:gridCol w:w="792"/>
        <w:gridCol w:w="648"/>
        <w:gridCol w:w="2954"/>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8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5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4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18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5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4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9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887"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2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9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5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9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4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95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2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8"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58"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8"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54"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3"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431.44</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35.04</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47.96</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82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5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48"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95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18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431.44</w:t>
            </w:r>
          </w:p>
        </w:tc>
        <w:tc>
          <w:tcPr>
            <w:tcW w:w="6844"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7"/>
        <w:tblW w:w="136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1096"/>
        <w:gridCol w:w="1096"/>
        <w:gridCol w:w="1096"/>
        <w:gridCol w:w="1096"/>
        <w:gridCol w:w="109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652"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28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注：本表反映部门本年度政府性基金预算财政拨款收入、支出及结转和结余情况。说明：本表无数据。</w:t>
            </w:r>
          </w:p>
        </w:tc>
      </w:tr>
    </w:tbl>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center"/>
        <w:rPr>
          <w:rFonts w:hint="eastAsia" w:ascii="仿宋" w:hAnsi="仿宋" w:eastAsia="仿宋" w:cs="仿宋"/>
          <w:sz w:val="24"/>
          <w:highlight w:val="none"/>
          <w:lang w:val="en-US" w:eastAsia="zh-CN"/>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pStyle w:val="2"/>
        <w:rPr>
          <w:rFonts w:hint="eastAsia" w:ascii="仿宋" w:hAnsi="仿宋" w:eastAsia="仿宋" w:cs="仿宋"/>
          <w:sz w:val="24"/>
          <w:highlight w:val="none"/>
        </w:rPr>
      </w:pPr>
    </w:p>
    <w:p>
      <w:pPr>
        <w:rPr>
          <w:rFonts w:hint="eastAsia" w:ascii="仿宋" w:hAnsi="仿宋" w:eastAsia="仿宋" w:cs="仿宋"/>
          <w:sz w:val="24"/>
          <w:highlight w:val="none"/>
        </w:rPr>
      </w:pPr>
    </w:p>
    <w:p>
      <w:pPr>
        <w:pStyle w:val="2"/>
        <w:rPr>
          <w:rFonts w:hint="eastAsia"/>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7"/>
        <w:tblW w:w="13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6"/>
        <w:gridCol w:w="222"/>
        <w:gridCol w:w="222"/>
        <w:gridCol w:w="1760"/>
        <w:gridCol w:w="716"/>
        <w:gridCol w:w="1000"/>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403"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6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5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6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6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4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6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6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0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446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46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03"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注：本表反映部门本年度国有资本经营预算财政拨款支出情况。说明：本表无数据。</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pStyle w:val="2"/>
        <w:rPr>
          <w:rFonts w:hint="eastAsia" w:ascii="仿宋" w:hAnsi="仿宋" w:eastAsia="仿宋" w:cs="仿宋"/>
          <w:sz w:val="24"/>
          <w:highlight w:val="none"/>
        </w:rPr>
      </w:pPr>
    </w:p>
    <w:p>
      <w:pPr>
        <w:rPr>
          <w:rFonts w:hint="eastAsia" w:ascii="仿宋" w:hAnsi="仿宋" w:eastAsia="仿宋" w:cs="仿宋"/>
          <w:sz w:val="24"/>
          <w:highlight w:val="none"/>
        </w:rPr>
      </w:pPr>
    </w:p>
    <w:p>
      <w:pPr>
        <w:pStyle w:val="2"/>
        <w:rPr>
          <w:rFonts w:hint="eastAsia" w:ascii="仿宋" w:hAnsi="仿宋" w:eastAsia="仿宋" w:cs="仿宋"/>
          <w:sz w:val="24"/>
          <w:highlight w:val="none"/>
        </w:rPr>
      </w:pPr>
    </w:p>
    <w:p>
      <w:pPr>
        <w:rPr>
          <w:rFonts w:hint="eastAsia" w:ascii="仿宋" w:hAnsi="仿宋" w:eastAsia="仿宋" w:cs="仿宋"/>
          <w:sz w:val="24"/>
          <w:highlight w:val="none"/>
        </w:rPr>
      </w:pPr>
    </w:p>
    <w:p>
      <w:pPr>
        <w:pStyle w:val="2"/>
        <w:rPr>
          <w:rFonts w:hint="eastAsia"/>
        </w:rPr>
      </w:pPr>
    </w:p>
    <w:p>
      <w:pPr>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tbl>
      <w:tblPr>
        <w:tblStyle w:val="7"/>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885"/>
        <w:gridCol w:w="664"/>
        <w:gridCol w:w="664"/>
        <w:gridCol w:w="664"/>
        <w:gridCol w:w="662"/>
        <w:gridCol w:w="661"/>
        <w:gridCol w:w="876"/>
        <w:gridCol w:w="662"/>
        <w:gridCol w:w="663"/>
        <w:gridCol w:w="66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695"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部门：广西河池市环江毛南族自治县东兴镇中心卫生院</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35"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7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1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8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2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695"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东兴镇中心卫生院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1623.68</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u w:color="auto"/>
          <w:lang w:val="en-US" w:eastAsia="zh-CN"/>
        </w:rPr>
        <w:t>86.50</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增长5.62</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1623.68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1.一般公共预算财政拨款收入</w:t>
      </w:r>
      <w:r>
        <w:rPr>
          <w:rFonts w:hint="eastAsia" w:ascii="仿宋" w:hAnsi="仿宋" w:eastAsia="仿宋" w:cs="仿宋"/>
          <w:color w:val="auto"/>
          <w:sz w:val="32"/>
          <w:u w:color="auto"/>
          <w:lang w:val="en-US" w:eastAsia="zh-CN"/>
        </w:rPr>
        <w:t>730.06</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u w:color="auto"/>
          <w:lang w:val="en-US" w:eastAsia="zh-CN"/>
        </w:rPr>
        <w:t>69.29</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u w:color="auto"/>
          <w:lang w:val="en-US" w:eastAsia="zh-CN"/>
        </w:rPr>
        <w:t>增长10.48</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，主要原因：业务量扩增，成本增加，人员变动、为此工资福利、五险一金有所增加。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lang w:eastAsia="zh-CN"/>
        </w:rPr>
        <w:t>环江县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，主要原因是：本单位没有上级补助资金。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hint="eastAsia" w:ascii="仿宋" w:hAnsi="仿宋" w:eastAsia="仿宋" w:cs="仿宋"/>
          <w:color w:val="auto"/>
          <w:sz w:val="32"/>
          <w:u w:color="auto"/>
        </w:rPr>
        <w:t>893.62</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17.61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2.01</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，主要原因是：业务范围扩增，所以本院收入增多。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89500" cy="328612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hint="eastAsia" w:ascii="仿宋" w:hAnsi="仿宋" w:eastAsia="仿宋" w:cs="仿宋"/>
          <w:color w:val="auto"/>
          <w:sz w:val="32"/>
          <w:u w:color="auto"/>
        </w:rPr>
        <w:t>1601.02</w:t>
      </w:r>
      <w:r>
        <w:rPr>
          <w:rFonts w:hint="eastAsia" w:ascii="仿宋" w:hAnsi="仿宋" w:eastAsia="仿宋" w:cs="仿宋"/>
          <w:color w:val="auto"/>
          <w:sz w:val="32"/>
          <w:szCs w:val="32"/>
          <w:highlight w:val="none"/>
        </w:rPr>
        <w:t>万元，其中本年支出</w:t>
      </w:r>
      <w:r>
        <w:rPr>
          <w:rFonts w:hint="eastAsia" w:ascii="仿宋" w:hAnsi="仿宋" w:eastAsia="仿宋" w:cs="仿宋"/>
          <w:color w:val="auto"/>
          <w:sz w:val="32"/>
          <w:u w:color="auto"/>
        </w:rPr>
        <w:t>1601.02</w:t>
      </w:r>
      <w:r>
        <w:rPr>
          <w:rFonts w:hint="eastAsia" w:ascii="仿宋" w:hAnsi="仿宋" w:eastAsia="仿宋" w:cs="仿宋"/>
          <w:color w:val="auto"/>
          <w:sz w:val="32"/>
          <w:szCs w:val="32"/>
          <w:highlight w:val="none"/>
        </w:rPr>
        <w:t>万元，较2021年度决算数</w:t>
      </w:r>
      <w:r>
        <w:rPr>
          <w:rFonts w:hint="eastAsia" w:ascii="仿宋" w:hAnsi="仿宋" w:eastAsia="仿宋" w:cs="仿宋"/>
          <w:color w:val="auto"/>
          <w:sz w:val="32"/>
          <w:szCs w:val="32"/>
          <w:highlight w:val="none"/>
          <w:lang w:val="en-US" w:eastAsia="zh-CN"/>
        </w:rPr>
        <w:t>增加397.90</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增长33.07</w:t>
      </w:r>
      <w:r>
        <w:rPr>
          <w:rFonts w:ascii="仿宋" w:hAnsi="仿宋" w:eastAsia="仿宋" w:cs="仿宋"/>
          <w:color w:val="auto"/>
          <w:sz w:val="32"/>
          <w:u w:color="auto"/>
        </w:rPr>
        <w:t>%</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47.96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机关事业单位基本养老保险缴费支出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增5.85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增长13.89</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主要原因是：人员增多，基数调整，随之社会保障类增多。</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
          <w:sz w:val="32"/>
          <w:szCs w:val="32"/>
          <w:highlight w:val="none"/>
          <w:lang w:val="en-US"/>
        </w:rPr>
      </w:pPr>
      <w:r>
        <w:rPr>
          <w:rFonts w:hint="eastAsia" w:ascii="仿宋" w:hAnsi="仿宋" w:eastAsia="仿宋" w:cs="仿宋"/>
          <w:color w:val="auto"/>
          <w:sz w:val="32"/>
          <w:szCs w:val="32"/>
          <w:highlight w:val="none"/>
          <w:lang w:val="en-US" w:eastAsia="zh-CN" w:bidi="ar"/>
        </w:rPr>
        <w:t>2.</w:t>
      </w:r>
      <w:r>
        <w:rPr>
          <w:rFonts w:hint="eastAsia" w:ascii="仿宋" w:hAnsi="仿宋" w:eastAsia="仿宋" w:cs="仿宋"/>
          <w:color w:val="auto"/>
          <w:sz w:val="32"/>
          <w:szCs w:val="32"/>
          <w:highlight w:val="none"/>
          <w:lang w:bidi="ar"/>
        </w:rPr>
        <w:t>卫生健康支出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210</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597.20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基层医疗卫生机构支出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增多81.07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增长15.70</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主要原因是：业务量扩大，人员增多，医疗项目增多，因此基层医疗卫生机构支出增多。</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bidi="ar"/>
        </w:rPr>
        <w:t>3.</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32.55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在职人员住房公积金支出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1.96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5.67</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主要原因是：在编人员基数调整，人员调出。</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auto"/>
          <w:sz w:val="32"/>
          <w:szCs w:val="32"/>
          <w:highlight w:val="none"/>
        </w:rPr>
        <w:t>4</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val="en-US" w:eastAsia="zh-CN" w:bidi="ar"/>
        </w:rPr>
        <w:t>其他</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bidi="ar"/>
        </w:rPr>
        <w:t>229</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52.36</w:t>
      </w:r>
      <w:r>
        <w:rPr>
          <w:rFonts w:hint="eastAsia" w:ascii="仿宋" w:hAnsi="仿宋" w:eastAsia="仿宋" w:cs="仿宋"/>
          <w:color w:val="auto"/>
          <w:sz w:val="32"/>
          <w:szCs w:val="32"/>
          <w:highlight w:val="none"/>
        </w:rPr>
        <w:t>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优质基层行板房建设等</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减少21.57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下降29.17</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主要原因是：2021年度院内建设类支出较多。</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lang w:val="en-US" w:eastAsia="zh-CN"/>
        </w:rPr>
        <w:t>22.66</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lang w:val="en-US" w:eastAsia="zh-CN"/>
        </w:rPr>
        <w:t>339.59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lang w:val="en-US" w:eastAsia="zh-CN"/>
        </w:rPr>
        <w:t>减少了316.93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lang w:val="en-US" w:eastAsia="zh-CN"/>
        </w:rPr>
        <w:t>下降93.33</w:t>
      </w:r>
      <w:r>
        <w:rPr>
          <w:rFonts w:hint="eastAsia" w:ascii="仿宋_GB2312" w:hAnsi="微软雅黑" w:eastAsia="仿宋_GB2312" w:cs="仿宋_GB2312"/>
          <w:color w:val="000000"/>
          <w:sz w:val="31"/>
          <w:szCs w:val="31"/>
          <w:highlight w:val="none"/>
          <w:shd w:val="clear" w:color="auto" w:fill="FFFFFF"/>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518660" cy="2651125"/>
            <wp:effectExtent l="4445" t="4445" r="10795"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二、2022年度</w:t>
      </w:r>
      <w:bookmarkStart w:id="0" w:name="OLE_LINK1"/>
      <w:r>
        <w:rPr>
          <w:rFonts w:hint="eastAsia" w:ascii="黑体" w:hAnsi="黑体" w:eastAsia="黑体" w:cs="黑体"/>
          <w:color w:val="auto"/>
          <w:sz w:val="32"/>
          <w:szCs w:val="32"/>
          <w:highlight w:val="none"/>
        </w:rPr>
        <w:t>一般公共预算财政拨款支出决算情况</w:t>
      </w:r>
      <w:bookmarkEnd w:id="0"/>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东兴镇中心卫生院</w:t>
      </w:r>
      <w:r>
        <w:rPr>
          <w:rFonts w:hint="eastAsia" w:ascii="仿宋" w:hAnsi="仿宋" w:eastAsia="仿宋" w:cs="仿宋"/>
          <w:color w:val="auto"/>
          <w:sz w:val="32"/>
          <w:szCs w:val="32"/>
          <w:highlight w:val="none"/>
        </w:rPr>
        <w:t>2022年度一般公共预算财政拨款支出</w:t>
      </w:r>
      <w:r>
        <w:rPr>
          <w:rFonts w:hint="eastAsia" w:ascii="仿宋" w:hAnsi="仿宋" w:eastAsia="仿宋" w:cs="仿宋"/>
          <w:color w:val="auto"/>
          <w:sz w:val="32"/>
          <w:u w:color="auto"/>
          <w:lang w:val="en-US" w:eastAsia="zh-CN"/>
        </w:rPr>
        <w:t>730.06</w:t>
      </w:r>
      <w:r>
        <w:rPr>
          <w:rFonts w:hint="eastAsia" w:ascii="仿宋" w:hAnsi="仿宋" w:eastAsia="仿宋" w:cs="仿宋"/>
          <w:color w:val="auto"/>
          <w:sz w:val="32"/>
          <w:szCs w:val="32"/>
          <w:highlight w:val="none"/>
        </w:rPr>
        <w:t>元，较2021年度决算数</w:t>
      </w:r>
      <w:r>
        <w:rPr>
          <w:rFonts w:hint="eastAsia" w:ascii="仿宋" w:hAnsi="仿宋" w:eastAsia="仿宋" w:cs="仿宋"/>
          <w:color w:val="auto"/>
          <w:sz w:val="32"/>
          <w:u w:color="auto"/>
          <w:lang w:val="en-US" w:eastAsia="zh-CN"/>
        </w:rPr>
        <w:t>增加63.37</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增长9.50</w:t>
      </w:r>
      <w:r>
        <w:rPr>
          <w:rFonts w:ascii="仿宋" w:hAnsi="仿宋" w:eastAsia="仿宋" w:cs="仿宋"/>
          <w:color w:val="auto"/>
          <w:sz w:val="32"/>
          <w:u w:color="auto"/>
        </w:rPr>
        <w:t>%</w:t>
      </w:r>
      <w:r>
        <w:rPr>
          <w:rFonts w:hint="eastAsia" w:ascii="仿宋" w:hAnsi="仿宋" w:eastAsia="仿宋" w:cs="仿宋"/>
          <w:color w:val="auto"/>
          <w:sz w:val="32"/>
          <w:szCs w:val="32"/>
          <w:highlight w:val="none"/>
        </w:rPr>
        <w:t>。其中：基本支出</w:t>
      </w:r>
      <w:r>
        <w:rPr>
          <w:rFonts w:hint="eastAsia" w:ascii="仿宋" w:hAnsi="仿宋" w:eastAsia="仿宋" w:cs="仿宋"/>
          <w:color w:val="auto"/>
          <w:sz w:val="32"/>
          <w:u w:color="auto"/>
          <w:lang w:val="en-US" w:eastAsia="zh-CN"/>
        </w:rPr>
        <w:t>453.51</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u w:color="auto"/>
          <w:lang w:val="en-US" w:eastAsia="zh-CN"/>
        </w:rPr>
        <w:t>276.55</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东兴镇中心卫生院</w:t>
      </w:r>
      <w:r>
        <w:rPr>
          <w:rFonts w:hint="eastAsia" w:ascii="仿宋" w:hAnsi="仿宋" w:eastAsia="仿宋" w:cs="仿宋"/>
          <w:color w:val="auto"/>
          <w:sz w:val="32"/>
          <w:szCs w:val="32"/>
          <w:highlight w:val="none"/>
        </w:rPr>
        <w:t>2022 年度一般公共预算财政拨款支出年初预算为</w:t>
      </w:r>
      <w:r>
        <w:rPr>
          <w:rFonts w:hint="eastAsia" w:ascii="仿宋" w:hAnsi="仿宋" w:eastAsia="仿宋" w:cs="仿宋"/>
          <w:color w:val="auto"/>
          <w:sz w:val="32"/>
          <w:u w:color="auto"/>
          <w:lang w:val="en-US" w:eastAsia="zh-CN"/>
        </w:rPr>
        <w:t>431.75</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u w:color="auto"/>
          <w:lang w:val="en-US" w:eastAsia="zh-CN"/>
        </w:rPr>
        <w:t>730.06</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u w:color="auto"/>
          <w:lang w:val="en-US" w:eastAsia="zh-CN"/>
        </w:rPr>
        <w:t>169.09</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p>
    <w:p>
      <w:pPr>
        <w:jc w:val="left"/>
        <w:rPr>
          <w:rFonts w:hint="default" w:eastAsia="仿宋"/>
          <w:color w:val="FF0000"/>
          <w:highlight w:val="none"/>
          <w:lang w:val="en-US" w:eastAsia="zh-CN"/>
        </w:rPr>
      </w:pPr>
      <w:bookmarkStart w:id="1" w:name="OLE_LINK2"/>
      <w:bookmarkEnd w:id="1"/>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49.21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47.96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97.46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原因是：在职人员调动等</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74"/>
        <w:gridCol w:w="929"/>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49.21</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47.96</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97.46%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4"/>
                <w:szCs w:val="24"/>
                <w:highlight w:val="none"/>
                <w:lang w:val="en-US" w:eastAsia="zh-CN"/>
                <w14:textFill>
                  <w14:solidFill>
                    <w14:schemeClr w14:val="tx1"/>
                  </w14:solidFill>
                </w14:textFill>
              </w:rPr>
              <w:t>在职人员调动等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49.21</w:t>
            </w:r>
          </w:p>
        </w:tc>
        <w:tc>
          <w:tcPr>
            <w:tcW w:w="9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47.96</w:t>
            </w:r>
          </w:p>
        </w:tc>
        <w:tc>
          <w:tcPr>
            <w:tcW w:w="9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256530" cy="2988310"/>
            <wp:effectExtent l="5080" t="4445" r="15240" b="171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sz w:val="32"/>
          <w:szCs w:val="32"/>
          <w:highlight w:val="none"/>
          <w:lang w:eastAsia="zh-CN"/>
        </w:rPr>
      </w:pPr>
    </w:p>
    <w:p>
      <w:pPr>
        <w:keepNext w:val="0"/>
        <w:keepLines w:val="0"/>
        <w:widowControl w:val="0"/>
        <w:numPr>
          <w:ilvl w:val="0"/>
          <w:numId w:val="0"/>
        </w:numPr>
        <w:suppressLineNumbers w:val="0"/>
        <w:spacing w:before="0" w:beforeAutospacing="0" w:after="0" w:afterAutospacing="0"/>
        <w:ind w:right="0" w:rightChars="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ascii="仿宋" w:hAnsi="仿宋" w:eastAsia="仿宋"/>
          <w:sz w:val="32"/>
          <w:szCs w:val="32"/>
          <w:highlight w:val="none"/>
        </w:rPr>
        <w:t>109.84</w:t>
      </w:r>
      <w:r>
        <w:rPr>
          <w:rFonts w:hint="eastAsia" w:ascii="仿宋" w:hAnsi="仿宋" w:eastAsia="仿宋"/>
          <w:sz w:val="32"/>
          <w:szCs w:val="32"/>
          <w:highlight w:val="none"/>
        </w:rPr>
        <w:t>万元，支出决算为</w:t>
      </w:r>
      <w:r>
        <w:rPr>
          <w:rFonts w:ascii="仿宋" w:hAnsi="仿宋" w:eastAsia="仿宋"/>
          <w:sz w:val="32"/>
          <w:szCs w:val="32"/>
          <w:highlight w:val="none"/>
        </w:rPr>
        <w:t>106.67</w:t>
      </w:r>
      <w:r>
        <w:rPr>
          <w:rFonts w:hint="eastAsia" w:ascii="仿宋" w:hAnsi="仿宋" w:eastAsia="仿宋"/>
          <w:sz w:val="32"/>
          <w:szCs w:val="32"/>
          <w:highlight w:val="none"/>
        </w:rPr>
        <w:t>万元，完成年初预算的</w:t>
      </w:r>
      <w:r>
        <w:rPr>
          <w:rFonts w:ascii="仿宋" w:hAnsi="仿宋" w:eastAsia="仿宋"/>
          <w:sz w:val="32"/>
          <w:szCs w:val="32"/>
          <w:highlight w:val="none"/>
        </w:rPr>
        <w:t>97.11%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原因是：年中在职人员调动，医疗事业扩增，事业收入增多，其他卫生健康支出减少等，因为卫生健康支出与预算有差异。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1068"/>
        <w:gridCol w:w="666"/>
        <w:gridCol w:w="1163"/>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Theme="majorEastAsia" w:hAnsiTheme="majorEastAsia" w:eastAsiaTheme="majorEastAsia" w:cstheme="majorEastAsia"/>
                <w:sz w:val="22"/>
                <w:szCs w:val="22"/>
                <w:highlight w:val="none"/>
                <w:lang w:bidi="ar"/>
              </w:rPr>
              <w:t>卫生健康支出</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337.47</w:t>
            </w: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597.20</w:t>
            </w:r>
          </w:p>
        </w:tc>
        <w:tc>
          <w:tcPr>
            <w:tcW w:w="11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176.96%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卫生健康、乡镇卫生院、公共卫生、其他卫生健康支出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2"/>
                <w:szCs w:val="22"/>
                <w:highlight w:val="none"/>
                <w:lang w:val="en-US" w:eastAsia="zh-CN"/>
                <w14:textFill>
                  <w14:solidFill>
                    <w14:schemeClr w14:val="tx1"/>
                  </w14:solidFill>
                </w14:textFill>
              </w:rPr>
              <w:t>年中在职人员调动，医疗事业扩增，事业收入增多，其他卫生健康支出减少等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337.47</w:t>
            </w: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597.20</w:t>
            </w:r>
          </w:p>
        </w:tc>
        <w:tc>
          <w:tcPr>
            <w:tcW w:w="116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i w:val="0"/>
          <w:iCs w:val="0"/>
          <w:color w:val="000000"/>
          <w:sz w:val="32"/>
          <w:szCs w:val="32"/>
          <w:highlight w:val="none"/>
          <w:u w:val="none"/>
          <w:lang w:val="en-US" w:eastAsia="zh-CN"/>
        </w:rPr>
      </w:pPr>
      <w:r>
        <w:rPr>
          <w:rFonts w:hint="eastAsia" w:ascii="仿宋" w:hAnsi="仿宋" w:eastAsia="仿宋"/>
          <w:sz w:val="32"/>
          <w:szCs w:val="32"/>
          <w:highlight w:val="none"/>
          <w:lang w:eastAsia="zh-CN"/>
        </w:rPr>
        <w:drawing>
          <wp:inline distT="0" distB="0" distL="114300" distR="114300">
            <wp:extent cx="5256530" cy="2988310"/>
            <wp:effectExtent l="5080" t="4445" r="15240"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cs="仿宋"/>
          <w:i w:val="0"/>
          <w:iCs w:val="0"/>
          <w:color w:val="000000"/>
          <w:sz w:val="32"/>
          <w:szCs w:val="32"/>
          <w:highlight w:val="none"/>
          <w:u w:val="none"/>
          <w:lang w:val="en-US" w:eastAsia="zh-CN"/>
        </w:rPr>
        <w:t>（三）住房保障支出</w:t>
      </w:r>
      <w:r>
        <w:rPr>
          <w:rFonts w:ascii="仿宋" w:hAnsi="仿宋" w:eastAsia="仿宋"/>
          <w:sz w:val="32"/>
          <w:u w:color="auto"/>
        </w:rPr>
        <w:t>（</w:t>
      </w:r>
      <w:r>
        <w:rPr>
          <w:rFonts w:hint="eastAsia" w:ascii="仿宋" w:hAnsi="仿宋" w:eastAsia="仿宋" w:cs="仿宋"/>
          <w:i w:val="0"/>
          <w:iCs w:val="0"/>
          <w:color w:val="000000"/>
          <w:sz w:val="28"/>
          <w:szCs w:val="28"/>
          <w:highlight w:val="none"/>
          <w:u w:val="none"/>
          <w:lang w:val="en-US" w:eastAsia="zh-CN"/>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37.87</w:t>
      </w:r>
      <w:r>
        <w:rPr>
          <w:rFonts w:hint="eastAsia" w:ascii="仿宋" w:hAnsi="仿宋" w:eastAsia="仿宋"/>
          <w:sz w:val="32"/>
          <w:szCs w:val="32"/>
          <w:highlight w:val="none"/>
        </w:rPr>
        <w:t>万元，支</w:t>
      </w:r>
      <w:r>
        <w:rPr>
          <w:rFonts w:hint="eastAsia" w:ascii="仿宋" w:hAnsi="仿宋" w:eastAsia="仿宋"/>
          <w:color w:val="auto"/>
          <w:sz w:val="32"/>
          <w:szCs w:val="32"/>
          <w:highlight w:val="none"/>
        </w:rPr>
        <w:t>出决算为</w:t>
      </w:r>
      <w:r>
        <w:rPr>
          <w:rFonts w:hint="eastAsia" w:ascii="仿宋" w:hAnsi="仿宋" w:eastAsia="仿宋"/>
          <w:color w:val="auto"/>
          <w:sz w:val="32"/>
          <w:szCs w:val="32"/>
          <w:highlight w:val="none"/>
          <w:lang w:val="en-US" w:eastAsia="zh-CN"/>
        </w:rPr>
        <w:t>34.51</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85.95</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原因是：年中人员变动</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住房保障支出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37.87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32.55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85.95%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24"/>
                <w:szCs w:val="24"/>
                <w:highlight w:val="none"/>
                <w:lang w:val="en-US" w:eastAsia="zh-CN"/>
              </w:rPr>
              <w:t>在职人员调动等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drawing>
          <wp:inline distT="0" distB="0" distL="114300" distR="114300">
            <wp:extent cx="5256530" cy="2988310"/>
            <wp:effectExtent l="5080" t="4445" r="15240" b="171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东兴镇中心卫生院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453.52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431.44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22.08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431.44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w:t>
      </w:r>
      <w:r>
        <w:rPr>
          <w:rFonts w:hint="eastAsia" w:ascii="仿宋" w:hAnsi="仿宋" w:eastAsia="仿宋" w:cs="仿宋"/>
          <w:sz w:val="32"/>
          <w:szCs w:val="32"/>
          <w:highlight w:val="none"/>
          <w:lang w:val="en-US" w:eastAsia="zh-CN"/>
        </w:rPr>
        <w:t>108.24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主要原因是：人员工资福利基数调整。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241.00万元，30102津贴补贴35.04万元，30103奖金15.45万元，30106伙食补助费6.88万元，30107绩效工资30.03万元，30108机关事业单位基本养老保险缴费47.96万元，30110职工基本医疗保险缴费18.14万元，30111公务员医疗补助缴费0万元，30112其他社会保障缴费4.39万元，30113住房公积金32.55万元，30199其他工资福利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商品和服务支出</w:t>
      </w:r>
      <w:r>
        <w:rPr>
          <w:rFonts w:hint="eastAsia" w:ascii="仿宋" w:hAnsi="仿宋" w:eastAsia="仿宋" w:cs="仿宋"/>
          <w:color w:val="auto"/>
          <w:sz w:val="32"/>
          <w:u w:color="auto"/>
          <w:lang w:val="en-US" w:eastAsia="zh-CN"/>
        </w:rPr>
        <w:t>22.08</w:t>
      </w:r>
      <w:r>
        <w:rPr>
          <w:rFonts w:ascii="仿宋" w:hAnsi="仿宋" w:eastAsia="仿宋" w:cs="仿宋"/>
          <w:color w:val="auto"/>
          <w:sz w:val="32"/>
          <w:u w:color="auto"/>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lang w:val="en-US" w:eastAsia="zh-CN"/>
        </w:rPr>
        <w:t>306.67</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主要原因是：项目调整，因此商品和服务支出有差异。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30201办公费0万元，30207邮电费0万元，30211差旅费0万元，30215会议费0万元，30216培训费0万元，30226劳务费22.08万元，30228工会经费0万元，30299其他商品和服务支出0万元。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本年度本单位无</w:t>
      </w:r>
      <w:r>
        <w:rPr>
          <w:rFonts w:hint="eastAsia" w:ascii="仿宋" w:hAnsi="仿宋" w:eastAsia="仿宋" w:cs="仿宋"/>
          <w:color w:val="auto"/>
          <w:sz w:val="32"/>
          <w:szCs w:val="32"/>
          <w:highlight w:val="none"/>
        </w:rPr>
        <w:t>对个人和家庭的补助</w:t>
      </w:r>
      <w:r>
        <w:rPr>
          <w:rFonts w:hint="eastAsia" w:ascii="仿宋" w:hAnsi="仿宋" w:eastAsia="仿宋" w:cs="仿宋"/>
          <w:color w:val="auto"/>
          <w:sz w:val="32"/>
          <w:szCs w:val="32"/>
          <w:highlight w:val="none"/>
          <w:lang w:val="en-US" w:eastAsia="zh-CN"/>
        </w:rPr>
        <w:t>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债务</w:t>
      </w:r>
      <w:r>
        <w:rPr>
          <w:rFonts w:hint="eastAsia" w:ascii="仿宋" w:hAnsi="仿宋" w:eastAsia="仿宋" w:cs="仿宋"/>
          <w:color w:val="auto"/>
          <w:sz w:val="32"/>
          <w:szCs w:val="32"/>
          <w:highlight w:val="none"/>
        </w:rPr>
        <w:t>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主要原因是：本单位无债务利息及费用支出。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686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主要原因是：本单位无资本性支出。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kern w:val="0"/>
          <w:sz w:val="32"/>
          <w:szCs w:val="32"/>
          <w:u w:val="none"/>
        </w:rPr>
      </w:pPr>
      <w:r>
        <w:rPr>
          <w:rFonts w:hint="default" w:ascii="Times New Roman" w:hAnsi="Times New Roman" w:eastAsia="仿宋_GB2312" w:cs="Times New Roman"/>
          <w:bCs/>
          <w:color w:val="auto"/>
          <w:kern w:val="0"/>
          <w:sz w:val="32"/>
          <w:szCs w:val="32"/>
          <w:u w:val="none"/>
        </w:rPr>
        <w:t>202</w:t>
      </w:r>
      <w:r>
        <w:rPr>
          <w:rFonts w:hint="eastAsia" w:ascii="Times New Roman" w:hAnsi="Times New Roman" w:eastAsia="仿宋_GB2312" w:cs="Times New Roman"/>
          <w:bCs/>
          <w:color w:val="auto"/>
          <w:kern w:val="0"/>
          <w:sz w:val="32"/>
          <w:szCs w:val="32"/>
          <w:u w:val="none"/>
          <w:lang w:val="en-US" w:eastAsia="zh-CN"/>
        </w:rPr>
        <w:t>2</w:t>
      </w:r>
      <w:r>
        <w:rPr>
          <w:rFonts w:hint="default" w:ascii="Times New Roman" w:hAnsi="Times New Roman" w:eastAsia="仿宋_GB2312" w:cs="Times New Roman"/>
          <w:bCs/>
          <w:color w:val="auto"/>
          <w:kern w:val="0"/>
          <w:sz w:val="32"/>
          <w:szCs w:val="32"/>
          <w:u w:val="none"/>
        </w:rPr>
        <w:t>年度政府性基金支出</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万元，较202</w:t>
      </w:r>
      <w:r>
        <w:rPr>
          <w:rFonts w:hint="eastAsia" w:ascii="Times New Roman" w:hAnsi="Times New Roman" w:eastAsia="仿宋_GB2312" w:cs="Times New Roman"/>
          <w:bCs/>
          <w:color w:val="auto"/>
          <w:kern w:val="0"/>
          <w:sz w:val="32"/>
          <w:szCs w:val="32"/>
          <w:u w:val="none"/>
          <w:lang w:val="en-US" w:eastAsia="zh-CN"/>
        </w:rPr>
        <w:t>1</w:t>
      </w:r>
      <w:r>
        <w:rPr>
          <w:rFonts w:hint="default" w:ascii="Times New Roman" w:hAnsi="Times New Roman" w:eastAsia="仿宋_GB2312" w:cs="Times New Roman"/>
          <w:bCs/>
          <w:color w:val="auto"/>
          <w:kern w:val="0"/>
          <w:sz w:val="32"/>
          <w:szCs w:val="32"/>
          <w:u w:val="none"/>
        </w:rPr>
        <w:t>年度决算数增减少</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万元，下降</w:t>
      </w:r>
      <w:r>
        <w:rPr>
          <w:rFonts w:hint="eastAsia" w:ascii="Times New Roman" w:hAnsi="Times New Roman" w:eastAsia="仿宋_GB2312" w:cs="Times New Roman"/>
          <w:bCs/>
          <w:color w:val="auto"/>
          <w:kern w:val="0"/>
          <w:sz w:val="32"/>
          <w:szCs w:val="32"/>
          <w:u w:val="none"/>
          <w:lang w:val="en-US" w:eastAsia="zh-CN"/>
        </w:rPr>
        <w:t>100</w:t>
      </w:r>
      <w:r>
        <w:rPr>
          <w:rFonts w:hint="default" w:ascii="Times New Roman" w:hAnsi="Times New Roman" w:eastAsia="仿宋_GB2312" w:cs="Times New Roman"/>
          <w:bCs/>
          <w:color w:val="auto"/>
          <w:kern w:val="0"/>
          <w:sz w:val="32"/>
          <w:szCs w:val="32"/>
          <w:u w:val="none"/>
        </w:rPr>
        <w:t xml:space="preserve">  %。其中：基本支出</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万元，项目支出</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color w:val="auto"/>
          <w:kern w:val="0"/>
          <w:sz w:val="32"/>
          <w:szCs w:val="32"/>
          <w:u w:val="none"/>
        </w:rPr>
      </w:pPr>
      <w:r>
        <w:rPr>
          <w:rFonts w:hint="default" w:ascii="Times New Roman" w:hAnsi="Times New Roman" w:eastAsia="仿宋_GB2312" w:cs="Times New Roman"/>
          <w:bCs/>
          <w:color w:val="auto"/>
          <w:kern w:val="0"/>
          <w:sz w:val="32"/>
          <w:szCs w:val="32"/>
          <w:u w:val="none"/>
        </w:rPr>
        <w:t>202</w:t>
      </w:r>
      <w:r>
        <w:rPr>
          <w:rFonts w:hint="eastAsia" w:ascii="Times New Roman" w:hAnsi="Times New Roman" w:eastAsia="仿宋_GB2312" w:cs="Times New Roman"/>
          <w:bCs/>
          <w:color w:val="auto"/>
          <w:kern w:val="0"/>
          <w:sz w:val="32"/>
          <w:szCs w:val="32"/>
          <w:u w:val="none"/>
          <w:lang w:val="en-US" w:eastAsia="zh-CN"/>
        </w:rPr>
        <w:t>2</w:t>
      </w:r>
      <w:r>
        <w:rPr>
          <w:rFonts w:hint="default" w:ascii="Times New Roman" w:hAnsi="Times New Roman" w:eastAsia="仿宋_GB2312" w:cs="Times New Roman"/>
          <w:bCs/>
          <w:color w:val="auto"/>
          <w:kern w:val="0"/>
          <w:sz w:val="32"/>
          <w:szCs w:val="32"/>
          <w:u w:val="none"/>
        </w:rPr>
        <w:t xml:space="preserve">年度政府性基金支出年初预算为 </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 xml:space="preserve">万元，支出决算为 </w:t>
      </w:r>
      <w:r>
        <w:rPr>
          <w:rFonts w:hint="eastAsia" w:ascii="Times New Roman" w:hAnsi="Times New Roman" w:eastAsia="仿宋_GB2312" w:cs="Times New Roman"/>
          <w:bCs/>
          <w:color w:val="auto"/>
          <w:kern w:val="0"/>
          <w:sz w:val="32"/>
          <w:szCs w:val="32"/>
          <w:u w:val="none"/>
          <w:lang w:val="en-US" w:eastAsia="zh-CN"/>
        </w:rPr>
        <w:t>0</w:t>
      </w:r>
      <w:r>
        <w:rPr>
          <w:rFonts w:hint="default" w:ascii="Times New Roman" w:hAnsi="Times New Roman" w:eastAsia="仿宋_GB2312" w:cs="Times New Roman"/>
          <w:bCs/>
          <w:color w:val="auto"/>
          <w:kern w:val="0"/>
          <w:sz w:val="32"/>
          <w:szCs w:val="32"/>
          <w:u w:val="none"/>
        </w:rPr>
        <w:t xml:space="preserve">  万元，完成年初预算的 </w:t>
      </w:r>
      <w:r>
        <w:rPr>
          <w:rFonts w:hint="eastAsia" w:ascii="Times New Roman" w:hAnsi="Times New Roman" w:eastAsia="仿宋_GB2312" w:cs="Times New Roman"/>
          <w:bCs/>
          <w:color w:val="auto"/>
          <w:kern w:val="0"/>
          <w:sz w:val="32"/>
          <w:szCs w:val="32"/>
          <w:u w:val="none"/>
          <w:lang w:val="en-US" w:eastAsia="zh-CN"/>
        </w:rPr>
        <w:t>100</w:t>
      </w:r>
      <w:r>
        <w:rPr>
          <w:rFonts w:hint="default" w:ascii="Times New Roman" w:hAnsi="Times New Roman" w:eastAsia="仿宋_GB2312" w:cs="Times New Roman"/>
          <w:bCs/>
          <w:color w:val="auto"/>
          <w:kern w:val="0"/>
          <w:sz w:val="32"/>
          <w:szCs w:val="32"/>
          <w:u w:val="none"/>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bCs/>
          <w:color w:val="auto"/>
          <w:kern w:val="0"/>
          <w:sz w:val="32"/>
          <w:szCs w:val="32"/>
          <w:u w:val="none"/>
        </w:rPr>
        <w:t>主要用于</w:t>
      </w:r>
      <w:r>
        <w:rPr>
          <w:rFonts w:hint="eastAsia" w:ascii="Times New Roman" w:hAnsi="Times New Roman" w:eastAsia="仿宋_GB2312" w:cs="Times New Roman"/>
          <w:bCs/>
          <w:color w:val="auto"/>
          <w:kern w:val="0"/>
          <w:sz w:val="32"/>
          <w:szCs w:val="32"/>
          <w:u w:val="none"/>
          <w:lang w:eastAsia="zh-CN"/>
        </w:rPr>
        <w:t>：</w:t>
      </w:r>
      <w:r>
        <w:rPr>
          <w:rFonts w:hint="eastAsia" w:ascii="Times New Roman" w:hAnsi="Times New Roman" w:eastAsia="仿宋_GB2312" w:cs="Times New Roman"/>
          <w:color w:val="auto"/>
          <w:sz w:val="32"/>
          <w:szCs w:val="32"/>
          <w:u w:val="none"/>
          <w:lang w:val="en-US" w:eastAsia="zh-CN"/>
        </w:rPr>
        <w:t>本单位</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年度没有</w:t>
      </w:r>
      <w:r>
        <w:rPr>
          <w:rFonts w:hint="eastAsia" w:ascii="Times New Roman" w:hAnsi="Times New Roman" w:eastAsia="仿宋_GB2312" w:cs="Times New Roman"/>
          <w:color w:val="auto"/>
          <w:sz w:val="32"/>
          <w:szCs w:val="32"/>
          <w:u w:val="none"/>
          <w:lang w:val="en-US" w:eastAsia="zh-CN"/>
        </w:rPr>
        <w:t>国有资本经营预算财政拨款</w:t>
      </w:r>
      <w:r>
        <w:rPr>
          <w:rFonts w:hint="default" w:ascii="Times New Roman" w:hAnsi="Times New Roman" w:eastAsia="仿宋_GB2312" w:cs="Times New Roman"/>
          <w:color w:val="auto"/>
          <w:sz w:val="32"/>
          <w:szCs w:val="32"/>
          <w:u w:val="none"/>
        </w:rPr>
        <w:t>资金收入，也没有</w:t>
      </w:r>
      <w:r>
        <w:rPr>
          <w:rFonts w:hint="eastAsia" w:ascii="Times New Roman" w:hAnsi="Times New Roman" w:eastAsia="仿宋_GB2312" w:cs="Times New Roman"/>
          <w:color w:val="auto"/>
          <w:sz w:val="32"/>
          <w:szCs w:val="32"/>
          <w:u w:val="none"/>
          <w:lang w:val="en-US" w:eastAsia="zh-CN"/>
        </w:rPr>
        <w:t>国有资本经营预算财政拨款</w:t>
      </w:r>
      <w:r>
        <w:rPr>
          <w:rFonts w:hint="default" w:ascii="Times New Roman" w:hAnsi="Times New Roman" w:eastAsia="仿宋_GB2312" w:cs="Times New Roman"/>
          <w:color w:val="auto"/>
          <w:sz w:val="32"/>
          <w:szCs w:val="32"/>
          <w:u w:val="none"/>
        </w:rPr>
        <w:t>资金安排的支出</w:t>
      </w:r>
      <w:r>
        <w:rPr>
          <w:rFonts w:hint="eastAsia" w:ascii="Times New Roman" w:hAnsi="Times New Roman" w:eastAsia="仿宋_GB2312" w:cs="Times New Roman"/>
          <w:color w:val="auto"/>
          <w:sz w:val="32"/>
          <w:szCs w:val="32"/>
          <w:u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东兴镇中心卫生院</w:t>
      </w:r>
      <w:r>
        <w:rPr>
          <w:rFonts w:hint="eastAsia" w:ascii="仿宋" w:hAnsi="仿宋" w:eastAsia="仿宋" w:cs="仿宋"/>
          <w:color w:val="auto"/>
          <w:sz w:val="32"/>
          <w:szCs w:val="32"/>
          <w:highlight w:val="none"/>
        </w:rPr>
        <w:t>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东兴镇中心卫生院</w:t>
      </w:r>
      <w:r>
        <w:rPr>
          <w:rFonts w:hint="eastAsia" w:ascii="仿宋" w:hAnsi="仿宋" w:eastAsia="仿宋" w:cs="仿宋"/>
          <w:color w:val="auto"/>
          <w:sz w:val="32"/>
          <w:szCs w:val="32"/>
          <w:highlight w:val="none"/>
        </w:rPr>
        <w:t>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bookmarkStart w:id="2" w:name="PO_part3A5B1C1DiffReason1"/>
      <w:r>
        <w:rPr>
          <w:rFonts w:hint="eastAsia" w:ascii="仿宋_GB2312" w:hAnsi="Times New Roman" w:eastAsia="仿宋_GB2312" w:cs="Times New Roman"/>
          <w:color w:val="auto"/>
          <w:sz w:val="32"/>
          <w:szCs w:val="32"/>
          <w:lang w:eastAsia="zh-CN"/>
        </w:rPr>
        <w:t>东兴镇中心卫生院</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2"/>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w:t>
      </w:r>
      <w:r>
        <w:rPr>
          <w:rFonts w:hint="eastAsia" w:ascii="仿宋" w:hAnsi="仿宋" w:eastAsia="仿宋" w:cs="仿宋"/>
          <w:color w:val="auto"/>
          <w:kern w:val="2"/>
          <w:sz w:val="32"/>
          <w:szCs w:val="32"/>
          <w:highlight w:val="none"/>
          <w:lang w:val="en-US" w:eastAsia="zh-CN" w:bidi="ar"/>
        </w:rPr>
        <w:t>原因是：公务会议接待费使用。</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（一）因公出国（境）费支出</w:t>
      </w:r>
      <w:r>
        <w:rPr>
          <w:rFonts w:hint="eastAsia" w:ascii="Times New Roman" w:hAnsi="Times New Roman" w:eastAsia="仿宋_GB2312" w:cs="Times New Roman"/>
          <w:color w:val="auto"/>
          <w:kern w:val="0"/>
          <w:sz w:val="32"/>
          <w:szCs w:val="32"/>
          <w:u w:val="none"/>
          <w:lang w:val="en-US" w:eastAsia="zh-CN"/>
        </w:rPr>
        <w:t>0</w:t>
      </w:r>
      <w:r>
        <w:rPr>
          <w:rFonts w:hint="default" w:ascii="Times New Roman" w:hAnsi="Times New Roman" w:eastAsia="仿宋_GB2312" w:cs="Times New Roman"/>
          <w:color w:val="auto"/>
          <w:kern w:val="0"/>
          <w:sz w:val="32"/>
          <w:szCs w:val="32"/>
          <w:u w:val="none"/>
        </w:rPr>
        <w:t xml:space="preserve">万元，完成年初预算的 </w:t>
      </w:r>
      <w:r>
        <w:rPr>
          <w:rFonts w:hint="eastAsia" w:ascii="Times New Roman" w:hAnsi="Times New Roman" w:eastAsia="仿宋_GB2312" w:cs="Times New Roman"/>
          <w:color w:val="auto"/>
          <w:kern w:val="0"/>
          <w:sz w:val="32"/>
          <w:szCs w:val="32"/>
          <w:u w:val="none"/>
          <w:lang w:val="en-US" w:eastAsia="zh-CN"/>
        </w:rPr>
        <w:t>100</w:t>
      </w:r>
      <w:r>
        <w:rPr>
          <w:rFonts w:hint="default" w:ascii="Times New Roman" w:hAnsi="Times New Roman" w:eastAsia="仿宋_GB2312" w:cs="Times New Roman"/>
          <w:color w:val="auto"/>
          <w:kern w:val="0"/>
          <w:sz w:val="32"/>
          <w:szCs w:val="32"/>
          <w:u w:val="none"/>
        </w:rPr>
        <w:t xml:space="preserve"> %，比上年增减（减少）</w:t>
      </w:r>
      <w:r>
        <w:rPr>
          <w:rFonts w:hint="eastAsia" w:ascii="Times New Roman" w:hAnsi="Times New Roman" w:eastAsia="仿宋_GB2312" w:cs="Times New Roman"/>
          <w:color w:val="auto"/>
          <w:kern w:val="0"/>
          <w:sz w:val="32"/>
          <w:szCs w:val="32"/>
          <w:u w:val="none"/>
          <w:lang w:val="en-US" w:eastAsia="zh-CN"/>
        </w:rPr>
        <w:t>0</w:t>
      </w:r>
      <w:r>
        <w:rPr>
          <w:rFonts w:hint="default" w:ascii="Times New Roman" w:hAnsi="Times New Roman" w:eastAsia="仿宋_GB2312" w:cs="Times New Roman"/>
          <w:color w:val="auto"/>
          <w:kern w:val="0"/>
          <w:sz w:val="32"/>
          <w:szCs w:val="32"/>
          <w:u w:val="none"/>
        </w:rPr>
        <w:t>万元</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全年使用财政拨款安排</w:t>
      </w:r>
      <w:r>
        <w:rPr>
          <w:rFonts w:hint="default" w:ascii="Times New Roman" w:hAnsi="Times New Roman" w:eastAsia="仿宋_GB2312" w:cs="Times New Roman"/>
          <w:bCs/>
          <w:color w:val="auto"/>
          <w:sz w:val="32"/>
          <w:szCs w:val="32"/>
          <w:u w:val="none"/>
        </w:rPr>
        <w:t xml:space="preserve">  </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机关、</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 xml:space="preserve"> 个所属单位出国团组 </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 xml:space="preserve"> 个，参加其他单位组织的出国团组 </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 xml:space="preserve"> 个，全年因公出国（境）团组共计</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 xml:space="preserve">个，累计 </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人次。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（二）公务用车购置及运行费支出</w:t>
      </w:r>
      <w:r>
        <w:rPr>
          <w:rFonts w:hint="eastAsia" w:ascii="Times New Roman" w:hAnsi="Times New Roman" w:eastAsia="仿宋_GB2312" w:cs="Times New Roman"/>
          <w:color w:val="auto"/>
          <w:kern w:val="0"/>
          <w:sz w:val="32"/>
          <w:szCs w:val="32"/>
          <w:lang w:val="en-US" w:eastAsia="zh-CN"/>
        </w:rPr>
        <w:t>0</w:t>
      </w:r>
      <w:r>
        <w:rPr>
          <w:rFonts w:hint="default" w:ascii="Times New Roman" w:hAnsi="Times New Roman" w:eastAsia="仿宋_GB2312" w:cs="Times New Roman"/>
          <w:color w:val="auto"/>
          <w:kern w:val="0"/>
          <w:sz w:val="32"/>
          <w:szCs w:val="32"/>
        </w:rPr>
        <w:t>万元。其中：</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公务用车购置支出</w:t>
      </w:r>
      <w:r>
        <w:rPr>
          <w:rFonts w:hint="eastAsia" w:ascii="Times New Roman" w:hAnsi="Times New Roman" w:eastAsia="仿宋_GB2312" w:cs="Times New Roman"/>
          <w:color w:val="auto"/>
          <w:kern w:val="0"/>
          <w:sz w:val="32"/>
          <w:szCs w:val="32"/>
          <w:lang w:val="en-US" w:eastAsia="zh-CN"/>
        </w:rPr>
        <w:t>0</w:t>
      </w:r>
      <w:r>
        <w:rPr>
          <w:rFonts w:hint="default" w:ascii="Times New Roman" w:hAnsi="Times New Roman" w:eastAsia="仿宋_GB2312" w:cs="Times New Roman"/>
          <w:color w:val="auto"/>
          <w:kern w:val="0"/>
          <w:sz w:val="32"/>
          <w:szCs w:val="32"/>
        </w:rPr>
        <w:t>万元，完成年初预算的</w:t>
      </w:r>
      <w:r>
        <w:rPr>
          <w:rFonts w:hint="eastAsia" w:ascii="Times New Roman" w:hAnsi="Times New Roman" w:eastAsia="仿宋_GB2312" w:cs="Times New Roman"/>
          <w:color w:val="auto"/>
          <w:kern w:val="0"/>
          <w:sz w:val="32"/>
          <w:szCs w:val="32"/>
          <w:lang w:val="en-US" w:eastAsia="zh-CN"/>
        </w:rPr>
        <w:t>100</w:t>
      </w:r>
      <w:r>
        <w:rPr>
          <w:rFonts w:hint="default" w:ascii="Times New Roman" w:hAnsi="Times New Roman" w:eastAsia="仿宋_GB2312" w:cs="Times New Roman"/>
          <w:color w:val="auto"/>
          <w:kern w:val="0"/>
          <w:sz w:val="32"/>
          <w:szCs w:val="32"/>
        </w:rPr>
        <w:t xml:space="preserve"> %，比上年增</w:t>
      </w:r>
      <w:r>
        <w:rPr>
          <w:rFonts w:hint="eastAsia" w:ascii="Times New Roman" w:hAnsi="Times New Roman" w:eastAsia="仿宋_GB2312" w:cs="Times New Roman"/>
          <w:color w:val="auto"/>
          <w:kern w:val="0"/>
          <w:sz w:val="32"/>
          <w:szCs w:val="32"/>
          <w:lang w:val="en-US" w:eastAsia="zh-CN"/>
        </w:rPr>
        <w:t>长0万元。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公务用车运行支出</w:t>
      </w:r>
      <w:r>
        <w:rPr>
          <w:rFonts w:hint="eastAsia" w:ascii="Times New Roman" w:hAnsi="Times New Roman" w:eastAsia="仿宋_GB2312" w:cs="Times New Roman"/>
          <w:color w:val="auto"/>
          <w:kern w:val="0"/>
          <w:sz w:val="32"/>
          <w:szCs w:val="32"/>
          <w:lang w:val="en-US" w:eastAsia="zh-CN"/>
        </w:rPr>
        <w:t>0</w:t>
      </w:r>
      <w:r>
        <w:rPr>
          <w:rFonts w:hint="default" w:ascii="Times New Roman" w:hAnsi="Times New Roman" w:eastAsia="仿宋_GB2312" w:cs="Times New Roman"/>
          <w:color w:val="auto"/>
          <w:kern w:val="0"/>
          <w:sz w:val="32"/>
          <w:szCs w:val="32"/>
          <w:u w:val="none"/>
        </w:rPr>
        <w:t>万元，完成年初预算的</w:t>
      </w:r>
      <w:r>
        <w:rPr>
          <w:rFonts w:hint="eastAsia" w:ascii="Times New Roman" w:hAnsi="Times New Roman" w:eastAsia="仿宋_GB2312" w:cs="Times New Roman"/>
          <w:color w:val="auto"/>
          <w:kern w:val="0"/>
          <w:sz w:val="32"/>
          <w:szCs w:val="32"/>
          <w:u w:val="none"/>
          <w:lang w:val="en-US" w:eastAsia="zh-CN"/>
        </w:rPr>
        <w:t>100</w:t>
      </w:r>
      <w:r>
        <w:rPr>
          <w:rFonts w:hint="default" w:ascii="Times New Roman" w:hAnsi="Times New Roman" w:eastAsia="仿宋_GB2312" w:cs="Times New Roman"/>
          <w:color w:val="auto"/>
          <w:kern w:val="0"/>
          <w:sz w:val="32"/>
          <w:szCs w:val="32"/>
          <w:u w:val="none"/>
        </w:rPr>
        <w:t xml:space="preserve"> %，比上年增</w:t>
      </w:r>
      <w:r>
        <w:rPr>
          <w:rFonts w:hint="eastAsia" w:ascii="Times New Roman" w:hAnsi="Times New Roman" w:eastAsia="仿宋_GB2312" w:cs="Times New Roman"/>
          <w:color w:val="auto"/>
          <w:kern w:val="0"/>
          <w:sz w:val="32"/>
          <w:szCs w:val="32"/>
          <w:u w:val="none"/>
          <w:lang w:val="en-US" w:eastAsia="zh-CN"/>
        </w:rPr>
        <w:t>加0</w:t>
      </w:r>
      <w:r>
        <w:rPr>
          <w:rFonts w:hint="default" w:ascii="Times New Roman" w:hAnsi="Times New Roman" w:eastAsia="仿宋_GB2312" w:cs="Times New Roman"/>
          <w:color w:val="auto"/>
          <w:kern w:val="0"/>
          <w:sz w:val="32"/>
          <w:szCs w:val="32"/>
          <w:u w:val="none"/>
        </w:rPr>
        <w:t xml:space="preserve"> 万元。202</w:t>
      </w:r>
      <w:r>
        <w:rPr>
          <w:rFonts w:hint="eastAsia"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年，</w:t>
      </w:r>
      <w:r>
        <w:rPr>
          <w:rFonts w:hint="eastAsia" w:ascii="Times New Roman" w:hAnsi="Times New Roman" w:eastAsia="仿宋_GB2312" w:cs="Times New Roman"/>
          <w:color w:val="auto"/>
          <w:kern w:val="0"/>
          <w:sz w:val="32"/>
          <w:szCs w:val="32"/>
          <w:u w:val="none"/>
          <w:lang w:val="en-US" w:eastAsia="zh-CN"/>
        </w:rPr>
        <w:t>0</w:t>
      </w:r>
      <w:r>
        <w:rPr>
          <w:rFonts w:hint="default" w:ascii="Times New Roman" w:hAnsi="Times New Roman" w:eastAsia="仿宋_GB2312" w:cs="Times New Roman"/>
          <w:bCs/>
          <w:color w:val="auto"/>
          <w:sz w:val="32"/>
          <w:szCs w:val="32"/>
          <w:u w:val="none"/>
        </w:rPr>
        <w:t>个所属单位开支财政拨款的公务用车保有量为</w:t>
      </w:r>
      <w:r>
        <w:rPr>
          <w:rFonts w:hint="eastAsia" w:ascii="Times New Roman" w:hAnsi="Times New Roman" w:eastAsia="仿宋_GB2312" w:cs="Times New Roman"/>
          <w:bCs/>
          <w:color w:val="auto"/>
          <w:sz w:val="32"/>
          <w:szCs w:val="32"/>
          <w:u w:val="none"/>
          <w:lang w:val="en-US" w:eastAsia="zh-CN"/>
        </w:rPr>
        <w:t>0</w:t>
      </w:r>
      <w:r>
        <w:rPr>
          <w:rFonts w:hint="default" w:ascii="Times New Roman" w:hAnsi="Times New Roman" w:eastAsia="仿宋_GB2312" w:cs="Times New Roman"/>
          <w:bCs/>
          <w:color w:val="auto"/>
          <w:sz w:val="32"/>
          <w:szCs w:val="32"/>
          <w:u w:val="none"/>
        </w:rPr>
        <w:t>辆，全年运行</w:t>
      </w:r>
      <w:r>
        <w:rPr>
          <w:rFonts w:hint="default" w:ascii="Times New Roman" w:hAnsi="Times New Roman" w:eastAsia="仿宋_GB2312" w:cs="Times New Roman"/>
          <w:bCs/>
          <w:color w:val="auto"/>
          <w:sz w:val="32"/>
          <w:szCs w:val="32"/>
        </w:rPr>
        <w:t>费支出</w:t>
      </w:r>
      <w:r>
        <w:rPr>
          <w:rFonts w:hint="eastAsia" w:ascii="Times New Roman" w:hAnsi="Times New Roman"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rPr>
        <w:t>万元，平均每辆</w:t>
      </w:r>
      <w:r>
        <w:rPr>
          <w:rFonts w:hint="eastAsia" w:ascii="Times New Roman" w:hAnsi="Times New Roman"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w:t>
      </w:r>
      <w:r>
        <w:rPr>
          <w:rFonts w:hint="eastAsia" w:ascii="Times New Roman" w:hAnsi="Times New Roman" w:eastAsia="仿宋_GB2312" w:cs="Times New Roman"/>
          <w:color w:val="auto"/>
          <w:kern w:val="0"/>
          <w:sz w:val="32"/>
          <w:szCs w:val="32"/>
          <w:u w:val="none"/>
        </w:rPr>
        <w:t>公务接待费支出</w:t>
      </w:r>
      <w:r>
        <w:rPr>
          <w:rFonts w:hint="eastAsia" w:ascii="Times New Roman" w:hAnsi="Times New Roman" w:eastAsia="仿宋_GB2312" w:cs="Times New Roman"/>
          <w:color w:val="auto"/>
          <w:kern w:val="0"/>
          <w:sz w:val="32"/>
          <w:szCs w:val="32"/>
          <w:u w:val="none"/>
          <w:lang w:val="en-US" w:eastAsia="zh-CN"/>
        </w:rPr>
        <w:t>1</w:t>
      </w:r>
      <w:r>
        <w:rPr>
          <w:rFonts w:hint="eastAsia" w:ascii="Times New Roman" w:hAnsi="Times New Roman" w:eastAsia="仿宋_GB2312" w:cs="Times New Roman"/>
          <w:color w:val="auto"/>
          <w:kern w:val="0"/>
          <w:sz w:val="32"/>
          <w:szCs w:val="32"/>
          <w:u w:val="none"/>
        </w:rPr>
        <w:t>万元，完成年初预算的</w:t>
      </w:r>
      <w:r>
        <w:rPr>
          <w:rFonts w:hint="eastAsia" w:ascii="Times New Roman" w:hAnsi="Times New Roman" w:eastAsia="仿宋_GB2312" w:cs="Times New Roman"/>
          <w:color w:val="auto"/>
          <w:kern w:val="0"/>
          <w:sz w:val="32"/>
          <w:szCs w:val="32"/>
          <w:u w:val="none"/>
          <w:lang w:val="en-US" w:eastAsia="zh-CN"/>
        </w:rPr>
        <w:t>100</w:t>
      </w:r>
      <w:r>
        <w:rPr>
          <w:rFonts w:hint="default"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rPr>
        <w:t>， 比上年</w:t>
      </w:r>
      <w:r>
        <w:rPr>
          <w:rFonts w:hint="default" w:ascii="Times New Roman" w:hAnsi="Times New Roman" w:eastAsia="仿宋_GB2312" w:cs="Times New Roman"/>
          <w:color w:val="auto"/>
          <w:kern w:val="0"/>
          <w:sz w:val="32"/>
          <w:szCs w:val="32"/>
          <w:u w:val="none"/>
        </w:rPr>
        <w:t>增加</w:t>
      </w:r>
      <w:r>
        <w:rPr>
          <w:rFonts w:hint="eastAsia" w:ascii="Times New Roman" w:hAnsi="Times New Roman" w:eastAsia="仿宋_GB2312" w:cs="Times New Roman"/>
          <w:color w:val="auto"/>
          <w:kern w:val="0"/>
          <w:sz w:val="32"/>
          <w:szCs w:val="32"/>
          <w:u w:val="none"/>
          <w:lang w:val="en-US" w:eastAsia="zh-CN"/>
        </w:rPr>
        <w:t>1</w:t>
      </w:r>
      <w:r>
        <w:rPr>
          <w:rFonts w:hint="eastAsia" w:ascii="Times New Roman" w:hAnsi="Times New Roman" w:eastAsia="仿宋_GB2312" w:cs="Times New Roman"/>
          <w:color w:val="auto"/>
          <w:kern w:val="0"/>
          <w:sz w:val="32"/>
          <w:szCs w:val="32"/>
          <w:u w:val="none"/>
        </w:rPr>
        <w:t>万元，</w:t>
      </w:r>
      <w:r>
        <w:rPr>
          <w:rFonts w:hint="eastAsia" w:ascii="Times New Roman" w:hAnsi="Times New Roman" w:eastAsia="仿宋_GB2312" w:cs="Times New Roman"/>
          <w:color w:val="auto"/>
          <w:kern w:val="0"/>
          <w:sz w:val="32"/>
          <w:szCs w:val="32"/>
          <w:u w:val="none"/>
          <w:lang w:val="en-US" w:eastAsia="zh-CN"/>
        </w:rPr>
        <w:t>主要原因是：公务会议接待费使用。</w:t>
      </w:r>
      <w:r>
        <w:rPr>
          <w:rFonts w:hint="eastAsia" w:ascii="Times New Roman" w:hAnsi="Times New Roman" w:eastAsia="仿宋_GB2312" w:cs="Times New Roman"/>
          <w:color w:val="auto"/>
          <w:kern w:val="0"/>
          <w:sz w:val="32"/>
          <w:szCs w:val="32"/>
          <w:u w:val="none"/>
        </w:rPr>
        <w:t>国内公务接待批次</w:t>
      </w:r>
      <w:r>
        <w:rPr>
          <w:rFonts w:hint="eastAsia" w:ascii="Times New Roman" w:hAnsi="Times New Roman" w:eastAsia="仿宋_GB2312" w:cs="Times New Roman"/>
          <w:color w:val="auto"/>
          <w:kern w:val="0"/>
          <w:sz w:val="32"/>
          <w:szCs w:val="32"/>
          <w:u w:val="none"/>
          <w:lang w:val="en-US" w:eastAsia="zh-CN"/>
        </w:rPr>
        <w:t>15</w:t>
      </w:r>
      <w:r>
        <w:rPr>
          <w:rFonts w:hint="eastAsia" w:ascii="Times New Roman" w:hAnsi="Times New Roman" w:eastAsia="仿宋_GB2312" w:cs="Times New Roman"/>
          <w:color w:val="auto"/>
          <w:kern w:val="0"/>
          <w:sz w:val="32"/>
          <w:szCs w:val="32"/>
          <w:u w:val="none"/>
        </w:rPr>
        <w:t>次，人次</w:t>
      </w:r>
      <w:r>
        <w:rPr>
          <w:rFonts w:hint="eastAsia" w:ascii="Times New Roman" w:hAnsi="Times New Roman" w:eastAsia="仿宋_GB2312" w:cs="Times New Roman"/>
          <w:color w:val="auto"/>
          <w:kern w:val="0"/>
          <w:sz w:val="32"/>
          <w:szCs w:val="32"/>
          <w:u w:val="none"/>
          <w:lang w:val="en-US" w:eastAsia="zh-CN"/>
        </w:rPr>
        <w:t>60</w:t>
      </w:r>
      <w:r>
        <w:rPr>
          <w:rFonts w:hint="eastAsia" w:ascii="Times New Roman" w:hAnsi="Times New Roman" w:eastAsia="仿宋_GB2312" w:cs="Times New Roman"/>
          <w:color w:val="auto"/>
          <w:kern w:val="0"/>
          <w:sz w:val="32"/>
          <w:szCs w:val="32"/>
          <w:u w:val="none"/>
        </w:rPr>
        <w:t>次，国（境）外公务接待批次</w:t>
      </w:r>
      <w:r>
        <w:rPr>
          <w:rFonts w:hint="default" w:ascii="Times New Roman" w:hAnsi="Times New Roman" w:eastAsia="仿宋_GB2312" w:cs="Times New Roman"/>
          <w:color w:val="auto"/>
          <w:kern w:val="0"/>
          <w:sz w:val="32"/>
          <w:szCs w:val="32"/>
          <w:u w:val="none"/>
        </w:rPr>
        <w:t>0</w:t>
      </w:r>
      <w:r>
        <w:rPr>
          <w:rFonts w:hint="eastAsia" w:ascii="Times New Roman" w:hAnsi="Times New Roman" w:eastAsia="仿宋_GB2312" w:cs="Times New Roman"/>
          <w:color w:val="auto"/>
          <w:kern w:val="0"/>
          <w:sz w:val="32"/>
          <w:szCs w:val="32"/>
          <w:u w:val="none"/>
        </w:rPr>
        <w:t>次，人次</w:t>
      </w:r>
      <w:r>
        <w:rPr>
          <w:rFonts w:hint="default" w:ascii="Times New Roman" w:hAnsi="Times New Roman" w:eastAsia="仿宋_GB2312" w:cs="Times New Roman"/>
          <w:color w:val="auto"/>
          <w:kern w:val="0"/>
          <w:sz w:val="32"/>
          <w:szCs w:val="32"/>
          <w:u w:val="none"/>
        </w:rPr>
        <w:t>0</w:t>
      </w:r>
      <w:r>
        <w:rPr>
          <w:rFonts w:hint="eastAsia" w:ascii="Times New Roman" w:hAnsi="Times New Roman" w:eastAsia="仿宋_GB2312" w:cs="Times New Roman"/>
          <w:color w:val="auto"/>
          <w:kern w:val="0"/>
          <w:sz w:val="32"/>
          <w:szCs w:val="32"/>
          <w:u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rPr>
        <w:t>本部门202</w:t>
      </w: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年度机关运行经费支出</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万元（与部门决算中行政单位和参照公务员法管理事业单位一般公共预算财政拨款基本支出中公用经费之和一致），比年初预算数增加</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万元，增长</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%，比上年决算数增加</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万元，增长</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%。比2020年增加</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万元，增长</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w:t>
      </w:r>
      <w:r>
        <w:rPr>
          <w:rFonts w:hint="eastAsia" w:ascii="Times New Roman" w:hAnsi="Times New Roman" w:eastAsia="仿宋_GB2312" w:cs="Times New Roman"/>
          <w:b w:val="0"/>
          <w:bCs w:val="0"/>
          <w:color w:val="auto"/>
          <w:kern w:val="0"/>
          <w:sz w:val="32"/>
          <w:szCs w:val="32"/>
          <w:lang w:val="en-US" w:eastAsia="zh-CN"/>
        </w:rPr>
        <w:t>原因是：</w:t>
      </w:r>
      <w:r>
        <w:rPr>
          <w:rFonts w:hint="default" w:ascii="Times New Roman" w:hAnsi="Times New Roman" w:eastAsia="仿宋_GB2312" w:cs="Times New Roman"/>
          <w:b w:val="0"/>
          <w:bCs w:val="0"/>
          <w:color w:val="auto"/>
          <w:kern w:val="0"/>
          <w:sz w:val="32"/>
          <w:szCs w:val="32"/>
        </w:rPr>
        <w:t>本部门无机关运行经费支出</w:t>
      </w:r>
      <w:r>
        <w:rPr>
          <w:rFonts w:hint="eastAsia" w:ascii="Times New Roman" w:hAnsi="Times New Roman" w:eastAsia="仿宋_GB2312" w:cs="Times New Roman"/>
          <w:b w:val="0"/>
          <w:bCs w:val="0"/>
          <w:color w:val="auto"/>
          <w:kern w:val="0"/>
          <w:sz w:val="32"/>
          <w:szCs w:val="32"/>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default" w:ascii="Times New Roman" w:hAnsi="Times New Roman" w:eastAsia="仿宋_GB2312" w:cs="Times New Roman"/>
          <w:b w:val="0"/>
          <w:bCs w:val="0"/>
          <w:color w:val="auto"/>
          <w:kern w:val="0"/>
          <w:sz w:val="32"/>
          <w:szCs w:val="32"/>
        </w:rPr>
        <w:t>本部门202</w:t>
      </w: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年度政府采购支出总额</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万元，其中：政府采购货物支出</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万元、政府采购工程支出</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万元、政府采购服务支出</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万元。授予中小企业合同金额</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万元，占政府采购支出总额的 </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%，其中：授予小微企业合同金额</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万元，占授予中小企业合同金额的 </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w:t>
      </w:r>
      <w:r>
        <w:rPr>
          <w:rFonts w:hint="default"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原因是</w:t>
      </w:r>
      <w:r>
        <w:rPr>
          <w:rFonts w:hint="default" w:ascii="Times New Roman" w:hAnsi="Times New Roman" w:eastAsia="仿宋_GB2312" w:cs="Times New Roman"/>
          <w:b w:val="0"/>
          <w:bCs w:val="0"/>
          <w:color w:val="auto"/>
          <w:kern w:val="0"/>
          <w:sz w:val="32"/>
          <w:szCs w:val="32"/>
        </w:rPr>
        <w:t>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jc w:val="left"/>
        <w:rPr>
          <w:rFonts w:hint="eastAsia" w:ascii="黑体" w:hAnsi="黑体" w:eastAsia="黑体" w:cs="黑体"/>
          <w:sz w:val="32"/>
          <w:szCs w:val="32"/>
          <w:highlight w:val="none"/>
        </w:rPr>
      </w:pPr>
      <w:r>
        <w:rPr>
          <w:rFonts w:hint="default" w:ascii="Times New Roman" w:hAnsi="Times New Roman" w:eastAsia="仿宋_GB2312" w:cs="Times New Roman"/>
          <w:b w:val="0"/>
          <w:bCs w:val="0"/>
          <w:color w:val="auto"/>
          <w:kern w:val="0"/>
          <w:sz w:val="32"/>
          <w:szCs w:val="32"/>
        </w:rPr>
        <w:t>截至202</w:t>
      </w: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 xml:space="preserve">年12月31日，本部门共有车辆 </w:t>
      </w: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 xml:space="preserve"> 辆，其中：副部（省）级领导干部用车</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辆、机要通信用车</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辆、应急保障用车</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辆、执法执勤用车</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辆、特种专业技术用车 </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辆、其他用车</w:t>
      </w: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辆，其他用车主要是</w:t>
      </w:r>
      <w:r>
        <w:rPr>
          <w:rFonts w:hint="eastAsia" w:ascii="Times New Roman" w:hAnsi="Times New Roman" w:eastAsia="仿宋_GB2312" w:cs="Times New Roman"/>
          <w:b w:val="0"/>
          <w:bCs w:val="0"/>
          <w:color w:val="auto"/>
          <w:kern w:val="0"/>
          <w:sz w:val="32"/>
          <w:szCs w:val="32"/>
          <w:lang w:val="en-US" w:eastAsia="zh-CN"/>
        </w:rPr>
        <w:t>本部门共有2辆车辆，其中2辆都是为救护车</w:t>
      </w:r>
      <w:r>
        <w:rPr>
          <w:rFonts w:hint="default" w:ascii="Times New Roman" w:hAnsi="Times New Roman" w:eastAsia="仿宋_GB2312" w:cs="Times New Roman"/>
          <w:b w:val="0"/>
          <w:bCs w:val="0"/>
          <w:color w:val="auto"/>
          <w:kern w:val="0"/>
          <w:sz w:val="32"/>
          <w:szCs w:val="32"/>
        </w:rPr>
        <w:t xml:space="preserve">；单位价值50万元以上通用设备 </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台（套）；单位价值100万元以上专用设备 </w:t>
      </w:r>
      <w:r>
        <w:rPr>
          <w:rFonts w:hint="eastAsia" w:ascii="Times New Roman" w:hAnsi="Times New Roman" w:eastAsia="仿宋_GB2312" w:cs="Times New Roman"/>
          <w:b w:val="0"/>
          <w:bCs w:val="0"/>
          <w:color w:val="auto"/>
          <w:kern w:val="0"/>
          <w:sz w:val="32"/>
          <w:szCs w:val="32"/>
          <w:lang w:val="en-US" w:eastAsia="zh-CN"/>
        </w:rPr>
        <w:t>0</w:t>
      </w:r>
      <w:r>
        <w:rPr>
          <w:rFonts w:hint="default" w:ascii="Times New Roman" w:hAnsi="Times New Roman" w:eastAsia="仿宋_GB2312" w:cs="Times New Roman"/>
          <w:b w:val="0"/>
          <w:bCs w:val="0"/>
          <w:color w:val="auto"/>
          <w:kern w:val="0"/>
          <w:sz w:val="32"/>
          <w:szCs w:val="32"/>
        </w:rPr>
        <w:t xml:space="preserve"> 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left"/>
        <w:textAlignment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_GB2312" w:hAnsi="仿宋_GB2312" w:eastAsia="仿宋_GB2312" w:cs="Times New Roman"/>
          <w:sz w:val="32"/>
          <w:szCs w:val="32"/>
          <w:lang w:val="en-US" w:eastAsia="zh-CN"/>
        </w:rPr>
        <w:t>57.94</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_GB2312" w:hAnsi="仿宋_GB2312" w:eastAsia="仿宋_GB2312" w:cs="仿宋_GB2312"/>
          <w:i w:val="0"/>
          <w:iCs w:val="0"/>
          <w:caps w:val="0"/>
          <w:color w:val="333333"/>
          <w:spacing w:val="0"/>
          <w:sz w:val="32"/>
          <w:szCs w:val="32"/>
          <w:lang w:eastAsia="zh-CN"/>
        </w:rPr>
        <w:t>调整后预算数</w:t>
      </w:r>
      <w:r>
        <w:rPr>
          <w:rFonts w:hint="eastAsia" w:ascii="仿宋_GB2312" w:hAnsi="仿宋_GB2312" w:eastAsia="仿宋_GB2312" w:cs="Times New Roman"/>
          <w:sz w:val="32"/>
          <w:szCs w:val="32"/>
          <w:lang w:val="en-US" w:eastAsia="zh-CN"/>
        </w:rPr>
        <w:t>57.94</w:t>
      </w:r>
      <w:r>
        <w:rPr>
          <w:rFonts w:hint="eastAsia" w:ascii="仿宋_GB2312" w:hAnsi="仿宋_GB2312" w:eastAsia="仿宋_GB2312" w:cs="仿宋_GB2312"/>
          <w:i w:val="0"/>
          <w:iCs w:val="0"/>
          <w:caps w:val="0"/>
          <w:color w:val="333333"/>
          <w:spacing w:val="0"/>
          <w:sz w:val="32"/>
          <w:szCs w:val="32"/>
          <w:lang w:val="en-US" w:eastAsia="zh-CN"/>
        </w:rPr>
        <w:t>万元，全年执行数</w:t>
      </w:r>
      <w:r>
        <w:rPr>
          <w:rFonts w:hint="eastAsia" w:ascii="仿宋_GB2312" w:hAnsi="仿宋_GB2312" w:eastAsia="仿宋_GB2312" w:cs="Times New Roman"/>
          <w:sz w:val="32"/>
          <w:szCs w:val="32"/>
          <w:lang w:val="en-US" w:eastAsia="zh-CN"/>
        </w:rPr>
        <w:t>57.94</w:t>
      </w:r>
      <w:r>
        <w:rPr>
          <w:rFonts w:hint="eastAsia" w:ascii="仿宋_GB2312" w:hAnsi="仿宋_GB2312" w:eastAsia="仿宋_GB2312" w:cs="仿宋_GB2312"/>
          <w:i w:val="0"/>
          <w:iCs w:val="0"/>
          <w:caps w:val="0"/>
          <w:color w:val="333333"/>
          <w:spacing w:val="0"/>
          <w:sz w:val="32"/>
          <w:szCs w:val="32"/>
          <w:lang w:val="en-US" w:eastAsia="zh-CN"/>
        </w:rPr>
        <w:t>万元，预算执行率100%</w:t>
      </w:r>
      <w:r>
        <w:rPr>
          <w:rFonts w:hint="eastAsia" w:ascii="仿宋_GB2312" w:hAnsi="仿宋_GB2312" w:eastAsia="仿宋_GB2312" w:cs="仿宋_GB2312"/>
          <w:i w:val="0"/>
          <w:iCs w:val="0"/>
          <w:caps w:val="0"/>
          <w:color w:val="333333"/>
          <w:spacing w:val="0"/>
          <w:sz w:val="32"/>
          <w:szCs w:val="32"/>
        </w:rPr>
        <w:t>。</w:t>
      </w:r>
      <w:r>
        <w:rPr>
          <w:rFonts w:hint="eastAsia" w:ascii="仿宋" w:hAnsi="仿宋" w:eastAsia="仿宋" w:cs="仿宋"/>
          <w:color w:val="000000" w:themeColor="text1"/>
          <w:sz w:val="32"/>
          <w:szCs w:val="32"/>
          <w14:textFill>
            <w14:solidFill>
              <w14:schemeClr w14:val="tx1"/>
            </w14:solidFill>
          </w14:textFill>
        </w:rPr>
        <w:t>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项目支出安排情况：年初预算数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sz w:val="32"/>
          <w:szCs w:val="32"/>
          <w:lang w:eastAsia="zh-CN"/>
        </w:rPr>
        <w:t>项目支出执行情况：年初预算数</w:t>
      </w:r>
      <w:r>
        <w:rPr>
          <w:rFonts w:hint="eastAsia" w:ascii="仿宋_GB2312" w:hAnsi="仿宋_GB2312" w:eastAsia="仿宋_GB2312" w:cs="仿宋_GB2312"/>
          <w:i w:val="0"/>
          <w:iCs w:val="0"/>
          <w:caps w:val="0"/>
          <w:color w:val="333333"/>
          <w:spacing w:val="0"/>
          <w:sz w:val="32"/>
          <w:szCs w:val="32"/>
          <w:lang w:val="en-US" w:eastAsia="zh-CN"/>
        </w:rPr>
        <w:t>0</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_GB2312" w:eastAsia="仿宋_GB2312" w:cs="Times New Roman"/>
          <w:sz w:val="32"/>
          <w:szCs w:val="32"/>
          <w:lang w:eastAsia="zh-CN"/>
        </w:rPr>
        <w:t>根据工作安排要求我院针对项目开展使用资金的用途是否合规、有效，及时进行汇报总结，根据工作完成情况进行绩效自评。保证资金使用合理、合规、高效并严格遵守绩效自评工作的相关要求，保障资金合理使用。</w:t>
      </w:r>
      <w:r>
        <w:rPr>
          <w:rFonts w:hint="eastAsia" w:ascii="仿宋_GB2312" w:hAnsi="仿宋_GB2312" w:eastAsia="仿宋_GB2312" w:cs="Times New Roman"/>
          <w:sz w:val="32"/>
          <w:szCs w:val="32"/>
          <w:lang w:val="en-US" w:eastAsia="zh-CN"/>
        </w:rPr>
        <w:t xml:space="preserve"> </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部门决算中项目绩效自评结果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rPr>
          <w:rFonts w:hint="eastAsia" w:ascii="仿宋" w:hAnsi="仿宋" w:eastAsia="仿宋" w:cs="仿宋"/>
          <w:sz w:val="32"/>
          <w:szCs w:val="48"/>
          <w:lang w:val="en-US" w:eastAsia="zh-CN"/>
        </w:rPr>
      </w:pPr>
      <w:r>
        <w:rPr>
          <w:rFonts w:hint="eastAsia" w:ascii="仿宋" w:hAnsi="仿宋" w:eastAsia="仿宋" w:cs="仿宋"/>
          <w:sz w:val="32"/>
          <w:szCs w:val="48"/>
          <w:lang w:val="en-US" w:eastAsia="zh-CN"/>
        </w:rPr>
        <w:t>我部门根据年初设定的绩效目标，1.奖励性补贴项目自评得分为 93.13分，符合要求的在职人员奖励性补贴发放覆盖率，已按时发放，但由于预算过大，实际支付156600元，因此此项项目未达100分。2.补助市县乡镇卫生院人员工资补助经费项目自评得分为 100 分，未发现问题。3.中央财政基本药物制度补助资金项目自评得分为 100 分，未发现问题。4.中央财政基本公共卫生服务项目补助资金项目自评得分为 100 分，未发现问题。5.医药卫生体制改革和事业发展以奖代补项目自评得分为 100 分，未发现问题。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（2）项目评分等级分布情况：</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个项目自评为“一等”等级。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（3）财政拨款调整率大于等于30%的项目：无</w:t>
      </w:r>
    </w:p>
    <w:p>
      <w:pPr>
        <w:pStyle w:val="2"/>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eastAsia="仿宋" w:cs="仿宋"/>
          <w:b/>
          <w:bCs w:val="0"/>
          <w:color w:val="000000" w:themeColor="text1"/>
          <w:sz w:val="32"/>
          <w:szCs w:val="32"/>
          <w:lang w:val="en-US" w:eastAsia="zh-CN"/>
          <w14:textFill>
            <w14:solidFill>
              <w14:schemeClr w14:val="tx1"/>
            </w14:solidFill>
          </w14:textFill>
        </w:rPr>
        <w:t>经过自评发现以下问题</w:t>
      </w:r>
      <w:r>
        <w:rPr>
          <w:rFonts w:hint="eastAsia" w:ascii="仿宋" w:hAnsi="仿宋" w:eastAsia="仿宋" w:cs="仿宋"/>
          <w:b/>
          <w:bCs w:val="0"/>
          <w:color w:val="000000" w:themeColor="text1"/>
          <w:sz w:val="32"/>
          <w:szCs w:val="32"/>
          <w14:textFill>
            <w14:solidFill>
              <w14:schemeClr w14:val="tx1"/>
            </w14:solidFill>
          </w14:textFill>
        </w:rPr>
        <w:t>：</w:t>
      </w:r>
    </w:p>
    <w:p>
      <w:pPr>
        <w:pStyle w:val="2"/>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8"/>
          <w:lang w:val="en-US" w:eastAsia="zh-CN"/>
        </w:rPr>
      </w:pPr>
      <w:r>
        <w:rPr>
          <w:rFonts w:hint="eastAsia" w:ascii="仿宋" w:hAnsi="仿宋" w:eastAsia="仿宋" w:cs="仿宋"/>
          <w:sz w:val="32"/>
          <w:szCs w:val="48"/>
          <w:lang w:val="en-US" w:eastAsia="zh-CN"/>
        </w:rPr>
        <w:t>（一）对有些财务指标理解不是很透彻</w:t>
      </w:r>
      <w:r>
        <w:rPr>
          <w:rFonts w:hint="eastAsia" w:ascii="仿宋" w:eastAsia="仿宋" w:cs="仿宋"/>
          <w:sz w:val="32"/>
          <w:szCs w:val="48"/>
          <w:lang w:val="en-US" w:eastAsia="zh-CN"/>
        </w:rPr>
        <w:t>；</w:t>
      </w:r>
    </w:p>
    <w:p>
      <w:pPr>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32"/>
          <w:szCs w:val="36"/>
          <w:lang w:val="en-US" w:eastAsia="zh-CN"/>
        </w:rPr>
      </w:pPr>
      <w:r>
        <w:rPr>
          <w:rFonts w:hint="eastAsia" w:ascii="仿宋" w:hAnsi="仿宋" w:eastAsia="仿宋" w:cs="仿宋"/>
          <w:lang w:val="en-US" w:eastAsia="zh-CN"/>
        </w:rPr>
        <w:t xml:space="preserve">  </w:t>
      </w:r>
      <w:r>
        <w:rPr>
          <w:rFonts w:hint="eastAsia" w:ascii="仿宋" w:hAnsi="仿宋" w:eastAsia="仿宋" w:cs="仿宋"/>
          <w:sz w:val="32"/>
          <w:szCs w:val="36"/>
          <w:lang w:val="en-US" w:eastAsia="zh-CN"/>
        </w:rPr>
        <w:t>（二）财务制度不够完善和严谨。</w:t>
      </w:r>
    </w:p>
    <w:p>
      <w:pPr>
        <w:pageBreakBefore w:val="0"/>
        <w:widowControl w:val="0"/>
        <w:kinsoku/>
        <w:wordWrap/>
        <w:overflowPunct/>
        <w:topLinePunct w:val="0"/>
        <w:autoSpaceDE/>
        <w:autoSpaceDN/>
        <w:bidi w:val="0"/>
        <w:adjustRightInd/>
        <w:snapToGrid/>
        <w:ind w:firstLine="643" w:firstLineChars="200"/>
        <w:textAlignment w:val="auto"/>
        <w:rPr>
          <w:rFonts w:hint="eastAsia" w:ascii="仿宋" w:eastAsia="仿宋" w:cs="仿宋"/>
          <w:sz w:val="32"/>
          <w:szCs w:val="36"/>
          <w:lang w:val="en-US" w:eastAsia="zh-CN"/>
        </w:rPr>
      </w:pPr>
      <w:r>
        <w:rPr>
          <w:rFonts w:hint="eastAsia" w:ascii="仿宋" w:eastAsia="仿宋" w:cs="仿宋"/>
          <w:b/>
          <w:bCs w:val="0"/>
          <w:color w:val="000000" w:themeColor="text1"/>
          <w:sz w:val="32"/>
          <w:szCs w:val="32"/>
          <w:lang w:val="en-US" w:eastAsia="zh-CN"/>
          <w14:textFill>
            <w14:solidFill>
              <w14:schemeClr w14:val="tx1"/>
            </w14:solidFill>
          </w14:textFill>
        </w:rPr>
        <w:t>下</w:t>
      </w:r>
      <w:r>
        <w:rPr>
          <w:rFonts w:hint="eastAsia" w:ascii="仿宋" w:hAnsi="仿宋" w:eastAsia="仿宋" w:cs="仿宋"/>
          <w:b/>
          <w:bCs w:val="0"/>
          <w:color w:val="000000" w:themeColor="text1"/>
          <w:sz w:val="32"/>
          <w:szCs w:val="32"/>
          <w14:textFill>
            <w14:solidFill>
              <w14:schemeClr w14:val="tx1"/>
            </w14:solidFill>
          </w14:textFill>
        </w:rPr>
        <w:t>一步改进措施：</w:t>
      </w:r>
      <w:r>
        <w:rPr>
          <w:rFonts w:hint="eastAsia" w:ascii="仿宋" w:eastAsia="仿宋" w:cs="仿宋"/>
          <w:sz w:val="32"/>
          <w:szCs w:val="36"/>
          <w:lang w:val="en-US" w:eastAsia="zh-CN"/>
        </w:rPr>
        <w:t>（一）加强对业务的学习；(二)完善管理制度，进一步加强资产管理。进一步贯彻落实中火,省市的各项规章制度，建立“三公经费”等公务支出管理制度及厉行节约制度，加强经费审批和控制，规范支出标准与范围，并严格执行。严格按照《固定资产管理办法》的规定加强固定资产管理，及时登记、更新台账，加强资产卡片管理。</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atLeast"/>
        <w:ind w:right="0" w:right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 w:eastAsia="仿宋" w:cs="仿宋"/>
          <w:sz w:val="32"/>
          <w:szCs w:val="36"/>
          <w:lang w:val="en-US" w:eastAsia="zh-CN"/>
        </w:rPr>
        <w:t>（三）</w:t>
      </w:r>
      <w:r>
        <w:rPr>
          <w:rFonts w:hint="eastAsia" w:ascii="仿宋_GB2312" w:hAnsi="仿宋_GB2312" w:eastAsia="仿宋_GB2312" w:cs="仿宋_GB2312"/>
          <w:i w:val="0"/>
          <w:iCs w:val="0"/>
          <w:caps w:val="0"/>
          <w:color w:val="333333"/>
          <w:spacing w:val="0"/>
          <w:sz w:val="32"/>
          <w:szCs w:val="32"/>
        </w:rPr>
        <w:t>积极开展预算绩效管理工作。在今后的工作中，我</w:t>
      </w:r>
      <w:r>
        <w:rPr>
          <w:rFonts w:hint="eastAsia" w:ascii="仿宋_GB2312" w:hAnsi="仿宋_GB2312" w:eastAsia="仿宋_GB2312" w:cs="仿宋_GB2312"/>
          <w:i w:val="0"/>
          <w:iCs w:val="0"/>
          <w:caps w:val="0"/>
          <w:color w:val="333333"/>
          <w:spacing w:val="0"/>
          <w:sz w:val="32"/>
          <w:szCs w:val="32"/>
          <w:lang w:eastAsia="zh-CN"/>
        </w:rPr>
        <w:t>单位</w:t>
      </w:r>
      <w:r>
        <w:rPr>
          <w:rFonts w:hint="eastAsia" w:ascii="仿宋_GB2312" w:hAnsi="仿宋_GB2312" w:eastAsia="仿宋_GB2312" w:cs="仿宋_GB2312"/>
          <w:i w:val="0"/>
          <w:iCs w:val="0"/>
          <w:caps w:val="0"/>
          <w:color w:val="333333"/>
          <w:spacing w:val="0"/>
          <w:sz w:val="32"/>
          <w:szCs w:val="32"/>
        </w:rPr>
        <w:t>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pPr>
        <w:rPr>
          <w:rFonts w:hint="eastAsia"/>
        </w:rPr>
        <w:sectPr>
          <w:pgSz w:w="11906" w:h="16838"/>
          <w:pgMar w:top="1440" w:right="1800" w:bottom="1440" w:left="1800" w:header="851" w:footer="992" w:gutter="0"/>
          <w:cols w:space="0"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bookmarkStart w:id="3" w:name="_GoBack"/>
      <w:bookmarkEnd w:id="3"/>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83AA3"/>
    <w:multiLevelType w:val="singleLevel"/>
    <w:tmpl w:val="9FE83AA3"/>
    <w:lvl w:ilvl="0" w:tentative="0">
      <w:start w:val="2"/>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09ABB0D7"/>
    <w:multiLevelType w:val="singleLevel"/>
    <w:tmpl w:val="09ABB0D7"/>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wNmYzZWVhYWY3ZDFkNTY4ZmFiOTNhMWRhMDc2Nj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622001"/>
    <w:rsid w:val="02E0291A"/>
    <w:rsid w:val="037709BE"/>
    <w:rsid w:val="03A461C6"/>
    <w:rsid w:val="04E54546"/>
    <w:rsid w:val="05992762"/>
    <w:rsid w:val="07B0770E"/>
    <w:rsid w:val="08AF3CB8"/>
    <w:rsid w:val="0942143F"/>
    <w:rsid w:val="0D100297"/>
    <w:rsid w:val="0D202B45"/>
    <w:rsid w:val="0F8D4C87"/>
    <w:rsid w:val="10505FAA"/>
    <w:rsid w:val="105F7E7E"/>
    <w:rsid w:val="10873934"/>
    <w:rsid w:val="11E56B5B"/>
    <w:rsid w:val="125C77AB"/>
    <w:rsid w:val="1314709D"/>
    <w:rsid w:val="14CB726E"/>
    <w:rsid w:val="170E4165"/>
    <w:rsid w:val="17E92249"/>
    <w:rsid w:val="18D304F1"/>
    <w:rsid w:val="19F32577"/>
    <w:rsid w:val="19F45B80"/>
    <w:rsid w:val="1B0C078D"/>
    <w:rsid w:val="1B2B31E2"/>
    <w:rsid w:val="1B4C295A"/>
    <w:rsid w:val="1B973C63"/>
    <w:rsid w:val="1BA1001E"/>
    <w:rsid w:val="1D317259"/>
    <w:rsid w:val="1D6334B4"/>
    <w:rsid w:val="1E664F5B"/>
    <w:rsid w:val="1EB34BE1"/>
    <w:rsid w:val="20FD6D7F"/>
    <w:rsid w:val="215E639F"/>
    <w:rsid w:val="21EC3183"/>
    <w:rsid w:val="225E72CD"/>
    <w:rsid w:val="246E2F77"/>
    <w:rsid w:val="254B4E2B"/>
    <w:rsid w:val="283D7C94"/>
    <w:rsid w:val="28E227AF"/>
    <w:rsid w:val="29480E03"/>
    <w:rsid w:val="2983634D"/>
    <w:rsid w:val="2BB02055"/>
    <w:rsid w:val="2C575A56"/>
    <w:rsid w:val="2F257714"/>
    <w:rsid w:val="2F3275E5"/>
    <w:rsid w:val="30AA08EF"/>
    <w:rsid w:val="30D23D1C"/>
    <w:rsid w:val="31221CF5"/>
    <w:rsid w:val="31400178"/>
    <w:rsid w:val="321E3342"/>
    <w:rsid w:val="327759C8"/>
    <w:rsid w:val="33185FE3"/>
    <w:rsid w:val="34C5219B"/>
    <w:rsid w:val="34EE2E36"/>
    <w:rsid w:val="36777241"/>
    <w:rsid w:val="38A951DB"/>
    <w:rsid w:val="38B31605"/>
    <w:rsid w:val="39003F4F"/>
    <w:rsid w:val="3B662D5F"/>
    <w:rsid w:val="3C07002B"/>
    <w:rsid w:val="3D0D152A"/>
    <w:rsid w:val="3DF62756"/>
    <w:rsid w:val="3E243D7C"/>
    <w:rsid w:val="3F1B7587"/>
    <w:rsid w:val="418469E3"/>
    <w:rsid w:val="41E57B4F"/>
    <w:rsid w:val="42D2328E"/>
    <w:rsid w:val="432F26F6"/>
    <w:rsid w:val="43880F63"/>
    <w:rsid w:val="441C5A6F"/>
    <w:rsid w:val="44C44FCC"/>
    <w:rsid w:val="44CC7369"/>
    <w:rsid w:val="457F5108"/>
    <w:rsid w:val="46951B6B"/>
    <w:rsid w:val="49A34401"/>
    <w:rsid w:val="49F65643"/>
    <w:rsid w:val="4A3E30AB"/>
    <w:rsid w:val="4AC14DAC"/>
    <w:rsid w:val="4C051854"/>
    <w:rsid w:val="4D154C85"/>
    <w:rsid w:val="4EC8553A"/>
    <w:rsid w:val="508F4E24"/>
    <w:rsid w:val="51461E90"/>
    <w:rsid w:val="51463753"/>
    <w:rsid w:val="52553A93"/>
    <w:rsid w:val="53521F8B"/>
    <w:rsid w:val="53E22F47"/>
    <w:rsid w:val="54522FF8"/>
    <w:rsid w:val="54574766"/>
    <w:rsid w:val="55450629"/>
    <w:rsid w:val="56692963"/>
    <w:rsid w:val="568B0F48"/>
    <w:rsid w:val="5786217B"/>
    <w:rsid w:val="59337A15"/>
    <w:rsid w:val="59810274"/>
    <w:rsid w:val="5B2555BE"/>
    <w:rsid w:val="5CA96A00"/>
    <w:rsid w:val="5CF730BC"/>
    <w:rsid w:val="5D967917"/>
    <w:rsid w:val="5E5F0DCE"/>
    <w:rsid w:val="5F1C41C5"/>
    <w:rsid w:val="5FA40A7B"/>
    <w:rsid w:val="5FD56D29"/>
    <w:rsid w:val="5FEC7F3F"/>
    <w:rsid w:val="60F74BC3"/>
    <w:rsid w:val="617D3BF8"/>
    <w:rsid w:val="61841F6A"/>
    <w:rsid w:val="623007A9"/>
    <w:rsid w:val="623D56DA"/>
    <w:rsid w:val="637D7558"/>
    <w:rsid w:val="644F19AC"/>
    <w:rsid w:val="65073176"/>
    <w:rsid w:val="65AA4920"/>
    <w:rsid w:val="67694F1E"/>
    <w:rsid w:val="68240A69"/>
    <w:rsid w:val="689C20D7"/>
    <w:rsid w:val="68C41FDD"/>
    <w:rsid w:val="69597934"/>
    <w:rsid w:val="6A9F107A"/>
    <w:rsid w:val="6B964DDC"/>
    <w:rsid w:val="6C783074"/>
    <w:rsid w:val="6D9E65C6"/>
    <w:rsid w:val="6DA81947"/>
    <w:rsid w:val="6EB66DE2"/>
    <w:rsid w:val="6ED3075F"/>
    <w:rsid w:val="6F2A2D4B"/>
    <w:rsid w:val="6F8A0C1E"/>
    <w:rsid w:val="703F45D4"/>
    <w:rsid w:val="70744899"/>
    <w:rsid w:val="715D6546"/>
    <w:rsid w:val="71BE069E"/>
    <w:rsid w:val="727A2F1F"/>
    <w:rsid w:val="73953409"/>
    <w:rsid w:val="73E069A3"/>
    <w:rsid w:val="778154D2"/>
    <w:rsid w:val="78104AA8"/>
    <w:rsid w:val="78E257C5"/>
    <w:rsid w:val="794B35BE"/>
    <w:rsid w:val="7B0A3A31"/>
    <w:rsid w:val="7B3360ED"/>
    <w:rsid w:val="7B5319F3"/>
    <w:rsid w:val="7B924A6A"/>
    <w:rsid w:val="7BAE3DDB"/>
    <w:rsid w:val="7BDF037E"/>
    <w:rsid w:val="7BF50948"/>
    <w:rsid w:val="7CE66A78"/>
    <w:rsid w:val="7D23564C"/>
    <w:rsid w:val="7D5E062D"/>
    <w:rsid w:val="7DF76CD8"/>
    <w:rsid w:val="7ED73C4D"/>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11"/>
    <w:basedOn w:val="8"/>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一般公共预算财政拨款收入</c:v>
                </c:pt>
                <c:pt idx="1">
                  <c:v>其他收入</c:v>
                </c:pt>
                <c:pt idx="2">
                  <c:v>国有资本经营预算财政拨款收入</c:v>
                </c:pt>
                <c:pt idx="3">
                  <c:v>事业收入</c:v>
                </c:pt>
                <c:pt idx="4">
                  <c:v>经营收入</c:v>
                </c:pt>
              </c:strCache>
            </c:strRef>
          </c:cat>
          <c:val>
            <c:numRef>
              <c:f>Sheet1!$B$2:$B$6</c:f>
              <c:numCache>
                <c:formatCode>General</c:formatCode>
                <c:ptCount val="5"/>
                <c:pt idx="0">
                  <c:v>730.06</c:v>
                </c:pt>
                <c:pt idx="1">
                  <c:v>0</c:v>
                </c:pt>
                <c:pt idx="2">
                  <c:v>0</c:v>
                </c:pt>
                <c:pt idx="3">
                  <c:v>893.62</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社会保障和就业支出</c:v>
                </c:pt>
                <c:pt idx="1">
                  <c:v>卫生健康支出</c:v>
                </c:pt>
                <c:pt idx="2">
                  <c:v>其他支出</c:v>
                </c:pt>
                <c:pt idx="3">
                  <c:v>住房保障支出</c:v>
                </c:pt>
              </c:strCache>
            </c:strRef>
          </c:cat>
          <c:val>
            <c:numRef>
              <c:f>Sheet1!$B$2:$B$5</c:f>
              <c:numCache>
                <c:formatCode>General</c:formatCode>
                <c:ptCount val="4"/>
                <c:pt idx="0">
                  <c:v>42.11</c:v>
                </c:pt>
                <c:pt idx="1">
                  <c:v>1052.56</c:v>
                </c:pt>
                <c:pt idx="2">
                  <c:v>73.93</c:v>
                </c:pt>
                <c:pt idx="3">
                  <c:v>34.51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社会保障和就业支出</c:v>
                </c:pt>
                <c:pt idx="1">
                  <c:v>卫生健康支出</c:v>
                </c:pt>
                <c:pt idx="2">
                  <c:v>其他支出</c:v>
                </c:pt>
                <c:pt idx="3">
                  <c:v>住房保障支出</c:v>
                </c:pt>
              </c:strCache>
            </c:strRef>
          </c:cat>
          <c:val>
            <c:numRef>
              <c:f>Sheet1!$C$2:$C$5</c:f>
              <c:numCache>
                <c:formatCode>General</c:formatCode>
                <c:ptCount val="4"/>
                <c:pt idx="0">
                  <c:v>47.96</c:v>
                </c:pt>
                <c:pt idx="1">
                  <c:v>1468.15</c:v>
                </c:pt>
                <c:pt idx="2">
                  <c:v>52.36</c:v>
                </c:pt>
                <c:pt idx="3">
                  <c:v>32.55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社会保障和就业支出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2022年度预算数</c:v>
                </c:pt>
                <c:pt idx="1">
                  <c:v>2022年度决算数</c:v>
                </c:pt>
              </c:strCache>
            </c:strRef>
          </c:cat>
          <c:val>
            <c:numRef>
              <c:f>Sheet1!$B$2:$B$3</c:f>
              <c:numCache>
                <c:formatCode>General</c:formatCode>
                <c:ptCount val="2"/>
                <c:pt idx="0">
                  <c:v>49.21</c:v>
                </c:pt>
                <c:pt idx="1">
                  <c:v>47.96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卫生健康支出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2022年度预算数</c:v>
                </c:pt>
                <c:pt idx="1">
                  <c:v>2022年度决算数</c:v>
                </c:pt>
              </c:strCache>
            </c:strRef>
          </c:cat>
          <c:val>
            <c:numRef>
              <c:f>Sheet1!$B$2:$B$3</c:f>
              <c:numCache>
                <c:formatCode>General</c:formatCode>
                <c:ptCount val="2"/>
                <c:pt idx="0">
                  <c:v>337.47</c:v>
                </c:pt>
                <c:pt idx="1">
                  <c:v>597.2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住房公积金支出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2022年度预算数</c:v>
                </c:pt>
                <c:pt idx="1">
                  <c:v>2022年度决算数</c:v>
                </c:pt>
              </c:strCache>
            </c:strRef>
          </c:cat>
          <c:val>
            <c:numRef>
              <c:f>Sheet1!$B$2:$B$3</c:f>
              <c:numCache>
                <c:formatCode>General</c:formatCode>
                <c:ptCount val="2"/>
                <c:pt idx="0">
                  <c:v>37.87</c:v>
                </c:pt>
                <c:pt idx="1">
                  <c:v>34.51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241</c:v>
                </c:pt>
                <c:pt idx="1">
                  <c:v>35.04</c:v>
                </c:pt>
                <c:pt idx="2">
                  <c:v>15.45</c:v>
                </c:pt>
                <c:pt idx="3">
                  <c:v>6.88</c:v>
                </c:pt>
                <c:pt idx="4">
                  <c:v>30.03</c:v>
                </c:pt>
                <c:pt idx="5">
                  <c:v>47.96</c:v>
                </c:pt>
                <c:pt idx="6">
                  <c:v>0</c:v>
                </c:pt>
                <c:pt idx="7">
                  <c:v>18.14</c:v>
                </c:pt>
                <c:pt idx="8">
                  <c:v>0</c:v>
                </c:pt>
                <c:pt idx="9">
                  <c:v>4.39</c:v>
                </c:pt>
                <c:pt idx="10">
                  <c:v>32.55</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22.08</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7</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2023-11-27T02:27:35Z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DAF7C23D8EEA41CD96EF79F1AC2CC62D_13</vt:lpwstr>
  </property>
</Properties>
</file>