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both"/>
        <w:rPr>
          <w:rFonts w:hint="eastAsia" w:ascii="方正小标宋简体" w:eastAsia="方正小标宋简体" w:cs="ArialUnicodeMS"/>
          <w:kern w:val="0"/>
          <w:sz w:val="52"/>
          <w:szCs w:val="52"/>
          <w:lang w:eastAsia="zh-CN"/>
        </w:rPr>
      </w:pPr>
    </w:p>
    <w:p>
      <w:pPr>
        <w:jc w:val="center"/>
        <w:rPr>
          <w:rFonts w:hint="eastAsia" w:ascii="方正小标宋简体" w:hAnsi="黑体" w:eastAsia="方正小标宋简体"/>
          <w:bCs/>
          <w:color w:val="000000"/>
          <w:sz w:val="52"/>
          <w:szCs w:val="52"/>
        </w:rPr>
      </w:pPr>
      <w:r>
        <w:rPr>
          <w:rFonts w:hint="eastAsia" w:ascii="方正小标宋简体" w:eastAsia="方正小标宋简体" w:cs="ArialUnicodeMS"/>
          <w:kern w:val="0"/>
          <w:sz w:val="52"/>
          <w:szCs w:val="52"/>
          <w:lang w:eastAsia="zh-CN"/>
        </w:rPr>
        <w:t>环江</w:t>
      </w:r>
      <w:r>
        <w:rPr>
          <w:rFonts w:hint="eastAsia" w:ascii="方正小标宋简体" w:eastAsia="方正小标宋简体" w:cs="ArialUnicodeMS"/>
          <w:kern w:val="0"/>
          <w:sz w:val="52"/>
          <w:szCs w:val="52"/>
          <w:lang w:val="en-US" w:eastAsia="zh-CN"/>
        </w:rPr>
        <w:t>毛南族自治</w:t>
      </w:r>
      <w:r>
        <w:rPr>
          <w:rFonts w:hint="eastAsia" w:ascii="方正小标宋简体" w:eastAsia="方正小标宋简体" w:cs="ArialUnicodeMS"/>
          <w:kern w:val="0"/>
          <w:sz w:val="52"/>
          <w:szCs w:val="52"/>
          <w:lang w:eastAsia="zh-CN"/>
        </w:rPr>
        <w:t>县水源镇卫生院</w:t>
      </w:r>
    </w:p>
    <w:p>
      <w:pPr>
        <w:jc w:val="center"/>
        <w:rPr>
          <w:rFonts w:ascii="黑体" w:hAnsi="黑体" w:eastAsia="黑体" w:cs="黑体"/>
          <w:b/>
          <w:bCs/>
          <w:sz w:val="52"/>
          <w:szCs w:val="52"/>
          <w:highlight w:val="none"/>
        </w:rPr>
      </w:pPr>
      <w:r>
        <w:rPr>
          <w:rFonts w:hint="eastAsia" w:ascii="方正小标宋简体" w:eastAsia="方正小标宋简体"/>
          <w:kern w:val="0"/>
          <w:sz w:val="52"/>
          <w:szCs w:val="52"/>
        </w:rPr>
        <w:t>20</w:t>
      </w:r>
      <w:r>
        <w:rPr>
          <w:rFonts w:hint="eastAsia" w:ascii="方正小标宋简体" w:eastAsia="方正小标宋简体"/>
          <w:kern w:val="0"/>
          <w:sz w:val="52"/>
          <w:szCs w:val="52"/>
          <w:lang w:val="en-US" w:eastAsia="zh-CN"/>
        </w:rPr>
        <w:t>22</w:t>
      </w:r>
      <w:r>
        <w:rPr>
          <w:rFonts w:hint="eastAsia" w:ascii="方正小标宋简体" w:eastAsia="方正小标宋简体" w:cs="ArialUnicodeMS"/>
          <w:kern w:val="0"/>
          <w:sz w:val="52"/>
          <w:szCs w:val="52"/>
        </w:rPr>
        <w:t>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bookmarkStart w:id="7" w:name="_GoBack"/>
      <w:bookmarkEnd w:id="7"/>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水源镇卫生院</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水源镇卫生院</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水源镇卫生院</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val="en-US" w:eastAsia="zh-CN"/>
        </w:rPr>
        <w:t>水源镇卫生院</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widowControl/>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根据《环江毛南族自治县人民政府办公室关于印发环江毛南族自治县卫生和计划生育委员会主要职责内设机构和人员编制规定的通知》（环政办发[2015]168</w:t>
      </w:r>
      <w:r>
        <w:rPr>
          <w:rFonts w:hint="eastAsia" w:ascii="仿宋" w:hAnsi="仿宋" w:eastAsia="仿宋" w:cs="仿宋"/>
          <w:sz w:val="30"/>
          <w:szCs w:val="30"/>
          <w:lang w:eastAsia="zh-CN"/>
        </w:rPr>
        <w:t>号</w:t>
      </w:r>
      <w:r>
        <w:rPr>
          <w:rFonts w:hint="eastAsia" w:ascii="仿宋" w:hAnsi="仿宋" w:eastAsia="仿宋" w:cs="仿宋"/>
          <w:sz w:val="30"/>
          <w:szCs w:val="30"/>
        </w:rPr>
        <w:t>）文件规定，本部门主要职责是：</w:t>
      </w:r>
    </w:p>
    <w:p>
      <w:pPr>
        <w:widowControl/>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1、乡镇卫生院以公共卫生服务为主，综合提供预防、保健和基本医疗等服务。</w:t>
      </w:r>
    </w:p>
    <w:p>
      <w:pPr>
        <w:widowControl/>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2、加强农村疾病预防控制，做好传染病、地方病防治和疫情等农村突发性公共卫生事件报告工作，重点控制严重危害农民身体健康的传染病、地方病、职业病和寄生虫病等重大疾病。</w:t>
      </w:r>
    </w:p>
    <w:p>
      <w:pPr>
        <w:widowControl/>
        <w:spacing w:line="580" w:lineRule="exact"/>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3、认真执行儿童计划免疫。积极开展慢性非传染性疾病的防治工作。</w:t>
      </w:r>
    </w:p>
    <w:p>
      <w:pPr>
        <w:widowControl/>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4、做好农村孕产妇和儿童保健工作，提高住院分娩率，改善儿童营养状况。</w:t>
      </w:r>
    </w:p>
    <w:p>
      <w:pPr>
        <w:widowControl/>
        <w:spacing w:line="580" w:lineRule="exact"/>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5、积极做好新型农村合作医疗的服务、计划生育技术指导、康复等工作。</w:t>
      </w:r>
    </w:p>
    <w:p>
      <w:pPr>
        <w:ind w:firstLine="600" w:firstLineChars="200"/>
        <w:jc w:val="left"/>
        <w:rPr>
          <w:rFonts w:hint="eastAsia" w:ascii="仿宋" w:hAnsi="仿宋" w:eastAsia="仿宋" w:cs="仿宋"/>
          <w:color w:val="FF0000"/>
          <w:sz w:val="32"/>
          <w:szCs w:val="32"/>
          <w:lang w:val="en-US" w:eastAsia="zh-CN"/>
        </w:rPr>
      </w:pPr>
      <w:r>
        <w:rPr>
          <w:rFonts w:hint="eastAsia" w:ascii="仿宋" w:hAnsi="仿宋" w:eastAsia="仿宋" w:cs="仿宋"/>
          <w:sz w:val="30"/>
          <w:szCs w:val="30"/>
        </w:rPr>
        <w:t>6、开展爱国卫生运动，普及疾病预防和卫生保健知识，指导群众改善居住、饮食、饮水和环境卫生条件，引导和帮助农民建立良好的卫生习惯。</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年部门决算共1个，</w:t>
      </w:r>
      <w:r>
        <w:rPr>
          <w:rFonts w:hint="eastAsia" w:ascii="仿宋_GB2312" w:eastAsia="仿宋_GB2312"/>
          <w:sz w:val="32"/>
          <w:szCs w:val="32"/>
          <w:lang w:eastAsia="zh-CN"/>
        </w:rPr>
        <w:t>较</w:t>
      </w:r>
      <w:r>
        <w:rPr>
          <w:rFonts w:hint="eastAsia" w:ascii="仿宋_GB2312" w:eastAsia="仿宋_GB2312"/>
          <w:sz w:val="32"/>
          <w:szCs w:val="32"/>
          <w:lang w:val="en-US" w:eastAsia="zh-CN"/>
        </w:rPr>
        <w:t>2021年1个无变化。</w:t>
      </w:r>
    </w:p>
    <w:p>
      <w:pPr>
        <w:ind w:firstLine="640" w:firstLineChars="200"/>
        <w:jc w:val="left"/>
        <w:rPr>
          <w:rFonts w:hint="eastAsia" w:ascii="仿宋_GB2312" w:eastAsia="仿宋_GB2312"/>
          <w:sz w:val="32"/>
          <w:szCs w:val="32"/>
          <w:lang w:val="en-US" w:eastAsia="zh-CN"/>
        </w:rPr>
      </w:pP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环江毛南族自治县水源镇卫生院</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差额事业单位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r>
      <w:bookmarkEnd w:id="0"/>
    </w:tbl>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3200" w:firstLineChars="10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水源镇卫生院</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广西河池市</w:t>
            </w:r>
            <w:r>
              <w:rPr>
                <w:rFonts w:hint="eastAsia" w:ascii="宋体" w:hAnsi="宋体" w:eastAsia="宋体" w:cs="宋体"/>
                <w:color w:val="000000"/>
                <w:sz w:val="20"/>
                <w:u w:color="auto"/>
                <w:lang w:val="en-US" w:eastAsia="zh-CN"/>
              </w:rPr>
              <w:t>环江毛南族自治县水源镇卫生院</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485.73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1101.03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1227.72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1227.72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1227.72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1227.72</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广西河池市</w:t>
            </w:r>
            <w:r>
              <w:rPr>
                <w:rFonts w:hint="eastAsia" w:ascii="宋体" w:hAnsi="宋体" w:eastAsia="宋体" w:cs="宋体"/>
                <w:color w:val="000000"/>
                <w:sz w:val="20"/>
                <w:u w:color="auto"/>
                <w:lang w:val="en-US" w:eastAsia="zh-CN"/>
              </w:rPr>
              <w:t>环江毛南族自治县水源镇卫生院</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1227.72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741.99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485.73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1101.03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615.3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485.73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基层医疗卫生机构</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889.96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404.23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485.73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乡镇卫生院</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804.85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319.12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485.73</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其他基层医疗卫生机构支出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85.10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85.10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公共卫生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2100408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基本公共卫生服务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117.02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117.02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2100409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重大公共卫生服务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中医药</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210</w:t>
            </w:r>
            <w:r>
              <w:rPr>
                <w:rFonts w:hint="eastAsia" w:ascii="宋体" w:hAnsi="宋体" w:eastAsia="宋体" w:cs="宋体"/>
                <w:color w:val="000000"/>
                <w:kern w:val="0"/>
                <w:sz w:val="22"/>
                <w:szCs w:val="22"/>
                <w:highlight w:val="none"/>
                <w:lang w:val="en-US" w:eastAsia="zh-CN" w:bidi="ar"/>
              </w:rPr>
              <w:t>0601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中医（民族医）药专项</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w:t>
            </w:r>
            <w:r>
              <w:rPr>
                <w:rFonts w:hint="eastAsia" w:ascii="宋体" w:hAnsi="宋体" w:eastAsia="宋体" w:cs="宋体"/>
                <w:color w:val="000000"/>
                <w:kern w:val="0"/>
                <w:sz w:val="22"/>
                <w:szCs w:val="22"/>
                <w:highlight w:val="none"/>
                <w:lang w:val="en-US" w:eastAsia="zh-CN" w:bidi="ar"/>
              </w:rPr>
              <w:t>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广西河池市环江毛南族自治县水源镇卫生院</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709"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1227.72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943.91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283.81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w:t>
            </w:r>
            <w:r>
              <w:rPr>
                <w:rFonts w:hint="default" w:ascii="宋体" w:hAnsi="宋体" w:eastAsia="宋体" w:cs="宋体"/>
                <w:color w:val="000000"/>
                <w:kern w:val="0"/>
                <w:sz w:val="22"/>
                <w:szCs w:val="22"/>
                <w:highlight w:val="none"/>
                <w:lang w:bidi="ar"/>
              </w:rPr>
              <w:t>.00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1101.03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817.22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283.81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基层医疗卫生机构</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889.96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817.22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72.74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乡镇卫生院</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804.85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782.36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其他基层医疗卫生机构支出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85.10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50.24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74"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公共卫生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122.82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2100408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基本公共卫生服务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117.02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117.02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2100409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重大公共卫生服务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中医药</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210</w:t>
            </w:r>
            <w:r>
              <w:rPr>
                <w:rFonts w:hint="eastAsia" w:ascii="宋体" w:hAnsi="宋体" w:eastAsia="宋体" w:cs="宋体"/>
                <w:color w:val="000000"/>
                <w:kern w:val="0"/>
                <w:sz w:val="22"/>
                <w:szCs w:val="22"/>
                <w:highlight w:val="none"/>
                <w:lang w:val="en-US" w:eastAsia="zh-CN" w:bidi="ar"/>
              </w:rPr>
              <w:t>0601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中医（民族医）药专项</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68.25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w:t>
            </w:r>
            <w:r>
              <w:rPr>
                <w:rFonts w:hint="eastAsia" w:ascii="宋体" w:hAnsi="宋体" w:eastAsia="宋体" w:cs="宋体"/>
                <w:color w:val="000000"/>
                <w:kern w:val="0"/>
                <w:sz w:val="22"/>
                <w:szCs w:val="22"/>
                <w:highlight w:val="none"/>
                <w:lang w:val="en-US" w:eastAsia="zh-CN" w:bidi="ar"/>
              </w:rPr>
              <w:t>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广西河池市环江毛南族自治县水源镇卫生院</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44.95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615.30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615.30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741.99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广西河池市环江毛南族自治县水源镇卫生院</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741.99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458.18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283.81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44.95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44.95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44.95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44.95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44.95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44.95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615.30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331.49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283.81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基层医疗卫生机构</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404.23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331.49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72.74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乡镇卫生院</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319.12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296.63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22.49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其他基层医疗卫生机构支出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85.10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34.86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50.24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公共卫生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122.82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122.82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2100408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基本公共卫生服务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117.02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117.02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2100409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重大公共卫生服务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中医药</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w:t>
            </w:r>
            <w:r>
              <w:rPr>
                <w:rFonts w:hint="default" w:ascii="宋体" w:hAnsi="宋体" w:eastAsia="宋体" w:cs="宋体"/>
                <w:color w:val="000000"/>
                <w:kern w:val="0"/>
                <w:sz w:val="22"/>
                <w:szCs w:val="22"/>
                <w:highlight w:val="none"/>
                <w:lang w:bidi="ar"/>
              </w:rPr>
              <w:t>.00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210</w:t>
            </w:r>
            <w:r>
              <w:rPr>
                <w:rFonts w:hint="eastAsia" w:ascii="宋体" w:hAnsi="宋体" w:eastAsia="宋体" w:cs="宋体"/>
                <w:color w:val="000000"/>
                <w:kern w:val="0"/>
                <w:sz w:val="22"/>
                <w:szCs w:val="22"/>
                <w:highlight w:val="none"/>
                <w:lang w:val="en-US" w:eastAsia="zh-CN" w:bidi="ar"/>
              </w:rPr>
              <w:t>0601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中医（民族医）药专项</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w:t>
            </w: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68.25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68.25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2109999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68.25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68.25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34.34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34.34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w:t>
            </w:r>
            <w:r>
              <w:rPr>
                <w:rFonts w:hint="eastAsia" w:ascii="宋体" w:hAnsi="宋体" w:eastAsia="宋体" w:cs="宋体"/>
                <w:color w:val="000000"/>
                <w:kern w:val="0"/>
                <w:sz w:val="22"/>
                <w:szCs w:val="22"/>
                <w:highlight w:val="none"/>
                <w:lang w:val="en-US" w:eastAsia="zh-CN" w:bidi="ar"/>
              </w:rPr>
              <w:t>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34.34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47.40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广西河池市环江毛南族自治县水源镇卫生院</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4"/>
            <w:bookmarkStart w:id="2"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411.07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34.86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153.37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37.45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105.38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29.29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44.95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34.34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12.25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12.25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34.86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423.32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34.86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广西河池市环江毛南族自治县水源镇卫生院</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000000"/>
                <w:kern w:val="0"/>
                <w:sz w:val="22"/>
                <w:szCs w:val="22"/>
                <w:highlight w:val="none"/>
                <w:lang w:val="en-US" w:eastAsia="zh-CN" w:bidi="ar"/>
              </w:rPr>
              <w:t>1、</w:t>
            </w:r>
            <w:r>
              <w:rPr>
                <w:rFonts w:hint="eastAsia" w:ascii="宋体" w:hAnsi="宋体" w:eastAsia="宋体" w:cs="宋体"/>
                <w:color w:val="000000"/>
                <w:kern w:val="0"/>
                <w:sz w:val="22"/>
                <w:szCs w:val="22"/>
                <w:highlight w:val="none"/>
                <w:lang w:bidi="ar"/>
              </w:rPr>
              <w:t>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    2、</w:t>
            </w:r>
            <w:r>
              <w:rPr>
                <w:rFonts w:hint="eastAsia" w:ascii="宋体" w:hAnsi="宋体" w:eastAsia="宋体" w:cs="宋体"/>
                <w:color w:val="000000"/>
                <w:sz w:val="22"/>
                <w:szCs w:val="22"/>
                <w:highlight w:val="none"/>
                <w:lang w:val="en-US" w:eastAsia="zh-CN"/>
              </w:rPr>
              <w:t>本部门2022年度没有政府性基金预算财政拨款收入，也没有政府性基金预算财政拨款安排的支出，故本表无数据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广西河池市环江毛南族自治县水源镇卫生院</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000000"/>
          <w:kern w:val="0"/>
          <w:sz w:val="22"/>
          <w:szCs w:val="22"/>
          <w:highlight w:val="none"/>
          <w:lang w:val="en-US" w:eastAsia="zh-CN" w:bidi="ar"/>
        </w:rPr>
        <w:t>1、</w:t>
      </w:r>
      <w:r>
        <w:rPr>
          <w:rFonts w:hint="eastAsia" w:ascii="宋体" w:hAnsi="宋体" w:eastAsia="宋体" w:cs="宋体"/>
          <w:color w:val="000000"/>
          <w:kern w:val="0"/>
          <w:sz w:val="22"/>
          <w:szCs w:val="22"/>
          <w:highlight w:val="none"/>
          <w:lang w:bidi="ar"/>
        </w:rPr>
        <w:t>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    2、</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某某单位</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line="480" w:lineRule="auto"/>
              <w:ind w:left="0" w:right="0" w:firstLine="210" w:firstLineChars="10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line="480" w:lineRule="auto"/>
              <w:ind w:left="0" w:right="0"/>
              <w:jc w:val="right"/>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880" w:right="0" w:hanging="880" w:hangingChars="40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000000"/>
                <w:kern w:val="0"/>
                <w:sz w:val="22"/>
                <w:szCs w:val="22"/>
                <w:highlight w:val="none"/>
                <w:lang w:val="en-US" w:eastAsia="zh-CN" w:bidi="ar"/>
              </w:rPr>
              <w:t>1、</w:t>
            </w:r>
            <w:r>
              <w:rPr>
                <w:rFonts w:hint="eastAsia" w:ascii="宋体" w:hAnsi="宋体" w:eastAsia="宋体" w:cs="宋体"/>
                <w:color w:val="000000"/>
                <w:kern w:val="0"/>
                <w:sz w:val="22"/>
                <w:szCs w:val="22"/>
                <w:highlight w:val="none"/>
                <w:lang w:bidi="ar"/>
              </w:rPr>
              <w:t>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880" w:right="0" w:hanging="880" w:hangingChars="40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    2、</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环江毛南族自治县水源镇卫生院</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1227.72</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1225.36增加2.36</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增长0.19</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1227.72</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741.99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本级财政当年拨付的资金。较2021年度决算数765.02</w:t>
      </w:r>
      <w:r>
        <w:rPr>
          <w:rFonts w:ascii="仿宋" w:hAnsi="仿宋" w:eastAsia="仿宋" w:cs="仿宋"/>
          <w:sz w:val="32"/>
          <w:u w:color="auto"/>
        </w:rPr>
        <w:t>减少</w:t>
      </w:r>
      <w:r>
        <w:rPr>
          <w:rFonts w:hint="eastAsia" w:ascii="仿宋" w:hAnsi="仿宋" w:eastAsia="仿宋" w:cs="仿宋"/>
          <w:sz w:val="32"/>
          <w:u w:color="auto"/>
          <w:lang w:val="en-US" w:eastAsia="zh-CN"/>
        </w:rPr>
        <w:t>23.03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3.01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基本公共卫生资金拨款较上年减少。</w:t>
      </w:r>
    </w:p>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color w:val="000000"/>
          <w:sz w:val="22"/>
          <w:szCs w:val="22"/>
          <w:highlight w:val="none"/>
          <w:lang w:val="en-US"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szCs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000000"/>
          <w:sz w:val="32"/>
          <w:szCs w:val="32"/>
          <w:highlight w:val="none"/>
          <w:lang w:val="en-US" w:eastAsia="zh-CN"/>
        </w:rPr>
        <w:t>本部门2022年度没有政府性基金预算财政拨款收入，也没有政府性基金预算财政拨款安排的支出</w:t>
      </w:r>
      <w:r>
        <w:rPr>
          <w:rFonts w:hint="eastAsia" w:ascii="宋体" w:hAnsi="宋体" w:eastAsia="宋体" w:cs="宋体"/>
          <w:color w:val="000000"/>
          <w:sz w:val="22"/>
          <w:szCs w:val="22"/>
          <w:highlight w:val="none"/>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szCs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lang w:val="en-US" w:eastAsia="zh-CN" w:bidi="ar"/>
        </w:rPr>
        <w:t>本部门2022年度没有国有资本经营预算财政拨款收入，也没有国有资本经营预算财政拨款安排的支出。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u w:color="auto"/>
          <w:lang w:val="en-US" w:eastAsia="zh-CN"/>
        </w:rPr>
        <w:t>485.73</w:t>
      </w:r>
      <w:r>
        <w:rPr>
          <w:rFonts w:hint="eastAsia" w:ascii="仿宋" w:hAnsi="仿宋" w:eastAsia="仿宋" w:cs="仿宋"/>
          <w:kern w:val="2"/>
          <w:sz w:val="32"/>
          <w:szCs w:val="32"/>
          <w:highlight w:val="none"/>
          <w:lang w:val="en-US" w:eastAsia="zh-CN" w:bidi="ar"/>
        </w:rPr>
        <w:t>万元，为事业单位开展业务活动取得的收入。较2021年度决算数460.34</w:t>
      </w:r>
      <w:r>
        <w:rPr>
          <w:rFonts w:ascii="仿宋" w:hAnsi="仿宋" w:eastAsia="仿宋" w:cs="仿宋"/>
          <w:sz w:val="32"/>
          <w:u w:color="auto"/>
        </w:rPr>
        <w:t>增加</w:t>
      </w:r>
      <w:r>
        <w:rPr>
          <w:rFonts w:hint="eastAsia" w:ascii="仿宋" w:hAnsi="仿宋" w:eastAsia="仿宋" w:cs="仿宋"/>
          <w:sz w:val="32"/>
          <w:u w:color="auto"/>
          <w:lang w:val="en-US" w:eastAsia="zh-CN"/>
        </w:rPr>
        <w:t>25.39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5.51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本单位业务收入增加。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hint="eastAsia" w:ascii="仿宋" w:hAnsi="仿宋" w:eastAsia="仿宋" w:cs="仿宋"/>
          <w:sz w:val="32"/>
          <w:u w:color="auto"/>
          <w:lang w:val="en-US" w:eastAsia="zh-CN"/>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10.年末无结转和结余。</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ind w:firstLine="640" w:firstLineChars="200"/>
        <w:jc w:val="left"/>
        <w:rPr>
          <w:rFonts w:hint="eastAsia" w:ascii="仿宋" w:hAnsi="仿宋" w:eastAsia="仿宋" w:cs="仿宋"/>
          <w:sz w:val="32"/>
          <w:szCs w:val="32"/>
          <w:highlight w:val="none"/>
        </w:rPr>
      </w:pPr>
      <w:r>
        <w:rPr>
          <w:sz w:val="32"/>
        </w:rPr>
        <mc:AlternateContent>
          <mc:Choice Requires="wps">
            <w:drawing>
              <wp:anchor distT="0" distB="0" distL="114300" distR="114300" simplePos="0" relativeHeight="251659264" behindDoc="0" locked="0" layoutInCell="1" allowOverlap="1">
                <wp:simplePos x="0" y="0"/>
                <wp:positionH relativeFrom="column">
                  <wp:posOffset>573405</wp:posOffset>
                </wp:positionH>
                <wp:positionV relativeFrom="paragraph">
                  <wp:posOffset>178435</wp:posOffset>
                </wp:positionV>
                <wp:extent cx="1301750" cy="356870"/>
                <wp:effectExtent l="0" t="0" r="12700" b="5080"/>
                <wp:wrapNone/>
                <wp:docPr id="7" name="文本框 7"/>
                <wp:cNvGraphicFramePr/>
                <a:graphic xmlns:a="http://schemas.openxmlformats.org/drawingml/2006/main">
                  <a:graphicData uri="http://schemas.microsoft.com/office/word/2010/wordprocessingShape">
                    <wps:wsp>
                      <wps:cNvSpPr txBox="1"/>
                      <wps:spPr>
                        <a:xfrm>
                          <a:off x="1716405" y="1092835"/>
                          <a:ext cx="1301750" cy="3568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sz w:val="24"/>
                                <w:szCs w:val="32"/>
                                <w:lang w:val="en-US" w:eastAsia="zh-CN"/>
                              </w:rPr>
                            </w:pPr>
                            <w:r>
                              <w:rPr>
                                <w:rFonts w:hint="eastAsia"/>
                                <w:b/>
                                <w:bCs/>
                                <w:sz w:val="24"/>
                                <w:szCs w:val="32"/>
                                <w:lang w:val="en-US" w:eastAsia="zh-CN"/>
                              </w:rPr>
                              <w:t>决算收入支出图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15pt;margin-top:14.05pt;height:28.1pt;width:102.5pt;z-index:251659264;mso-width-relative:page;mso-height-relative:page;" fillcolor="#FFFFFF [3201]" filled="t" stroked="f" coordsize="21600,21600" o:gfxdata="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yVZ2dQA&#10;AAAIAQAADwAAAAAAAAABACAAAAAiAAAAZHJzL2Rvd25yZXYueG1sUEsBAhQAFAAAAAgAh07iQHJM&#10;t/FcAgAAmwQAAA4AAAAAAAAAAQAgAAAAIwEAAGRycy9lMm9Eb2MueG1sUEsFBgAAAAAGAAYAWQEA&#10;APEFAAAAAA==&#10;">
                <v:fill on="t" focussize="0,0"/>
                <v:stroke on="f" weight="0.5pt"/>
                <v:imagedata o:title=""/>
                <o:lock v:ext="edit" aspectratio="f"/>
                <v:textbox>
                  <w:txbxContent>
                    <w:p>
                      <w:pPr>
                        <w:rPr>
                          <w:rFonts w:hint="default" w:eastAsiaTheme="minorEastAsia"/>
                          <w:b/>
                          <w:bCs/>
                          <w:sz w:val="24"/>
                          <w:szCs w:val="32"/>
                          <w:lang w:val="en-US" w:eastAsia="zh-CN"/>
                        </w:rPr>
                      </w:pPr>
                      <w:r>
                        <w:rPr>
                          <w:rFonts w:hint="eastAsia"/>
                          <w:b/>
                          <w:bCs/>
                          <w:sz w:val="24"/>
                          <w:szCs w:val="32"/>
                          <w:lang w:val="en-US" w:eastAsia="zh-CN"/>
                        </w:rPr>
                        <w:t>决算收入支出图</w:t>
                      </w:r>
                    </w:p>
                  </w:txbxContent>
                </v:textbox>
              </v:shape>
            </w:pict>
          </mc:Fallback>
        </mc:AlternateContent>
      </w:r>
      <w:r>
        <w:rPr>
          <w:rFonts w:hint="eastAsia" w:ascii="仿宋" w:hAnsi="仿宋" w:eastAsia="仿宋" w:cs="仿宋"/>
          <w:color w:val="auto"/>
          <w:kern w:val="2"/>
          <w:sz w:val="32"/>
          <w:szCs w:val="32"/>
          <w:highlight w:val="none"/>
          <w:lang w:val="en-US" w:eastAsia="zh-CN" w:bidi="ar"/>
        </w:rPr>
        <w:drawing>
          <wp:inline distT="0" distB="0" distL="114300" distR="114300">
            <wp:extent cx="4104005" cy="2752725"/>
            <wp:effectExtent l="4445" t="4445" r="6350" b="5080"/>
            <wp:docPr id="6" name="图表 6" descr="7b0a202020202263686172745265734964223a202232303437353935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1227.72</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1227.72</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1047.08万元</w:t>
      </w:r>
      <w:r>
        <w:rPr>
          <w:rFonts w:hint="eastAsia" w:ascii="仿宋" w:hAnsi="仿宋" w:eastAsia="仿宋" w:cs="仿宋"/>
          <w:sz w:val="32"/>
          <w:u w:color="auto"/>
          <w:lang w:val="en-US" w:eastAsia="zh-CN"/>
        </w:rPr>
        <w:t>增加180.64</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增长17.25</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autoSpaceDE w:val="0"/>
        <w:autoSpaceDN w:val="0"/>
        <w:adjustRightInd w:val="0"/>
        <w:spacing w:line="600" w:lineRule="exact"/>
        <w:ind w:firstLine="627" w:firstLineChars="196"/>
        <w:jc w:val="left"/>
        <w:rPr>
          <w:rFonts w:hint="eastAsia" w:ascii="仿宋" w:hAnsi="仿宋" w:eastAsia="仿宋" w:cs="仿宋"/>
          <w:kern w:val="0"/>
          <w:sz w:val="32"/>
          <w:szCs w:val="32"/>
          <w:lang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kern w:val="0"/>
          <w:sz w:val="32"/>
          <w:szCs w:val="32"/>
        </w:rPr>
        <w:t>社会保障和就业支出</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208类</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44.95万元：主要用于：</w:t>
      </w:r>
      <w:r>
        <w:rPr>
          <w:rFonts w:hint="eastAsia" w:ascii="仿宋" w:hAnsi="仿宋" w:eastAsia="仿宋" w:cs="仿宋"/>
          <w:kern w:val="0"/>
          <w:sz w:val="32"/>
          <w:szCs w:val="32"/>
          <w:lang w:eastAsia="zh-CN"/>
        </w:rPr>
        <w:t>本单位</w:t>
      </w:r>
      <w:r>
        <w:rPr>
          <w:rFonts w:hint="eastAsia" w:ascii="仿宋" w:hAnsi="仿宋" w:eastAsia="仿宋" w:cs="仿宋"/>
          <w:kern w:val="0"/>
          <w:sz w:val="32"/>
          <w:szCs w:val="32"/>
        </w:rPr>
        <w:t>按国家规定发放的人员工资津补贴</w:t>
      </w:r>
      <w:r>
        <w:rPr>
          <w:rFonts w:hint="eastAsia" w:ascii="仿宋" w:hAnsi="仿宋" w:eastAsia="仿宋" w:cs="仿宋"/>
          <w:kern w:val="0"/>
          <w:sz w:val="32"/>
          <w:szCs w:val="32"/>
          <w:lang w:eastAsia="zh-CN"/>
        </w:rPr>
        <w:t>及职工养老保险缴费</w:t>
      </w:r>
      <w:r>
        <w:rPr>
          <w:rFonts w:hint="eastAsia" w:ascii="仿宋" w:hAnsi="仿宋" w:eastAsia="仿宋" w:cs="仿宋"/>
          <w:kern w:val="0"/>
          <w:sz w:val="32"/>
          <w:szCs w:val="32"/>
        </w:rPr>
        <w:t>。较</w:t>
      </w:r>
      <w:r>
        <w:rPr>
          <w:rFonts w:hint="eastAsia" w:ascii="仿宋" w:hAnsi="仿宋" w:eastAsia="仿宋" w:cs="仿宋"/>
          <w:kern w:val="0"/>
          <w:sz w:val="32"/>
          <w:szCs w:val="32"/>
          <w:lang w:val="en-US" w:eastAsia="zh-CN"/>
        </w:rPr>
        <w:t>2021</w:t>
      </w:r>
      <w:r>
        <w:rPr>
          <w:rFonts w:hint="eastAsia" w:ascii="仿宋" w:hAnsi="仿宋" w:eastAsia="仿宋" w:cs="仿宋"/>
          <w:kern w:val="0"/>
          <w:sz w:val="32"/>
          <w:szCs w:val="32"/>
        </w:rPr>
        <w:t>年度决算数</w:t>
      </w:r>
      <w:r>
        <w:rPr>
          <w:rFonts w:hint="eastAsia" w:ascii="仿宋" w:hAnsi="仿宋" w:eastAsia="仿宋" w:cs="仿宋"/>
          <w:kern w:val="0"/>
          <w:sz w:val="32"/>
          <w:szCs w:val="32"/>
          <w:lang w:val="en-US" w:eastAsia="zh-CN"/>
        </w:rPr>
        <w:t>44.8万元</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0.15</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0.33</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，属于正常变动。</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1101.03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rPr>
        <w:t>一是医疗卫生机构按国家规定发放的在职人员工资津补贴及离退休人员工</w:t>
      </w:r>
      <w:r>
        <w:rPr>
          <w:rFonts w:hint="eastAsia" w:ascii="仿宋_GB2312" w:eastAsia="仿宋_GB2312" w:cs="仿宋_GB2312"/>
          <w:kern w:val="0"/>
          <w:sz w:val="32"/>
          <w:szCs w:val="32"/>
          <w:lang w:eastAsia="zh-CN"/>
        </w:rPr>
        <w:t>资</w:t>
      </w:r>
      <w:r>
        <w:rPr>
          <w:rFonts w:hint="eastAsia" w:ascii="仿宋_GB2312" w:eastAsia="仿宋_GB2312" w:cs="仿宋_GB2312"/>
          <w:kern w:val="0"/>
          <w:sz w:val="32"/>
          <w:szCs w:val="32"/>
        </w:rPr>
        <w:t>方面的支出；二是卫生计生项目类支出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891.74万元</w:t>
      </w:r>
      <w:r>
        <w:rPr>
          <w:rFonts w:hint="eastAsia" w:ascii="仿宋" w:hAnsi="仿宋" w:eastAsia="仿宋" w:cs="仿宋"/>
          <w:sz w:val="32"/>
          <w:szCs w:val="32"/>
          <w:highlight w:val="none"/>
          <w:lang w:val="en-US" w:eastAsia="zh-CN" w:bidi="ar"/>
        </w:rPr>
        <w:t>增加209.29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增长23.46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属于正常变动。</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34.34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rPr>
        <w:t>按照国家政策规定代职工上缴住房公积金等支出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33.79万元</w:t>
      </w:r>
      <w:r>
        <w:rPr>
          <w:rFonts w:hint="eastAsia" w:ascii="仿宋" w:hAnsi="仿宋" w:eastAsia="仿宋" w:cs="仿宋"/>
          <w:sz w:val="32"/>
          <w:szCs w:val="32"/>
          <w:highlight w:val="none"/>
          <w:lang w:val="en-US" w:eastAsia="zh-CN" w:bidi="ar"/>
        </w:rPr>
        <w:t>增加0.55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增长1.62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属于正常变动。</w:t>
      </w:r>
    </w:p>
    <w:p>
      <w:pPr>
        <w:autoSpaceDE w:val="0"/>
        <w:autoSpaceDN w:val="0"/>
        <w:adjustRightInd w:val="0"/>
        <w:spacing w:line="560" w:lineRule="exact"/>
        <w:ind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_GB2312" w:eastAsia="仿宋_GB2312" w:cs="仿宋_GB2312"/>
          <w:kern w:val="0"/>
          <w:sz w:val="32"/>
          <w:szCs w:val="32"/>
          <w:lang w:val="en-US" w:eastAsia="zh-CN"/>
        </w:rPr>
        <w:t>4、其他支出47.40万元，</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val="en-US" w:eastAsia="zh-CN"/>
        </w:rPr>
        <w:t>用于：</w:t>
      </w:r>
      <w:r>
        <w:rPr>
          <w:rFonts w:hint="eastAsia" w:ascii="仿宋_GB2312" w:eastAsia="仿宋_GB2312" w:cs="仿宋_GB2312"/>
          <w:kern w:val="0"/>
          <w:sz w:val="32"/>
          <w:szCs w:val="32"/>
        </w:rPr>
        <w:t>政府绩效考评奖支出。较</w:t>
      </w:r>
      <w:r>
        <w:rPr>
          <w:rFonts w:hint="eastAsia" w:ascii="仿宋_GB2312" w:eastAsia="仿宋_GB2312" w:cs="仿宋_GB2312"/>
          <w:kern w:val="0"/>
          <w:sz w:val="32"/>
          <w:szCs w:val="32"/>
          <w:lang w:eastAsia="zh-CN"/>
        </w:rPr>
        <w:t>20</w:t>
      </w:r>
      <w:r>
        <w:rPr>
          <w:rFonts w:hint="eastAsia" w:ascii="仿宋_GB2312" w:eastAsia="仿宋_GB2312" w:cs="仿宋_GB2312"/>
          <w:kern w:val="0"/>
          <w:sz w:val="32"/>
          <w:szCs w:val="32"/>
          <w:lang w:val="en-US" w:eastAsia="zh-CN"/>
        </w:rPr>
        <w:t>21</w:t>
      </w:r>
      <w:r>
        <w:rPr>
          <w:rFonts w:hint="eastAsia" w:ascii="仿宋_GB2312" w:eastAsia="仿宋_GB2312" w:cs="仿宋_GB2312"/>
          <w:kern w:val="0"/>
          <w:sz w:val="32"/>
          <w:szCs w:val="32"/>
        </w:rPr>
        <w:t>年度决算数</w:t>
      </w:r>
      <w:r>
        <w:rPr>
          <w:rFonts w:hint="eastAsia" w:ascii="仿宋_GB2312" w:eastAsia="仿宋_GB2312" w:cs="仿宋_GB2312"/>
          <w:kern w:val="0"/>
          <w:sz w:val="32"/>
          <w:szCs w:val="32"/>
          <w:lang w:val="en-US" w:eastAsia="zh-CN"/>
        </w:rPr>
        <w:t>76.76万元减少29.36</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减少38.24</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val="en-US" w:eastAsia="zh-CN"/>
        </w:rPr>
        <w:t>2021年其他支出归口统计不一致。</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5、</w:t>
      </w: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主要用于：</w:t>
      </w:r>
      <w:r>
        <w:rPr>
          <w:rFonts w:hint="default" w:ascii="仿宋_GB2312" w:hAnsi="微软雅黑" w:eastAsia="仿宋_GB2312" w:cs="仿宋_GB2312"/>
          <w:i w:val="0"/>
          <w:iCs w:val="0"/>
          <w:caps w:val="0"/>
          <w:color w:val="000000"/>
          <w:spacing w:val="0"/>
          <w:sz w:val="31"/>
          <w:szCs w:val="31"/>
          <w:highlight w:val="none"/>
          <w:shd w:val="clear" w:color="auto" w:fill="FFFFFF"/>
        </w:rPr>
        <w:t>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：本单位没有支出结余</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年末</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结转和结余</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60875" cy="2765425"/>
            <wp:effectExtent l="4445" t="5080" r="11430"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环江毛南族自治县水源镇卫生院</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741.99</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765.02万元</w:t>
      </w:r>
      <w:r>
        <w:rPr>
          <w:rFonts w:ascii="仿宋" w:hAnsi="仿宋" w:eastAsia="仿宋" w:cs="仿宋"/>
          <w:sz w:val="32"/>
          <w:u w:color="auto"/>
        </w:rPr>
        <w:t>减少</w:t>
      </w:r>
      <w:r>
        <w:rPr>
          <w:rFonts w:hint="eastAsia" w:ascii="仿宋" w:hAnsi="仿宋" w:eastAsia="仿宋" w:cs="仿宋"/>
          <w:sz w:val="32"/>
          <w:u w:color="auto"/>
          <w:lang w:val="en-US" w:eastAsia="zh-CN"/>
        </w:rPr>
        <w:t>23.03</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3.01</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458.18</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283.81</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环江毛南族自治县水源镇卫生院</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445.99</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741.99</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166.36</w:t>
      </w:r>
      <w:r>
        <w:rPr>
          <w:rFonts w:ascii="仿宋" w:hAnsi="仿宋" w:eastAsia="仿宋" w:cs="仿宋"/>
          <w:sz w:val="32"/>
          <w:u w:color="auto"/>
        </w:rPr>
        <w:t>%</w:t>
      </w:r>
      <w:r>
        <w:rPr>
          <w:rFonts w:hint="eastAsia" w:ascii="仿宋" w:hAnsi="仿宋" w:eastAsia="仿宋" w:cs="仿宋"/>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50.19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44.95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89.55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原因是：人员减少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89.55%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本单位按国家规定发放的人员工资津贴及职工养老保险缴费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89.55%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5400675" cy="3157220"/>
            <wp:effectExtent l="4445" t="4445" r="5080" b="1968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350.64</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1101.03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314.00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eastAsia="仿宋_GB2312" w:cs="仿宋_GB2312"/>
          <w:kern w:val="0"/>
          <w:sz w:val="32"/>
          <w:szCs w:val="32"/>
          <w:lang w:val="en-US" w:eastAsia="zh-CN"/>
        </w:rPr>
        <w:t>工资浮动，年中追加</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09"/>
        <w:gridCol w:w="994"/>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2100302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乡镇卫生院</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316.32</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319.12</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100.88</w:t>
            </w:r>
            <w:r>
              <w:rPr>
                <w:rFonts w:hint="eastAsia" w:ascii="宋体" w:hAnsi="宋体" w:eastAsia="宋体" w:cs="宋体"/>
                <w:i w:val="0"/>
                <w:iCs w:val="0"/>
                <w:color w:val="000000"/>
                <w:sz w:val="18"/>
                <w:szCs w:val="18"/>
                <w:highlight w:val="none"/>
                <w:u w:val="none"/>
                <w:lang w:val="en-US" w:eastAsia="zh-CN"/>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人员经费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其他基层医疗卫生机构支出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34.32</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85.10</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247.96</w:t>
            </w:r>
            <w:r>
              <w:rPr>
                <w:rFonts w:hint="eastAsia" w:ascii="宋体" w:hAnsi="宋体" w:eastAsia="宋体" w:cs="宋体"/>
                <w:i w:val="0"/>
                <w:iCs w:val="0"/>
                <w:color w:val="000000"/>
                <w:sz w:val="18"/>
                <w:szCs w:val="18"/>
                <w:highlight w:val="none"/>
                <w:u w:val="none"/>
                <w:lang w:val="en-US" w:eastAsia="zh-CN"/>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村医基本报酬，基药补助项目、村医、家庭接生员养老生活补助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家庭接生员养老生活补助，基药补助项目年初没有做预算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2100408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基本公共卫生服务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0</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117.02</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基本公卫项目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2100409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重大公共卫生服务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0</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5.8</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0"/>
                <w:szCs w:val="20"/>
                <w:highlight w:val="none"/>
                <w:lang w:val="en-US" w:eastAsia="zh-CN"/>
              </w:rPr>
              <w:t>艾滋病防治项目、特岗医生试点项目、卫生健康人才培养</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2100601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中医（民族医）药专项</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0</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20</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中医馆建设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2109999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其他卫生健康支出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0</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68.25</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以奖代补、医疗服务与保障能力提升项目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0"/>
                <w:szCs w:val="20"/>
                <w:highlight w:val="none"/>
                <w:u w:val="none"/>
                <w:lang w:val="en-US" w:eastAsia="zh-CN" w:bidi="ar-SA"/>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sz w:val="20"/>
                <w:szCs w:val="20"/>
                <w:highlight w:val="none"/>
                <w:u w:val="none"/>
                <w:lang w:val="en-US" w:eastAsia="zh-CN"/>
              </w:rPr>
              <w:t>350.64</w:t>
            </w:r>
          </w:p>
        </w:tc>
        <w:tc>
          <w:tcPr>
            <w:tcW w:w="90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615.29</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 w:hAnsi="仿宋" w:eastAsia="仿宋" w:cs="仿宋"/>
                <w:i w:val="0"/>
                <w:iCs w:val="0"/>
                <w:color w:val="auto"/>
                <w:kern w:val="2"/>
                <w:sz w:val="20"/>
                <w:szCs w:val="20"/>
                <w:highlight w:val="none"/>
                <w:u w:val="none"/>
                <w:lang w:val="en-US" w:eastAsia="zh-CN" w:bidi="ar-SA"/>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 w:hAnsi="仿宋" w:eastAsia="仿宋" w:cs="仿宋"/>
                <w:i w:val="0"/>
                <w:iCs w:val="0"/>
                <w:color w:val="auto"/>
                <w:kern w:val="2"/>
                <w:sz w:val="20"/>
                <w:szCs w:val="20"/>
                <w:highlight w:val="none"/>
                <w:u w:val="none"/>
                <w:lang w:val="en-US" w:eastAsia="zh-CN" w:bidi="ar-SA"/>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38.19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34.34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89.91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869"/>
        <w:gridCol w:w="1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86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73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89.91%</w:t>
            </w:r>
          </w:p>
        </w:tc>
        <w:tc>
          <w:tcPr>
            <w:tcW w:w="186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在职人员住房公积金缴费支出</w:t>
            </w:r>
          </w:p>
        </w:tc>
        <w:tc>
          <w:tcPr>
            <w:tcW w:w="173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6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3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环江毛南族自治县水源镇卫生院</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458.18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423.32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34.86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411.07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04.74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工资浮动。</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153.37万元，30102津贴补贴37.45万元，30103奖金105.38万元，30106伙食补助费6.29万元，30107绩效工资29.29万元，30108机关事业单位基本养老保险缴费44.95万元，30109职业年金0.00万元，30110职工基本医疗保险0.00万元，30113住房公积金34.34万元。30114医疗费0.00万元,30199其他社会保障缴费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34.86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500.86</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主要原因是：村医基本报酬年初预算做到对个人和家庭的补助科目，决算做到商品和服务支出科目。</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30226劳务费34.86万元。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18765"/>
            <wp:effectExtent l="4445" t="4445" r="16510" b="1524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12.25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26.28</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主要原因是：村医基本报酬年初预算做到对个人和家庭的补助科目，决算做到商品和服务支出科目。</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30305生活补助12.25万元。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24785"/>
            <wp:effectExtent l="4445" t="4445" r="16510" b="1397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numId w:val="0"/>
        </w:numPr>
        <w:suppressLineNumbers w:val="0"/>
        <w:spacing w:before="0" w:beforeAutospacing="0" w:after="0" w:afterAutospacing="0"/>
        <w:ind w:right="0" w:rightChars="0" w:firstLine="320" w:firstLineChars="1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本单位无资本性支</w:t>
      </w:r>
      <w:r>
        <w:rPr>
          <w:rFonts w:hint="eastAsia" w:ascii="仿宋" w:hAnsi="仿宋" w:eastAsia="仿宋" w:cs="仿宋"/>
          <w:color w:val="auto"/>
          <w:sz w:val="32"/>
          <w:szCs w:val="32"/>
          <w:highlight w:val="none"/>
          <w:lang w:eastAsia="zh-CN"/>
        </w:rPr>
        <w:t>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numId w:val="0"/>
        </w:numPr>
        <w:suppressLineNumbers w:val="0"/>
        <w:spacing w:before="0" w:beforeAutospacing="0" w:after="0" w:afterAutospacing="0"/>
        <w:ind w:right="0" w:rightChars="0" w:firstLine="320" w:firstLineChars="1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val="en-US" w:eastAsia="zh-CN"/>
        </w:rPr>
        <w:t>环江毛南族自治县水源镇卫生院</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_GB2312" w:cs="仿宋"/>
          <w:sz w:val="32"/>
          <w:szCs w:val="32"/>
          <w:highlight w:val="none"/>
          <w:lang w:eastAsia="zh-CN"/>
        </w:rPr>
      </w:pPr>
      <w:r>
        <w:rPr>
          <w:rFonts w:hint="eastAsia" w:ascii="仿宋" w:hAnsi="仿宋" w:eastAsia="仿宋" w:cs="仿宋"/>
          <w:sz w:val="32"/>
          <w:szCs w:val="32"/>
          <w:highlight w:val="none"/>
          <w:lang w:val="en-US" w:eastAsia="zh-CN"/>
        </w:rPr>
        <w:t>环江毛南族自治县水源镇卫生院</w:t>
      </w:r>
      <w:bookmarkStart w:id="5" w:name="PO_part3A5B1C1DiffReason1"/>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5"/>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一般公共预算财政拨款安排的“三公”经费支出</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6" w:name="PO_part3A6B2IncReason1"/>
      <w:r>
        <w:rPr>
          <w:rFonts w:hint="eastAsia" w:ascii="仿宋" w:hAnsi="仿宋" w:eastAsia="仿宋" w:cs="仿宋"/>
          <w:sz w:val="32"/>
          <w:szCs w:val="32"/>
          <w:highlight w:val="none"/>
          <w:lang w:val="en-US" w:eastAsia="zh-CN"/>
        </w:rPr>
        <w:t>原因是：</w:t>
      </w:r>
      <w:r>
        <w:rPr>
          <w:rFonts w:hint="eastAsia" w:ascii="仿宋" w:hAnsi="仿宋" w:eastAsia="仿宋" w:cs="仿宋"/>
          <w:color w:val="auto"/>
          <w:sz w:val="32"/>
          <w:szCs w:val="32"/>
        </w:rPr>
        <w:t>本部门无公务用车购置</w:t>
      </w:r>
      <w:bookmarkEnd w:id="6"/>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highlight w:val="none"/>
          <w:lang w:val="en-US" w:eastAsia="zh-CN"/>
        </w:rPr>
        <w:t>本单位没有开支财政拨款的公务用车运行维护支出。</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环江毛南族自治县水源镇卫生院</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eastAsia" w:ascii="黑体" w:hAnsi="黑体" w:eastAsia="黑体" w:cs="黑体"/>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主要原因是：本单位没有公务接待费支出。</w:t>
      </w:r>
    </w:p>
    <w:p>
      <w:pPr>
        <w:ind w:firstLine="320" w:firstLineChars="100"/>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ind w:firstLine="320" w:firstLineChars="100"/>
        <w:jc w:val="left"/>
        <w:rPr>
          <w:rFonts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color w:val="auto"/>
          <w:sz w:val="32"/>
          <w:szCs w:val="32"/>
          <w:highlight w:val="none"/>
          <w:lang w:val="en-US" w:eastAsia="zh-CN"/>
        </w:rPr>
        <w:t>本部门无机关运行经费支出</w:t>
      </w:r>
      <w:r>
        <w:rPr>
          <w:rFonts w:hint="eastAsia" w:ascii="仿宋" w:hAnsi="仿宋" w:eastAsia="仿宋" w:cs="仿宋"/>
          <w:color w:val="auto"/>
          <w:sz w:val="32"/>
          <w:szCs w:val="32"/>
          <w:highlight w:val="none"/>
        </w:rPr>
        <w:t>。</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（二</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 w:cs="Times New Roman"/>
          <w:b/>
          <w:bCs/>
          <w:i w:val="0"/>
          <w:iCs w:val="0"/>
          <w:kern w:val="0"/>
          <w:sz w:val="32"/>
          <w:szCs w:val="32"/>
          <w:highlight w:val="yellow"/>
          <w:lang w:val="en-US" w:eastAsia="zh-CN"/>
        </w:rPr>
      </w:pPr>
      <w:r>
        <w:rPr>
          <w:rFonts w:hint="eastAsia" w:ascii="仿宋" w:hAnsi="仿宋" w:eastAsia="仿宋" w:cs="仿宋"/>
          <w:sz w:val="32"/>
          <w:szCs w:val="32"/>
          <w:highlight w:val="none"/>
        </w:rPr>
        <w:t>本部门2022年度</w:t>
      </w:r>
      <w:r>
        <w:rPr>
          <w:rFonts w:hint="eastAsia" w:ascii="仿宋" w:hAnsi="仿宋" w:eastAsia="仿宋" w:cs="仿宋"/>
          <w:sz w:val="32"/>
          <w:szCs w:val="32"/>
          <w:highlight w:val="none"/>
          <w:lang w:val="en-US" w:eastAsia="zh-CN"/>
        </w:rPr>
        <w:t>无政府采购支出。</w:t>
      </w:r>
    </w:p>
    <w:p>
      <w:pPr>
        <w:ind w:firstLine="640" w:firstLineChars="200"/>
        <w:jc w:val="left"/>
        <w:rPr>
          <w:rFonts w:ascii="仿宋" w:hAnsi="仿宋" w:eastAsia="仿宋" w:cs="仿宋"/>
          <w:sz w:val="32"/>
          <w:szCs w:val="32"/>
          <w:highlight w:val="none"/>
        </w:rPr>
      </w:pPr>
    </w:p>
    <w:p>
      <w:pPr>
        <w:ind w:firstLine="320" w:firstLineChars="100"/>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台（套）。</w:t>
      </w:r>
    </w:p>
    <w:p>
      <w:pPr>
        <w:ind w:firstLine="320" w:firstLineChars="100"/>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75.47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10.17</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75.47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预算专项资金使用均按照相关财务管理制度执行，做到年初有计划、实施有方案、追加有依据、日常有监督、结果有审核，资金使用与具体项目实施内容相符。</w:t>
      </w:r>
    </w:p>
    <w:p>
      <w:pPr>
        <w:ind w:firstLine="640" w:firstLineChars="200"/>
        <w:jc w:val="left"/>
        <w:rPr>
          <w:rFonts w:hint="default"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环江毛南族自治县水源镇卫生院</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75.47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我单位严格按照绩效管理的相关要求，对本单位整体支出绩效运行实施监控。</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1.补助市县乡镇卫生院人员工资补助经费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中央财政基本公共卫生服务项目补助资金</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中央财政基本药物制度补助资金</w:t>
      </w:r>
      <w:r>
        <w:rPr>
          <w:rFonts w:hint="eastAsia" w:ascii="仿宋" w:hAnsi="仿宋" w:eastAsia="仿宋" w:cs="仿宋"/>
          <w:color w:val="000000" w:themeColor="text1"/>
          <w:sz w:val="32"/>
          <w:szCs w:val="32"/>
          <w:lang w:val="en-US" w:eastAsia="zh-CN"/>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医药卫生体制改革和事业发展以奖代补项目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jc w:val="right"/>
        <w:rPr>
          <w:rFonts w:hint="default" w:ascii="仿宋" w:hAnsi="仿宋" w:eastAsia="仿宋" w:cs="仿宋"/>
          <w:sz w:val="32"/>
          <w:szCs w:val="32"/>
          <w:highlight w:val="none"/>
          <w:lang w:val="en-US" w:eastAsia="zh-CN"/>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F7996A30"/>
    <w:multiLevelType w:val="singleLevel"/>
    <w:tmpl w:val="F7996A30"/>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5NGI2MTUwNDRkZTgyMmNjMTM1Yzc5ZmRmNjFkOW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5CB5014"/>
    <w:rsid w:val="07B0770E"/>
    <w:rsid w:val="0942143F"/>
    <w:rsid w:val="0A6F5F0C"/>
    <w:rsid w:val="0D100297"/>
    <w:rsid w:val="0D202B45"/>
    <w:rsid w:val="0F8D4C87"/>
    <w:rsid w:val="10505FAA"/>
    <w:rsid w:val="105F7E7E"/>
    <w:rsid w:val="11E56B5B"/>
    <w:rsid w:val="125C77AB"/>
    <w:rsid w:val="14CB726E"/>
    <w:rsid w:val="170E4165"/>
    <w:rsid w:val="17E92249"/>
    <w:rsid w:val="18D304F1"/>
    <w:rsid w:val="19F32577"/>
    <w:rsid w:val="19F45B80"/>
    <w:rsid w:val="1B0C078D"/>
    <w:rsid w:val="1B2B31E2"/>
    <w:rsid w:val="1B4C295A"/>
    <w:rsid w:val="1B973C63"/>
    <w:rsid w:val="1BA1001E"/>
    <w:rsid w:val="1D317259"/>
    <w:rsid w:val="1D6334B4"/>
    <w:rsid w:val="1E664F5B"/>
    <w:rsid w:val="1EB34BE1"/>
    <w:rsid w:val="206175A1"/>
    <w:rsid w:val="215E639F"/>
    <w:rsid w:val="21EC3183"/>
    <w:rsid w:val="225E72CD"/>
    <w:rsid w:val="246E2F77"/>
    <w:rsid w:val="254B4E2B"/>
    <w:rsid w:val="283D7C94"/>
    <w:rsid w:val="29480E03"/>
    <w:rsid w:val="2983634D"/>
    <w:rsid w:val="2BB02055"/>
    <w:rsid w:val="2BC14F62"/>
    <w:rsid w:val="2C575A56"/>
    <w:rsid w:val="2F257714"/>
    <w:rsid w:val="2F3275E5"/>
    <w:rsid w:val="30AA08EF"/>
    <w:rsid w:val="30D23D1C"/>
    <w:rsid w:val="31221CF5"/>
    <w:rsid w:val="31400178"/>
    <w:rsid w:val="321E3342"/>
    <w:rsid w:val="327759C8"/>
    <w:rsid w:val="33185FE3"/>
    <w:rsid w:val="34EE2E36"/>
    <w:rsid w:val="36777241"/>
    <w:rsid w:val="3735237E"/>
    <w:rsid w:val="38A951DB"/>
    <w:rsid w:val="38B31605"/>
    <w:rsid w:val="39003F4F"/>
    <w:rsid w:val="3C07002B"/>
    <w:rsid w:val="3CD01535"/>
    <w:rsid w:val="3D0D152A"/>
    <w:rsid w:val="3DF62756"/>
    <w:rsid w:val="3F1B7587"/>
    <w:rsid w:val="41E57B4F"/>
    <w:rsid w:val="432F26F6"/>
    <w:rsid w:val="43880F63"/>
    <w:rsid w:val="441C5A6F"/>
    <w:rsid w:val="44C44FCC"/>
    <w:rsid w:val="44CC7369"/>
    <w:rsid w:val="457F5108"/>
    <w:rsid w:val="46951B6B"/>
    <w:rsid w:val="49A34401"/>
    <w:rsid w:val="49AD2DFB"/>
    <w:rsid w:val="4A3E30AB"/>
    <w:rsid w:val="4AC14DAC"/>
    <w:rsid w:val="4D154C85"/>
    <w:rsid w:val="4EC8553A"/>
    <w:rsid w:val="508F4E24"/>
    <w:rsid w:val="5107796B"/>
    <w:rsid w:val="51461E90"/>
    <w:rsid w:val="51463753"/>
    <w:rsid w:val="52553A93"/>
    <w:rsid w:val="53521F8B"/>
    <w:rsid w:val="53E22F47"/>
    <w:rsid w:val="54522FF8"/>
    <w:rsid w:val="55450629"/>
    <w:rsid w:val="56677C3A"/>
    <w:rsid w:val="56692963"/>
    <w:rsid w:val="568B0F48"/>
    <w:rsid w:val="5786217B"/>
    <w:rsid w:val="58F03E29"/>
    <w:rsid w:val="58F82D58"/>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6082769"/>
    <w:rsid w:val="67694F1E"/>
    <w:rsid w:val="69597934"/>
    <w:rsid w:val="6B964DDC"/>
    <w:rsid w:val="6C783074"/>
    <w:rsid w:val="6D9E65C6"/>
    <w:rsid w:val="6DA81947"/>
    <w:rsid w:val="6EB66DE2"/>
    <w:rsid w:val="6ED3075F"/>
    <w:rsid w:val="6F2A2D4B"/>
    <w:rsid w:val="6F8A0C1E"/>
    <w:rsid w:val="703F45D4"/>
    <w:rsid w:val="715D6546"/>
    <w:rsid w:val="716F4E30"/>
    <w:rsid w:val="71BE069E"/>
    <w:rsid w:val="73953409"/>
    <w:rsid w:val="73E069A3"/>
    <w:rsid w:val="78104AA8"/>
    <w:rsid w:val="78E257C5"/>
    <w:rsid w:val="794B35BE"/>
    <w:rsid w:val="7B0A3A31"/>
    <w:rsid w:val="7B3360ED"/>
    <w:rsid w:val="7B5319F3"/>
    <w:rsid w:val="7BDF037E"/>
    <w:rsid w:val="7BF50948"/>
    <w:rsid w:val="7CE66A78"/>
    <w:rsid w:val="7D23564C"/>
    <w:rsid w:val="7D5E062D"/>
    <w:rsid w:val="7DF76CD8"/>
    <w:rsid w:val="7EA81284"/>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决算收入支出图表</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numFmt formatCode="General" sourceLinked="1"/>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solidFill>
                  <a:sysClr val="window" lastClr="FFFFFF"/>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solidFill>
                <a:sysClr val="window" lastClr="FFFFFF"/>
              </a:solidFill>
              <a:ln>
                <a:solidFill>
                  <a:sysClr val="windowText" lastClr="000000">
                    <a:lumMod val="25000"/>
                    <a:lumOff val="75000"/>
                  </a:sysClr>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事业收入</c:v>
                </c:pt>
              </c:strCache>
            </c:strRef>
          </c:cat>
          <c:val>
            <c:numRef>
              <c:f>Sheet1!$B$2:$B$3</c:f>
              <c:numCache>
                <c:formatCode>General</c:formatCode>
                <c:ptCount val="2"/>
                <c:pt idx="0">
                  <c:v>741.99</c:v>
                </c:pt>
                <c:pt idx="1">
                  <c:v>485.73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Sheet1!$A$2:$A$7</c:f>
              <c:strCache>
                <c:ptCount val="6"/>
                <c:pt idx="0">
                  <c:v>社会保障和就业支出</c:v>
                </c:pt>
                <c:pt idx="1">
                  <c:v>卫生健康支出</c:v>
                </c:pt>
                <c:pt idx="2">
                  <c:v>住房保障支出</c:v>
                </c:pt>
                <c:pt idx="3">
                  <c:v>支他支出</c:v>
                </c:pt>
                <c:pt idx="4">
                  <c:v>结余分配</c:v>
                </c:pt>
                <c:pt idx="5">
                  <c:v>年末结转和结余</c:v>
                </c:pt>
              </c:strCache>
            </c:strRef>
          </c:cat>
          <c:val>
            <c:numRef>
              <c:f>Sheet1!$B$2:$B$7</c:f>
              <c:numCache>
                <c:formatCode>General</c:formatCode>
                <c:ptCount val="6"/>
                <c:pt idx="0">
                  <c:v>44.8</c:v>
                </c:pt>
                <c:pt idx="1">
                  <c:v>891.74</c:v>
                </c:pt>
                <c:pt idx="2">
                  <c:v>33.79</c:v>
                </c:pt>
                <c:pt idx="3">
                  <c:v>76.76</c:v>
                </c:pt>
                <c:pt idx="4">
                  <c:v>178.28</c:v>
                </c:pt>
                <c:pt idx="5">
                  <c:v>0</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Sheet1!$A$2:$A$7</c:f>
              <c:strCache>
                <c:ptCount val="6"/>
                <c:pt idx="0">
                  <c:v>社会保障和就业支出</c:v>
                </c:pt>
                <c:pt idx="1">
                  <c:v>卫生健康支出</c:v>
                </c:pt>
                <c:pt idx="2">
                  <c:v>住房保障支出</c:v>
                </c:pt>
                <c:pt idx="3">
                  <c:v>支他支出</c:v>
                </c:pt>
                <c:pt idx="4">
                  <c:v>结余分配</c:v>
                </c:pt>
                <c:pt idx="5">
                  <c:v>年末结转和结余</c:v>
                </c:pt>
              </c:strCache>
            </c:strRef>
          </c:cat>
          <c:val>
            <c:numRef>
              <c:f>Sheet1!$C$2:$C$7</c:f>
              <c:numCache>
                <c:formatCode>General</c:formatCode>
                <c:ptCount val="6"/>
                <c:pt idx="0">
                  <c:v>44.95</c:v>
                </c:pt>
                <c:pt idx="1">
                  <c:v>1101.03</c:v>
                </c:pt>
                <c:pt idx="2">
                  <c:v>34.34</c:v>
                </c:pt>
                <c:pt idx="3">
                  <c:v>47.4</c:v>
                </c:pt>
                <c:pt idx="4">
                  <c:v>0</c:v>
                </c:pt>
                <c:pt idx="5">
                  <c:v>0</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manualLayout>
          <c:layoutTarget val="inner"/>
          <c:xMode val="edge"/>
          <c:yMode val="edge"/>
          <c:x val="0.0654099079351162"/>
          <c:y val="0.173473513950667"/>
          <c:w val="0.93020604997808"/>
          <c:h val="0.637161342498989"/>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2080505</c:v>
                </c:pt>
                <c:pt idx="3">
                  <c:v>2080505</c:v>
                </c:pt>
              </c:numCache>
            </c:numRef>
          </c:cat>
          <c:val>
            <c:numRef>
              <c:f>Sheet1!$B$2:$B$5</c:f>
              <c:numCache>
                <c:formatCode>General</c:formatCode>
                <c:ptCount val="4"/>
                <c:pt idx="0">
                  <c:v>50.19</c:v>
                </c:pt>
                <c:pt idx="3">
                  <c:v>44.95</c:v>
                </c:pt>
              </c:numCache>
            </c:numRef>
          </c:val>
        </c:ser>
        <c:dLbls>
          <c:showLegendKey val="0"/>
          <c:showVal val="0"/>
          <c:showCatName val="0"/>
          <c:showSerName val="0"/>
          <c:showPercent val="0"/>
          <c:showBubbleSize val="0"/>
        </c:dLbls>
        <c:gapWidth val="260"/>
        <c:overlap val="-26"/>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02"/>
    </mc:Choice>
    <mc:Fallback>
      <c:style val="10002"/>
    </mc:Fallback>
  </mc:AlternateContent>
  <c:chart>
    <c:title>
      <c:tx>
        <c:rich>
          <a:bodyPr rot="0" spcFirstLastPara="0" vertOverflow="ellipsis" vert="horz" wrap="square" anchor="ctr" anchorCtr="1"/>
          <a:lstStyle/>
          <a:p>
            <a:pPr algn="l">
              <a:defRPr lang="zh-CN" sz="1400" b="1" i="0" u="none" strike="noStrike" kern="1200" baseline="0">
                <a:solidFill>
                  <a:schemeClr val="dk1">
                    <a:lumMod val="75000"/>
                    <a:lumOff val="25000"/>
                  </a:schemeClr>
                </a:solidFill>
                <a:latin typeface="+mn-lt"/>
                <a:ea typeface="+mn-ea"/>
                <a:cs typeface="+mn-cs"/>
              </a:defRPr>
            </a:pPr>
            <a:r>
              <a:t>卫生健康支出</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2100302</c:v>
                </c:pt>
                <c:pt idx="1">
                  <c:v>2100399</c:v>
                </c:pt>
                <c:pt idx="2">
                  <c:v>2100408</c:v>
                </c:pt>
                <c:pt idx="3">
                  <c:v>2100409</c:v>
                </c:pt>
                <c:pt idx="4">
                  <c:v>2100601</c:v>
                </c:pt>
                <c:pt idx="5">
                  <c:v>2109999</c:v>
                </c:pt>
              </c:numCache>
            </c:numRef>
          </c:cat>
          <c:val>
            <c:numRef>
              <c:f>Sheet1!$B$2:$B$7</c:f>
              <c:numCache>
                <c:formatCode>General</c:formatCode>
                <c:ptCount val="6"/>
                <c:pt idx="0">
                  <c:v>319.12</c:v>
                </c:pt>
                <c:pt idx="1">
                  <c:v>85.1</c:v>
                </c:pt>
                <c:pt idx="2">
                  <c:v>117.02</c:v>
                </c:pt>
                <c:pt idx="3">
                  <c:v>5.8</c:v>
                </c:pt>
                <c:pt idx="4">
                  <c:v>20</c:v>
                </c:pt>
                <c:pt idx="5">
                  <c:v>68.25</c:v>
                </c:pt>
              </c:numCache>
            </c:numRef>
          </c:val>
        </c:ser>
        <c:dLbls>
          <c:showLegendKey val="0"/>
          <c:showVal val="1"/>
          <c:showCatName val="0"/>
          <c:showSerName val="0"/>
          <c:showPercent val="0"/>
          <c:showBubbleSize val="0"/>
        </c:dLbls>
        <c:gapWidth val="260"/>
        <c:overlap val="-32"/>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2210201</c:v>
                </c:pt>
                <c:pt idx="1">
                  <c:v>2210201</c:v>
                </c:pt>
              </c:numCache>
            </c:numRef>
          </c:cat>
          <c:val>
            <c:numRef>
              <c:f>Sheet1!$B$2:$B$3</c:f>
              <c:numCache>
                <c:formatCode>General</c:formatCode>
                <c:ptCount val="2"/>
                <c:pt idx="0">
                  <c:v>98.52</c:v>
                </c:pt>
                <c:pt idx="1">
                  <c:v>98.52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Sheet1!$A$2:$A$12</c:f>
              <c:numCache>
                <c:formatCode>General</c:formatCode>
                <c:ptCount val="11"/>
                <c:pt idx="0">
                  <c:v>30101</c:v>
                </c:pt>
                <c:pt idx="1">
                  <c:v>30102</c:v>
                </c:pt>
                <c:pt idx="2">
                  <c:v>30103</c:v>
                </c:pt>
                <c:pt idx="3">
                  <c:v>30106</c:v>
                </c:pt>
                <c:pt idx="4">
                  <c:v>30107</c:v>
                </c:pt>
                <c:pt idx="5">
                  <c:v>30108</c:v>
                </c:pt>
                <c:pt idx="6">
                  <c:v>30109</c:v>
                </c:pt>
                <c:pt idx="7">
                  <c:v>30110</c:v>
                </c:pt>
                <c:pt idx="8">
                  <c:v>30113</c:v>
                </c:pt>
                <c:pt idx="9">
                  <c:v>30114</c:v>
                </c:pt>
                <c:pt idx="10">
                  <c:v>30199</c:v>
                </c:pt>
              </c:numCache>
            </c:numRef>
          </c:cat>
          <c:val>
            <c:numRef>
              <c:f>Sheet1!$B$2:$B$12</c:f>
              <c:numCache>
                <c:formatCode>General</c:formatCode>
                <c:ptCount val="11"/>
                <c:pt idx="0">
                  <c:v>153.37</c:v>
                </c:pt>
                <c:pt idx="1">
                  <c:v>37.45</c:v>
                </c:pt>
                <c:pt idx="2">
                  <c:v>105.38</c:v>
                </c:pt>
                <c:pt idx="3">
                  <c:v>6.29</c:v>
                </c:pt>
                <c:pt idx="4">
                  <c:v>29.29</c:v>
                </c:pt>
                <c:pt idx="5">
                  <c:v>44.95</c:v>
                </c:pt>
                <c:pt idx="6">
                  <c:v>0</c:v>
                </c:pt>
                <c:pt idx="7">
                  <c:v>0</c:v>
                </c:pt>
                <c:pt idx="8">
                  <c:v>34.34</c:v>
                </c:pt>
                <c:pt idx="9">
                  <c:v>0</c:v>
                </c:pt>
                <c:pt idx="10">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34.86</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12.25</c:v>
                </c:pt>
                <c:pt idx="5">
                  <c:v>0</c:v>
                </c:pt>
                <c:pt idx="6">
                  <c:v>0</c:v>
                </c:pt>
                <c:pt idx="7">
                  <c:v>0</c:v>
                </c:pt>
                <c:pt idx="8">
                  <c:v>0</c:v>
                </c:pt>
                <c:pt idx="9">
                  <c:v>0</c:v>
                </c:pt>
                <c:pt idx="10">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4</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2023-11-27T00:57:21Z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