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center"/>
        <w:rPr>
          <w:rFonts w:ascii="黑体" w:hAnsi="黑体" w:eastAsia="黑体" w:cs="黑体"/>
          <w:b/>
          <w:bCs/>
          <w:color w:val="auto"/>
          <w:sz w:val="52"/>
          <w:szCs w:val="52"/>
          <w:highlight w:val="none"/>
        </w:rPr>
      </w:pPr>
      <w:r>
        <w:rPr>
          <w:rFonts w:hint="eastAsia" w:ascii="黑体" w:hAnsi="黑体" w:eastAsia="黑体" w:cs="黑体"/>
          <w:b/>
          <w:bCs/>
          <w:color w:val="auto"/>
          <w:sz w:val="52"/>
          <w:szCs w:val="52"/>
          <w:highlight w:val="none"/>
          <w:lang w:eastAsia="zh-CN"/>
        </w:rPr>
        <w:t>环江毛南族自治县大才乡卫生院</w:t>
      </w:r>
      <w:r>
        <w:rPr>
          <w:rFonts w:hint="eastAsia" w:ascii="黑体" w:hAnsi="黑体" w:eastAsia="黑体" w:cs="黑体"/>
          <w:b/>
          <w:bCs/>
          <w:color w:val="auto"/>
          <w:sz w:val="52"/>
          <w:szCs w:val="52"/>
          <w:highlight w:val="none"/>
        </w:rPr>
        <w:t>2022年度部门决算</w:t>
      </w:r>
    </w:p>
    <w:p>
      <w:pPr>
        <w:jc w:val="center"/>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center"/>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2023年</w:t>
      </w:r>
      <w:r>
        <w:rPr>
          <w:rFonts w:hint="eastAsia" w:ascii="黑体" w:hAnsi="黑体" w:eastAsia="黑体" w:cs="黑体"/>
          <w:b/>
          <w:bCs/>
          <w:color w:val="auto"/>
          <w:sz w:val="36"/>
          <w:szCs w:val="36"/>
          <w:highlight w:val="none"/>
          <w:lang w:val="en-US" w:eastAsia="zh-CN"/>
        </w:rPr>
        <w:t>10</w:t>
      </w:r>
      <w:r>
        <w:rPr>
          <w:rFonts w:hint="eastAsia" w:ascii="黑体" w:hAnsi="黑体" w:eastAsia="黑体" w:cs="黑体"/>
          <w:b/>
          <w:bCs/>
          <w:color w:val="auto"/>
          <w:sz w:val="36"/>
          <w:szCs w:val="36"/>
          <w:highlight w:val="none"/>
        </w:rPr>
        <w:t>月</w:t>
      </w:r>
    </w:p>
    <w:p>
      <w:pPr>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pPr>
        <w:jc w:val="center"/>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目</w:t>
      </w:r>
      <w:r>
        <w:rPr>
          <w:rFonts w:hint="eastAsia" w:ascii="黑体" w:hAnsi="黑体" w:eastAsia="黑体" w:cs="黑体"/>
          <w:b/>
          <w:bCs/>
          <w:color w:val="auto"/>
          <w:sz w:val="36"/>
          <w:szCs w:val="36"/>
          <w:highlight w:val="none"/>
          <w:lang w:val="en-US" w:eastAsia="zh-CN"/>
        </w:rPr>
        <w:t xml:space="preserve">  </w:t>
      </w:r>
      <w:r>
        <w:rPr>
          <w:rFonts w:hint="eastAsia" w:ascii="黑体" w:hAnsi="黑体" w:eastAsia="黑体" w:cs="黑体"/>
          <w:b/>
          <w:bCs/>
          <w:color w:val="auto"/>
          <w:sz w:val="36"/>
          <w:szCs w:val="36"/>
          <w:highlight w:val="none"/>
        </w:rPr>
        <w:t xml:space="preserve"> 录</w:t>
      </w:r>
    </w:p>
    <w:p>
      <w:pPr>
        <w:jc w:val="left"/>
        <w:rPr>
          <w:rFonts w:ascii="黑体" w:hAnsi="黑体" w:eastAsia="黑体" w:cs="黑体"/>
          <w:b/>
          <w:bCs/>
          <w:color w:val="auto"/>
          <w:sz w:val="36"/>
          <w:szCs w:val="36"/>
          <w:highlight w:val="none"/>
        </w:rPr>
      </w:pP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第一部分：</w:t>
      </w:r>
      <w:r>
        <w:rPr>
          <w:rFonts w:hint="eastAsia" w:ascii="黑体" w:hAnsi="黑体" w:eastAsia="黑体" w:cs="黑体"/>
          <w:color w:val="auto"/>
          <w:sz w:val="32"/>
          <w:u w:color="auto"/>
          <w:lang w:eastAsia="zh-CN"/>
        </w:rPr>
        <w:t>大才乡卫生院</w:t>
      </w:r>
      <w:r>
        <w:rPr>
          <w:rFonts w:hint="eastAsia" w:ascii="黑体" w:hAnsi="黑体" w:eastAsia="黑体" w:cs="黑体"/>
          <w:color w:val="auto"/>
          <w:sz w:val="32"/>
          <w:szCs w:val="32"/>
          <w:highlight w:val="none"/>
        </w:rPr>
        <w:t>概况</w:t>
      </w:r>
    </w:p>
    <w:p>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一、主要职能</w:t>
      </w:r>
    </w:p>
    <w:p>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二、部门决算单位构成</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u w:color="auto"/>
          <w:lang w:eastAsia="zh-CN"/>
        </w:rPr>
        <w:t>大才乡卫生院</w:t>
      </w:r>
      <w:r>
        <w:rPr>
          <w:rFonts w:hint="eastAsia" w:ascii="黑体" w:hAnsi="黑体" w:eastAsia="黑体" w:cs="黑体"/>
          <w:color w:val="auto"/>
          <w:sz w:val="32"/>
          <w:szCs w:val="32"/>
          <w:highlight w:val="none"/>
        </w:rPr>
        <w:t>2022年度部门决算报表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表六：一般公共预算财政拨款基本支出决算明细表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表七：政府性基金</w:t>
      </w:r>
      <w:r>
        <w:rPr>
          <w:rFonts w:hint="eastAsia" w:ascii="仿宋_GB2312" w:hAnsi="黑体" w:eastAsia="仿宋_GB2312"/>
          <w:color w:val="auto"/>
          <w:sz w:val="32"/>
          <w:szCs w:val="32"/>
          <w:highlight w:val="none"/>
        </w:rPr>
        <w:t>预算财政拨款</w:t>
      </w:r>
      <w:r>
        <w:rPr>
          <w:rFonts w:hint="eastAsia" w:ascii="仿宋_GB2312" w:eastAsia="仿宋_GB2312"/>
          <w:color w:val="auto"/>
          <w:sz w:val="32"/>
          <w:szCs w:val="32"/>
          <w:highlight w:val="none"/>
        </w:rPr>
        <w:t>收入支出决算表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表八：国有资本经营预算</w:t>
      </w:r>
      <w:r>
        <w:rPr>
          <w:rFonts w:hint="eastAsia" w:ascii="仿宋_GB2312" w:hAnsi="黑体" w:eastAsia="仿宋_GB2312"/>
          <w:color w:val="auto"/>
          <w:sz w:val="32"/>
          <w:szCs w:val="32"/>
          <w:highlight w:val="none"/>
        </w:rPr>
        <w:t>财政拨款</w:t>
      </w:r>
      <w:r>
        <w:rPr>
          <w:rFonts w:hint="eastAsia" w:ascii="仿宋_GB2312" w:eastAsia="仿宋_GB2312"/>
          <w:color w:val="auto"/>
          <w:sz w:val="32"/>
          <w:szCs w:val="32"/>
          <w:highlight w:val="none"/>
        </w:rPr>
        <w:t>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表九：一般公共预算财政拨款安排的“三公”经费支出决算表</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hint="eastAsia" w:ascii="黑体" w:hAnsi="黑体" w:eastAsia="黑体" w:cs="黑体"/>
          <w:color w:val="auto"/>
          <w:sz w:val="32"/>
          <w:u w:color="auto"/>
          <w:lang w:eastAsia="zh-CN"/>
        </w:rPr>
        <w:t>大才乡卫生院</w:t>
      </w:r>
      <w:r>
        <w:rPr>
          <w:rFonts w:hint="eastAsia" w:ascii="黑体" w:hAnsi="黑体" w:eastAsia="黑体" w:cs="黑体"/>
          <w:color w:val="auto"/>
          <w:sz w:val="32"/>
          <w:szCs w:val="32"/>
          <w:highlight w:val="none"/>
        </w:rPr>
        <w:t>2022年度部门决算情况说明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ascii="仿宋_GB2312" w:eastAsia="仿宋_GB2312"/>
          <w:color w:val="auto"/>
          <w:kern w:val="0"/>
          <w:sz w:val="32"/>
          <w:szCs w:val="32"/>
          <w:highlight w:val="none"/>
        </w:rPr>
        <w:t>202</w:t>
      </w:r>
      <w:r>
        <w:rPr>
          <w:rFonts w:hint="eastAsia" w:ascii="仿宋_GB2312" w:eastAsia="仿宋_GB2312"/>
          <w:color w:val="auto"/>
          <w:kern w:val="0"/>
          <w:sz w:val="32"/>
          <w:szCs w:val="32"/>
          <w:highlight w:val="none"/>
          <w:lang w:val="en-US" w:eastAsia="zh-CN"/>
        </w:rPr>
        <w:t>2</w:t>
      </w:r>
      <w:r>
        <w:rPr>
          <w:rFonts w:hint="eastAsia" w:ascii="仿宋_GB2312" w:eastAsia="仿宋_GB2312" w:cs="仿宋_GB2312"/>
          <w:color w:val="auto"/>
          <w:kern w:val="0"/>
          <w:sz w:val="32"/>
          <w:szCs w:val="32"/>
          <w:highlight w:val="none"/>
        </w:rPr>
        <w:t>年度收入支出决算总体情况。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22</w:t>
      </w:r>
      <w:r>
        <w:rPr>
          <w:rFonts w:hint="eastAsia" w:ascii="仿宋_GB2312" w:eastAsia="仿宋_GB2312" w:cs="仿宋_GB2312"/>
          <w:color w:val="auto"/>
          <w:kern w:val="0"/>
          <w:sz w:val="32"/>
          <w:szCs w:val="32"/>
          <w:highlight w:val="none"/>
        </w:rPr>
        <w:t>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三、20</w:t>
      </w:r>
      <w:r>
        <w:rPr>
          <w:rFonts w:hint="eastAsia" w:ascii="仿宋_GB2312" w:eastAsia="仿宋_GB2312" w:cs="仿宋_GB2312"/>
          <w:color w:val="auto"/>
          <w:kern w:val="0"/>
          <w:sz w:val="32"/>
          <w:szCs w:val="32"/>
          <w:highlight w:val="none"/>
          <w:lang w:val="en-US" w:eastAsia="zh-CN"/>
        </w:rPr>
        <w:t>22</w:t>
      </w:r>
      <w:r>
        <w:rPr>
          <w:rFonts w:hint="eastAsia" w:ascii="仿宋_GB2312" w:eastAsia="仿宋_GB2312" w:cs="仿宋_GB2312"/>
          <w:color w:val="auto"/>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22</w:t>
      </w:r>
      <w:r>
        <w:rPr>
          <w:rFonts w:hint="eastAsia" w:ascii="仿宋_GB2312" w:eastAsia="仿宋_GB2312" w:cs="仿宋_GB2312"/>
          <w:color w:val="auto"/>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五、20</w:t>
      </w:r>
      <w:r>
        <w:rPr>
          <w:rFonts w:hint="eastAsia" w:ascii="仿宋_GB2312" w:eastAsia="仿宋_GB2312" w:cs="仿宋_GB2312"/>
          <w:color w:val="auto"/>
          <w:kern w:val="0"/>
          <w:sz w:val="32"/>
          <w:szCs w:val="32"/>
          <w:highlight w:val="none"/>
          <w:lang w:val="en-US" w:eastAsia="zh-CN"/>
        </w:rPr>
        <w:t>22</w:t>
      </w:r>
      <w:r>
        <w:rPr>
          <w:rFonts w:hint="eastAsia" w:ascii="仿宋_GB2312" w:eastAsia="仿宋_GB2312" w:cs="仿宋_GB2312"/>
          <w:color w:val="auto"/>
          <w:kern w:val="0"/>
          <w:sz w:val="32"/>
          <w:szCs w:val="32"/>
          <w:highlight w:val="none"/>
        </w:rPr>
        <w:t>年度国有资本经营预算支出决算情况</w:t>
      </w:r>
      <w:r>
        <w:rPr>
          <w:rFonts w:hint="eastAsia" w:ascii="仿宋_GB2312" w:eastAsia="仿宋_GB2312" w:cs="仿宋_GB2312"/>
          <w:color w:val="auto"/>
          <w:kern w:val="0"/>
          <w:sz w:val="32"/>
          <w:szCs w:val="32"/>
          <w:highlight w:val="none"/>
          <w:lang w:eastAsia="zh-CN"/>
        </w:rPr>
        <w:t>。</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七、其他重要事项情况说明。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第四部分：名词解释</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jc w:val="center"/>
        <w:rPr>
          <w:rFonts w:ascii="仿宋" w:hAnsi="仿宋" w:eastAsia="仿宋" w:cs="仿宋"/>
          <w:color w:val="auto"/>
          <w:sz w:val="32"/>
          <w:szCs w:val="32"/>
          <w:highlight w:val="none"/>
        </w:rPr>
      </w:pPr>
      <w:r>
        <w:rPr>
          <w:rFonts w:hint="eastAsia" w:ascii="黑体" w:hAnsi="黑体" w:eastAsia="黑体" w:cs="黑体"/>
          <w:b/>
          <w:bCs/>
          <w:color w:val="auto"/>
          <w:sz w:val="32"/>
          <w:szCs w:val="32"/>
          <w:highlight w:val="none"/>
        </w:rPr>
        <w:t>第一部分：</w:t>
      </w:r>
      <w:r>
        <w:rPr>
          <w:rFonts w:hint="eastAsia" w:ascii="黑体" w:hAnsi="黑体" w:eastAsia="黑体" w:cs="黑体"/>
          <w:b/>
          <w:color w:val="auto"/>
          <w:sz w:val="32"/>
          <w:u w:color="auto"/>
          <w:lang w:eastAsia="zh-CN"/>
        </w:rPr>
        <w:t>大才乡卫生院</w:t>
      </w:r>
      <w:r>
        <w:rPr>
          <w:rFonts w:hint="eastAsia" w:ascii="黑体" w:hAnsi="黑体" w:eastAsia="黑体" w:cs="黑体"/>
          <w:b/>
          <w:bCs/>
          <w:color w:val="auto"/>
          <w:sz w:val="32"/>
          <w:szCs w:val="32"/>
          <w:highlight w:val="none"/>
        </w:rPr>
        <w:t>概况</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一、主要职能</w:t>
      </w:r>
    </w:p>
    <w:p>
      <w:pPr>
        <w:widowControl/>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rPr>
        <w:t>根据《环江毛南族自</w:t>
      </w:r>
      <w:r>
        <w:rPr>
          <w:rFonts w:hint="eastAsia" w:ascii="仿宋_GB2312" w:hAnsi="仿宋_GB2312" w:eastAsia="仿宋_GB2312" w:cs="仿宋_GB2312"/>
          <w:color w:val="auto"/>
          <w:sz w:val="32"/>
          <w:szCs w:val="32"/>
        </w:rPr>
        <w:t>治县人民政府办公室关于印发环江毛南族自治县卫生和计划生育委员会主要职责内设机构和人员编制规定的通知》（环政办发[2015]168</w:t>
      </w:r>
      <w:r>
        <w:rPr>
          <w:rFonts w:hint="eastAsia" w:ascii="仿宋_GB2312" w:hAnsi="仿宋_GB2312" w:eastAsia="仿宋_GB2312" w:cs="仿宋_GB2312"/>
          <w:color w:val="auto"/>
          <w:sz w:val="32"/>
          <w:szCs w:val="32"/>
          <w:lang w:eastAsia="zh-CN"/>
        </w:rPr>
        <w:t>号</w:t>
      </w:r>
      <w:r>
        <w:rPr>
          <w:rFonts w:hint="eastAsia" w:ascii="仿宋_GB2312" w:hAnsi="仿宋_GB2312" w:eastAsia="仿宋_GB2312" w:cs="仿宋_GB2312"/>
          <w:color w:val="auto"/>
          <w:sz w:val="32"/>
          <w:szCs w:val="32"/>
        </w:rPr>
        <w:t>）文件规定，本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 xml:space="preserve">主要职责是： </w:t>
      </w:r>
    </w:p>
    <w:p>
      <w:pPr>
        <w:widowControl/>
        <w:wordWrap w:val="0"/>
        <w:autoSpaceDN w:val="0"/>
        <w:spacing w:line="580" w:lineRule="exact"/>
        <w:ind w:firstLine="640" w:firstLineChars="200"/>
        <w:jc w:val="left"/>
        <w:rPr>
          <w:rFonts w:hint="eastAsia" w:eastAsia="仿宋_GB2312"/>
          <w:color w:val="auto"/>
          <w:lang w:eastAsia="zh-CN"/>
        </w:rPr>
      </w:pPr>
      <w:r>
        <w:rPr>
          <w:rFonts w:hint="eastAsia" w:ascii="仿宋_GB2312" w:hAnsi="仿宋_GB2312" w:eastAsia="仿宋_GB2312" w:cs="仿宋_GB2312"/>
          <w:color w:val="auto"/>
          <w:kern w:val="0"/>
          <w:sz w:val="32"/>
          <w:szCs w:val="32"/>
          <w:lang w:eastAsia="zh-CN"/>
        </w:rPr>
        <w:t>我单位是一所集</w:t>
      </w:r>
      <w:r>
        <w:rPr>
          <w:rFonts w:hint="eastAsia" w:ascii="仿宋_GB2312" w:hAnsi="仿宋_GB2312" w:eastAsia="仿宋_GB2312" w:cs="仿宋_GB2312"/>
          <w:color w:val="auto"/>
          <w:kern w:val="0"/>
          <w:sz w:val="32"/>
          <w:szCs w:val="32"/>
        </w:rPr>
        <w:t>医疗</w:t>
      </w:r>
      <w:r>
        <w:rPr>
          <w:rFonts w:hint="eastAsia" w:ascii="仿宋_GB2312" w:hAnsi="仿宋_GB2312" w:eastAsia="仿宋_GB2312" w:cs="仿宋_GB2312"/>
          <w:color w:val="auto"/>
          <w:kern w:val="0"/>
          <w:sz w:val="32"/>
          <w:szCs w:val="32"/>
          <w:lang w:eastAsia="zh-CN"/>
        </w:rPr>
        <w:t>、公共卫生服务</w:t>
      </w:r>
      <w:r>
        <w:rPr>
          <w:rFonts w:hint="eastAsia" w:ascii="仿宋_GB2312" w:hAnsi="仿宋_GB2312" w:eastAsia="仿宋_GB2312" w:cs="仿宋_GB2312"/>
          <w:color w:val="auto"/>
          <w:kern w:val="0"/>
          <w:sz w:val="32"/>
          <w:szCs w:val="32"/>
        </w:rPr>
        <w:t>与预防保健</w:t>
      </w:r>
      <w:r>
        <w:rPr>
          <w:rFonts w:hint="eastAsia" w:ascii="仿宋_GB2312" w:hAnsi="仿宋_GB2312" w:eastAsia="仿宋_GB2312" w:cs="仿宋_GB2312"/>
          <w:color w:val="auto"/>
          <w:kern w:val="0"/>
          <w:sz w:val="32"/>
          <w:szCs w:val="32"/>
          <w:lang w:eastAsia="zh-CN"/>
        </w:rPr>
        <w:t>于一体的非营利性综合医疗机构</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是我县定点医疗机构，坚持以健康服务为中心，为广大人民群众提供优质的医疗服务和基本公共卫生服务，</w:t>
      </w:r>
      <w:r>
        <w:rPr>
          <w:rFonts w:hint="eastAsia" w:ascii="仿宋_GB2312" w:hAnsi="仿宋_GB2312" w:eastAsia="仿宋_GB2312" w:cs="仿宋_GB2312"/>
          <w:color w:val="auto"/>
          <w:kern w:val="0"/>
          <w:sz w:val="32"/>
          <w:szCs w:val="32"/>
        </w:rPr>
        <w:t>提供常见病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多发病</w:t>
      </w:r>
      <w:r>
        <w:rPr>
          <w:rFonts w:hint="eastAsia" w:ascii="仿宋_GB2312" w:hAnsi="仿宋_GB2312" w:eastAsia="仿宋_GB2312" w:cs="仿宋_GB2312"/>
          <w:color w:val="auto"/>
          <w:kern w:val="0"/>
          <w:sz w:val="32"/>
          <w:szCs w:val="32"/>
          <w:lang w:eastAsia="zh-CN"/>
        </w:rPr>
        <w:t>的诊治及</w:t>
      </w:r>
      <w:r>
        <w:rPr>
          <w:rFonts w:hint="eastAsia" w:ascii="仿宋_GB2312" w:hAnsi="仿宋_GB2312" w:eastAsia="仿宋_GB2312" w:cs="仿宋_GB2312"/>
          <w:color w:val="auto"/>
          <w:kern w:val="0"/>
          <w:sz w:val="32"/>
          <w:szCs w:val="32"/>
        </w:rPr>
        <w:t>护理、恢复期病人康复与护理、预防保健、卫生技术人员培训、</w:t>
      </w:r>
      <w:r>
        <w:rPr>
          <w:rFonts w:hint="eastAsia" w:ascii="仿宋_GB2312" w:hAnsi="仿宋_GB2312" w:eastAsia="仿宋_GB2312" w:cs="仿宋_GB2312"/>
          <w:color w:val="auto"/>
          <w:kern w:val="0"/>
          <w:sz w:val="32"/>
          <w:szCs w:val="32"/>
          <w:lang w:eastAsia="zh-CN"/>
        </w:rPr>
        <w:t>医疗保障</w:t>
      </w:r>
      <w:r>
        <w:rPr>
          <w:rFonts w:hint="eastAsia" w:ascii="仿宋_GB2312" w:hAnsi="仿宋_GB2312" w:eastAsia="仿宋_GB2312" w:cs="仿宋_GB2312"/>
          <w:color w:val="auto"/>
          <w:kern w:val="0"/>
          <w:sz w:val="32"/>
          <w:szCs w:val="32"/>
        </w:rPr>
        <w:t>组织与管理、卫生监督与卫生信息管理</w:t>
      </w:r>
      <w:r>
        <w:rPr>
          <w:rFonts w:hint="eastAsia" w:ascii="仿宋_GB2312" w:hAnsi="仿宋_GB2312" w:eastAsia="仿宋_GB2312" w:cs="仿宋_GB2312"/>
          <w:color w:val="auto"/>
          <w:kern w:val="0"/>
          <w:sz w:val="32"/>
          <w:szCs w:val="32"/>
          <w:lang w:eastAsia="zh-CN"/>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二、部门决算单位构成</w:t>
      </w:r>
    </w:p>
    <w:p>
      <w:pPr>
        <w:ind w:firstLine="640" w:firstLineChars="200"/>
        <w:jc w:val="left"/>
        <w:rPr>
          <w:rFonts w:hint="eastAsia" w:ascii="仿宋" w:hAnsi="仿宋" w:eastAsia="仿宋" w:cs="仿宋"/>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年部门决算共</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个，乡镇卫生院1个。</w:t>
      </w:r>
      <w:r>
        <w:rPr>
          <w:rFonts w:hint="eastAsia" w:ascii="仿宋_GB2312" w:eastAsia="仿宋_GB2312"/>
          <w:color w:val="auto"/>
          <w:sz w:val="32"/>
          <w:szCs w:val="32"/>
          <w:lang w:eastAsia="zh-CN"/>
        </w:rPr>
        <w:t>较</w:t>
      </w:r>
      <w:r>
        <w:rPr>
          <w:rFonts w:hint="eastAsia" w:ascii="仿宋_GB2312" w:eastAsia="仿宋_GB2312"/>
          <w:color w:val="auto"/>
          <w:sz w:val="32"/>
          <w:szCs w:val="32"/>
          <w:lang w:val="en-US" w:eastAsia="zh-CN"/>
        </w:rPr>
        <w:t>2021年1个无变化。</w:t>
      </w:r>
    </w:p>
    <w:p>
      <w:pPr>
        <w:ind w:firstLine="640" w:firstLineChars="200"/>
        <w:jc w:val="left"/>
        <w:rPr>
          <w:rFonts w:hint="eastAsia" w:ascii="仿宋" w:hAnsi="仿宋" w:eastAsia="仿宋" w:cs="仿宋"/>
          <w:color w:val="auto"/>
          <w:sz w:val="32"/>
          <w:szCs w:val="32"/>
        </w:rPr>
      </w:pPr>
    </w:p>
    <w:tbl>
      <w:tblPr>
        <w:tblStyle w:val="7"/>
        <w:tblW w:w="86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6"/>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center"/>
              <w:rPr>
                <w:rFonts w:hint="eastAsia" w:ascii="仿宋" w:hAnsi="仿宋" w:eastAsia="仿宋" w:cs="仿宋"/>
                <w:b/>
                <w:color w:val="auto"/>
                <w:kern w:val="0"/>
                <w:sz w:val="32"/>
                <w:szCs w:val="32"/>
              </w:rPr>
            </w:pPr>
            <w:bookmarkStart w:id="0" w:name="_Hlk109379180"/>
            <w:r>
              <w:rPr>
                <w:rFonts w:hint="eastAsia" w:ascii="仿宋" w:hAnsi="仿宋" w:eastAsia="仿宋" w:cs="仿宋"/>
                <w:b/>
                <w:color w:val="auto"/>
                <w:kern w:val="0"/>
                <w:sz w:val="32"/>
                <w:szCs w:val="32"/>
              </w:rPr>
              <w:t>单位名称</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8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环江毛南族自治县大才乡卫生院</w:t>
            </w:r>
          </w:p>
        </w:tc>
        <w:tc>
          <w:tcPr>
            <w:tcW w:w="3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公益一类差额拨款单位</w:t>
            </w:r>
          </w:p>
        </w:tc>
      </w:tr>
      <w:bookmarkEnd w:id="0"/>
    </w:tbl>
    <w:p>
      <w:pPr>
        <w:jc w:val="center"/>
        <w:rPr>
          <w:rFonts w:hint="eastAsia" w:ascii="黑体" w:hAnsi="黑体" w:eastAsia="黑体" w:cs="黑体"/>
          <w:color w:val="auto"/>
          <w:sz w:val="32"/>
          <w:szCs w:val="32"/>
          <w:highlight w:val="none"/>
          <w:lang w:val="en-US" w:eastAsia="zh-CN"/>
        </w:rPr>
      </w:pPr>
    </w:p>
    <w:p>
      <w:pPr>
        <w:jc w:val="center"/>
        <w:rPr>
          <w:rFonts w:hint="eastAsia" w:ascii="黑体" w:hAnsi="黑体" w:eastAsia="黑体" w:cs="黑体"/>
          <w:color w:val="auto"/>
          <w:sz w:val="32"/>
          <w:szCs w:val="32"/>
          <w:highlight w:val="none"/>
          <w:lang w:val="en-US" w:eastAsia="zh-CN"/>
        </w:rPr>
      </w:pPr>
    </w:p>
    <w:p>
      <w:pPr>
        <w:jc w:val="center"/>
        <w:rPr>
          <w:rFonts w:hint="eastAsia" w:ascii="黑体" w:hAnsi="黑体" w:eastAsia="黑体" w:cs="黑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u w:color="auto"/>
          <w:lang w:eastAsia="zh-CN"/>
        </w:rPr>
        <w:t>环江毛南族自治县大才乡卫生院</w:t>
      </w:r>
      <w:r>
        <w:rPr>
          <w:rFonts w:hint="eastAsia" w:ascii="黑体" w:hAnsi="黑体" w:eastAsia="黑体" w:cs="黑体"/>
          <w:color w:val="auto"/>
          <w:sz w:val="32"/>
          <w:szCs w:val="32"/>
          <w:highlight w:val="none"/>
        </w:rPr>
        <w:t>2022年度部门决算报表</w:t>
      </w:r>
    </w:p>
    <w:tbl>
      <w:tblPr>
        <w:tblStyle w:val="7"/>
        <w:tblW w:w="5000" w:type="pct"/>
        <w:tblInd w:w="0" w:type="dxa"/>
        <w:tblLayout w:type="autofit"/>
        <w:tblCellMar>
          <w:top w:w="0" w:type="dxa"/>
          <w:left w:w="108" w:type="dxa"/>
          <w:bottom w:w="0" w:type="dxa"/>
          <w:right w:w="108" w:type="dxa"/>
        </w:tblCellMar>
      </w:tblPr>
      <w:tblGrid>
        <w:gridCol w:w="3576"/>
        <w:gridCol w:w="1940"/>
        <w:gridCol w:w="1780"/>
        <w:gridCol w:w="3516"/>
        <w:gridCol w:w="1746"/>
        <w:gridCol w:w="1616"/>
      </w:tblGrid>
      <w:tr>
        <w:tblPrEx>
          <w:tblCellMar>
            <w:top w:w="0" w:type="dxa"/>
            <w:left w:w="108" w:type="dxa"/>
            <w:bottom w:w="0" w:type="dxa"/>
            <w:right w:w="108" w:type="dxa"/>
          </w:tblCellMar>
        </w:tblPrEx>
        <w:trPr>
          <w:trHeight w:val="902" w:hRule="atLeast"/>
        </w:trPr>
        <w:tc>
          <w:tcPr>
            <w:tcW w:w="5000" w:type="pct"/>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9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85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80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95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78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8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2570" w:type="pct"/>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957"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78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83"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257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收入</w:t>
            </w:r>
          </w:p>
        </w:tc>
        <w:tc>
          <w:tcPr>
            <w:tcW w:w="24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一、一般公共预算财政拨款收入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u w:val="none"/>
                <w:lang w:val="en-US" w:eastAsia="zh-CN" w:bidi="ar"/>
              </w:rPr>
              <w:t>398.58</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一、一般公共服务支出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32</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二、政府性基金预算财政拨款收入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二、外交支出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33</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90"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三、国有资本经营预算财政拨款收入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三、国防支出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34</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四、上级补助收入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i w:val="0"/>
                <w:iCs w:val="0"/>
                <w:color w:val="auto"/>
                <w:kern w:val="0"/>
                <w:sz w:val="22"/>
                <w:szCs w:val="22"/>
                <w:u w:val="none"/>
                <w:lang w:val="en-US" w:eastAsia="zh-CN"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四、公共安全支出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35</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五、事业收入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u w:val="none"/>
                <w:lang w:val="en-US" w:eastAsia="zh-CN" w:bidi="ar"/>
              </w:rPr>
              <w:t>227.14</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五、教育支出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36</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六、经营收入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6</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六、科学技术支出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37</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七、附属单位上缴收入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7</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七、文化旅游体育与传媒支出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38</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八、其他收入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八、社会保障和就业支出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39</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u w:val="none"/>
                <w:lang w:val="en-US" w:eastAsia="zh-CN" w:bidi="ar"/>
              </w:rPr>
              <w:t>18.27</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9</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九、卫生健康支出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40</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u w:val="none"/>
                <w:lang w:val="en-US" w:eastAsia="zh-CN" w:bidi="ar"/>
              </w:rPr>
              <w:t>542.57</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10</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十、节能环保支出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41</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十一、城乡社区支出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42</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十二、农林水支出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43</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十三、交通运输支出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44</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十四、资源勘探工业信息等支出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45</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15</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十五、商业服务业等支出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46</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16</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十六、金融支出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47</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17</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十七、援助其他地区支出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48</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18</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十八、自然资源海洋气象等支出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49</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19</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十九、住房保障支出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50</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u w:val="none"/>
                <w:lang w:val="en-US" w:eastAsia="zh-CN" w:bidi="ar"/>
              </w:rPr>
              <w:t>44.24</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20</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二十、粮油物资储备支出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51</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二十一、国有资本经营预算支出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52</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二十二、灾害防治及应急管理支出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53</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二十三、其他支出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54</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u w:val="none"/>
                <w:lang w:val="en-US" w:eastAsia="zh-CN" w:bidi="ar"/>
              </w:rPr>
              <w:t>18.54</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二十四、债务还本支出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55</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25</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二十五、债务付息支出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56</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26</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二十六、抗疫特别国债安排的支出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57</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本年收入合计</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27</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625.72</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本年支出合计</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58</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u w:val="none"/>
                <w:lang w:val="en-US" w:eastAsia="zh-CN" w:bidi="ar"/>
              </w:rPr>
              <w:t>623.62</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使用非财政拨款结余</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28</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结余分配</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59</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2.09</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年初结转和结余</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29</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年末结转和结余</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60</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30</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61</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总计</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625.72</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总计</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62</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625.72</w:t>
            </w:r>
          </w:p>
        </w:tc>
      </w:tr>
    </w:tbl>
    <w:p>
      <w:pPr>
        <w:rPr>
          <w:rFonts w:ascii="宋体" w:hAnsi="宋体" w:eastAsia="宋体" w:cs="宋体"/>
          <w:color w:val="auto"/>
          <w:kern w:val="0"/>
          <w:sz w:val="30"/>
          <w:szCs w:val="30"/>
          <w:highlight w:val="none"/>
          <w:lang w:bidi="ar"/>
        </w:rPr>
      </w:pPr>
      <w:r>
        <w:rPr>
          <w:rFonts w:hint="eastAsia" w:ascii="宋体" w:hAnsi="宋体" w:eastAsia="宋体" w:cs="宋体"/>
          <w:color w:val="auto"/>
          <w:kern w:val="0"/>
          <w:sz w:val="30"/>
          <w:szCs w:val="30"/>
          <w:highlight w:val="none"/>
          <w:lang w:bidi="ar"/>
        </w:rPr>
        <w:br w:type="page"/>
      </w:r>
    </w:p>
    <w:tbl>
      <w:tblPr>
        <w:tblStyle w:val="7"/>
        <w:tblW w:w="13960" w:type="dxa"/>
        <w:tblInd w:w="96" w:type="dxa"/>
        <w:tblLayout w:type="fixed"/>
        <w:tblCellMar>
          <w:top w:w="0" w:type="dxa"/>
          <w:left w:w="108" w:type="dxa"/>
          <w:bottom w:w="0" w:type="dxa"/>
          <w:right w:w="108" w:type="dxa"/>
        </w:tblCellMar>
      </w:tblPr>
      <w:tblGrid>
        <w:gridCol w:w="1272"/>
        <w:gridCol w:w="1690"/>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2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2686"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7" w:hRule="atLeast"/>
        </w:trPr>
        <w:tc>
          <w:tcPr>
            <w:tcW w:w="12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686"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7" w:hRule="atLeast"/>
        </w:trPr>
        <w:tc>
          <w:tcPr>
            <w:tcW w:w="12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686"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r>
      <w:tr>
        <w:tblPrEx>
          <w:tblCellMar>
            <w:top w:w="0" w:type="dxa"/>
            <w:left w:w="108" w:type="dxa"/>
            <w:bottom w:w="0" w:type="dxa"/>
            <w:right w:w="108" w:type="dxa"/>
          </w:tblCellMar>
        </w:tblPrEx>
        <w:trPr>
          <w:trHeight w:val="684"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625.72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398.58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227.14</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2050101</w:t>
            </w:r>
          </w:p>
        </w:tc>
        <w:tc>
          <w:tcPr>
            <w:tcW w:w="2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18.27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17.27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2050199</w:t>
            </w:r>
          </w:p>
        </w:tc>
        <w:tc>
          <w:tcPr>
            <w:tcW w:w="2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其他教育管理事务支出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18.27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17.27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2050204</w:t>
            </w:r>
          </w:p>
        </w:tc>
        <w:tc>
          <w:tcPr>
            <w:tcW w:w="2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高中教育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18.27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17.27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2050299</w:t>
            </w:r>
          </w:p>
        </w:tc>
        <w:tc>
          <w:tcPr>
            <w:tcW w:w="2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544.66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349.76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194.90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2050302</w:t>
            </w:r>
          </w:p>
        </w:tc>
        <w:tc>
          <w:tcPr>
            <w:tcW w:w="2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中等职业教育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346.75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151.85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194.90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2050399</w:t>
            </w:r>
          </w:p>
        </w:tc>
        <w:tc>
          <w:tcPr>
            <w:tcW w:w="2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其他职业教育支出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301.46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116.70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184.75</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2050803</w:t>
            </w:r>
          </w:p>
        </w:tc>
        <w:tc>
          <w:tcPr>
            <w:tcW w:w="2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培训支出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45.29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35.15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10.14</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2059999</w:t>
            </w:r>
          </w:p>
        </w:tc>
        <w:tc>
          <w:tcPr>
            <w:tcW w:w="2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其他教育支出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102.91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102.91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2080505</w:t>
            </w:r>
          </w:p>
        </w:tc>
        <w:tc>
          <w:tcPr>
            <w:tcW w:w="2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99.39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99.39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2080801</w:t>
            </w:r>
          </w:p>
        </w:tc>
        <w:tc>
          <w:tcPr>
            <w:tcW w:w="2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死亡抚恤</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3.52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3.52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2089999</w:t>
            </w:r>
          </w:p>
        </w:tc>
        <w:tc>
          <w:tcPr>
            <w:tcW w:w="2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其他社会保障和就业支出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20.00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20.00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2101101</w:t>
            </w:r>
          </w:p>
        </w:tc>
        <w:tc>
          <w:tcPr>
            <w:tcW w:w="2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行政单位医疗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20.00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20.00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2101102</w:t>
            </w:r>
          </w:p>
        </w:tc>
        <w:tc>
          <w:tcPr>
            <w:tcW w:w="2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75.00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75.00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2101103</w:t>
            </w:r>
          </w:p>
        </w:tc>
        <w:tc>
          <w:tcPr>
            <w:tcW w:w="2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公务员医疗补助</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75.00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75.00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2130599</w:t>
            </w:r>
          </w:p>
        </w:tc>
        <w:tc>
          <w:tcPr>
            <w:tcW w:w="2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其他巩固脱贫衔接乡村振兴支出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44.24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13.01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31.24</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2210201</w:t>
            </w:r>
          </w:p>
        </w:tc>
        <w:tc>
          <w:tcPr>
            <w:tcW w:w="2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44.24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13.01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31.24</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注：本表反映部门本年度取得的各项收入情况。</w:t>
            </w:r>
          </w:p>
        </w:tc>
      </w:tr>
    </w:tbl>
    <w:p>
      <w:pPr>
        <w:jc w:val="center"/>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center"/>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表三：支出决算表</w:t>
      </w:r>
    </w:p>
    <w:p>
      <w:pPr>
        <w:jc w:val="left"/>
        <w:rPr>
          <w:rFonts w:hint="eastAsia" w:ascii="仿宋" w:hAnsi="仿宋" w:eastAsia="仿宋" w:cs="仿宋"/>
          <w:color w:val="auto"/>
          <w:sz w:val="24"/>
          <w:highlight w:val="none"/>
        </w:rPr>
      </w:pPr>
    </w:p>
    <w:tbl>
      <w:tblPr>
        <w:tblStyle w:val="7"/>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623.62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393.27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230.36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2050101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18.27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18.27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2050199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其他教育管理事务支出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18.27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18.27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2050204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高中教育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18.27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18.27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542.57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312.21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230.36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2050302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中等职业教育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344.66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312.21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32.44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2050399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其他职业教育支出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299.37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291.10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8.27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2050803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培训支出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45.29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21.11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24.18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其他教育支出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102.91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102.91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99.39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99.39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2080801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死亡抚恤</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3.52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3.52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其他社会保障和就业支出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20.00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20.00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2101101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行政单位医疗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20.00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20.00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2101102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75.00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75.00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2101103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公务员医疗补助</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75.00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75.00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2130599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其他巩固脱贫衔接乡村振兴支出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44.24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44.24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44.24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44.24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注：本表反映部门本年度各项支出情况。</w:t>
            </w: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center"/>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表四：财政拨款收入支出决算总表</w:t>
      </w:r>
    </w:p>
    <w:p>
      <w:pPr>
        <w:jc w:val="left"/>
        <w:rPr>
          <w:rFonts w:hint="eastAsia" w:ascii="仿宋" w:hAnsi="仿宋" w:eastAsia="仿宋" w:cs="仿宋"/>
          <w:color w:val="auto"/>
          <w:sz w:val="24"/>
          <w:highlight w:val="none"/>
        </w:rPr>
      </w:pPr>
    </w:p>
    <w:tbl>
      <w:tblPr>
        <w:tblStyle w:val="7"/>
        <w:tblW w:w="5000" w:type="pct"/>
        <w:tblInd w:w="0" w:type="dxa"/>
        <w:tblLayout w:type="autofit"/>
        <w:tblCellMar>
          <w:top w:w="0" w:type="dxa"/>
          <w:left w:w="108" w:type="dxa"/>
          <w:bottom w:w="0" w:type="dxa"/>
          <w:right w:w="108" w:type="dxa"/>
        </w:tblCellMar>
      </w:tblPr>
      <w:tblGrid>
        <w:gridCol w:w="2750"/>
        <w:gridCol w:w="748"/>
        <w:gridCol w:w="1225"/>
        <w:gridCol w:w="2931"/>
        <w:gridCol w:w="809"/>
        <w:gridCol w:w="1026"/>
        <w:gridCol w:w="1644"/>
        <w:gridCol w:w="1673"/>
        <w:gridCol w:w="1368"/>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7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73"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政府性基金预算财政拨款</w:t>
            </w:r>
          </w:p>
        </w:tc>
        <w:tc>
          <w:tcPr>
            <w:tcW w:w="6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398.58</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17.27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17.27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349.76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349.76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13.01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13.01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18.54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18.54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398.58</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59</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398.58</w:t>
            </w:r>
          </w:p>
        </w:tc>
        <w:tc>
          <w:tcPr>
            <w:tcW w:w="16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398.58</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60</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29</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61</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30</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62</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63</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32</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398.58</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64</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398.58</w:t>
            </w:r>
          </w:p>
        </w:tc>
        <w:tc>
          <w:tcPr>
            <w:tcW w:w="16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398.58</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4326"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tc>
        <w:tc>
          <w:tcPr>
            <w:tcW w:w="673"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0"/>
                <w:szCs w:val="20"/>
                <w:highlight w:val="none"/>
              </w:rPr>
            </w:pPr>
          </w:p>
        </w:tc>
      </w:tr>
    </w:tbl>
    <w:p>
      <w:pPr>
        <w:jc w:val="left"/>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表五：一般公共预算财政拨款支出决算表</w:t>
      </w:r>
    </w:p>
    <w:p>
      <w:pPr>
        <w:jc w:val="left"/>
        <w:rPr>
          <w:rFonts w:hint="eastAsia" w:ascii="仿宋" w:hAnsi="仿宋" w:eastAsia="仿宋" w:cs="仿宋"/>
          <w:color w:val="auto"/>
          <w:sz w:val="24"/>
          <w:highlight w:val="none"/>
        </w:rPr>
      </w:pPr>
    </w:p>
    <w:tbl>
      <w:tblPr>
        <w:tblStyle w:val="7"/>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398.58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168.22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230.36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2050101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17.27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17.27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2050199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其他教育管理事务支出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17.27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17.27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2050204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高中教育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17.27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17.27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2050299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其他普通教育支出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349.76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119.41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230.36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2050302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中等职业教育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151.85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119.41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32.44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2050399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其他职业教育支出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116.70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108.44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8.27</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2050803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培训支出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35.15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10.97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24.18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2059999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其他教育支出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102.91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102.91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99.39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99.39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2080801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死亡抚恤</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3.52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3.52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2089999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其他社会保障和就业支出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20.00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2101101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行政单位医疗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20.00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2101102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75.00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75.00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2101103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公务员医疗补助</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75.00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75.00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2130599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其他巩固脱贫衔接乡村振兴支出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13.01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13.01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13.01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13.01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注：本表反映部门本年度一般公共预算财政拨款支出情况。</w:t>
            </w: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表六：一般公共预算财政拨款基本支出决算表</w:t>
      </w:r>
    </w:p>
    <w:p>
      <w:pPr>
        <w:jc w:val="left"/>
        <w:rPr>
          <w:rFonts w:hint="eastAsia" w:ascii="仿宋" w:hAnsi="仿宋" w:eastAsia="仿宋" w:cs="仿宋"/>
          <w:color w:val="auto"/>
          <w:sz w:val="24"/>
          <w:highlight w:val="none"/>
        </w:rPr>
      </w:pPr>
    </w:p>
    <w:tbl>
      <w:tblPr>
        <w:tblStyle w:val="7"/>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工资福利支出</w:t>
            </w:r>
            <w:bookmarkStart w:id="1" w:name="OLE_LINK4"/>
            <w:bookmarkStart w:id="2"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147.48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19.54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26.45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1.09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18.60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1.77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18.26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11.04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9.60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25.27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1.26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4.77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1.19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9.06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1.42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13.01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0.19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9.99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1.21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11.00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1.20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2.03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人员经费合计</w:t>
            </w:r>
          </w:p>
          <w:bookmarkEnd w:id="1"/>
          <w:bookmarkEnd w:id="2"/>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148.69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19.54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19.54</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注：本表反映部门本年度一般公共预算财政拨款基本支出明细情况。</w:t>
            </w:r>
          </w:p>
        </w:tc>
      </w:tr>
    </w:tbl>
    <w:p>
      <w:pPr>
        <w:jc w:val="left"/>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：政府性基金预算财政拨款收入支出决算表</w:t>
      </w:r>
    </w:p>
    <w:p>
      <w:pPr>
        <w:jc w:val="left"/>
        <w:rPr>
          <w:rFonts w:hint="eastAsia" w:ascii="仿宋" w:hAnsi="仿宋" w:eastAsia="仿宋" w:cs="仿宋"/>
          <w:color w:val="auto"/>
          <w:sz w:val="24"/>
          <w:highlight w:val="none"/>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7</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：国有资本经营预算财政拨款支出决算表</w:t>
      </w:r>
    </w:p>
    <w:p>
      <w:pPr>
        <w:jc w:val="left"/>
        <w:rPr>
          <w:rFonts w:hint="eastAsia" w:ascii="仿宋" w:hAnsi="仿宋" w:eastAsia="仿宋" w:cs="仿宋"/>
          <w:color w:val="auto"/>
          <w:sz w:val="24"/>
          <w:highlight w:val="none"/>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8</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auto"/>
          <w:kern w:val="0"/>
          <w:sz w:val="22"/>
          <w:szCs w:val="22"/>
          <w:highlight w:val="none"/>
          <w:lang w:bidi="ar"/>
        </w:rPr>
        <w:br w:type="page"/>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表九：</w:t>
            </w:r>
            <w:r>
              <w:rPr>
                <w:rFonts w:hint="eastAsia" w:ascii="仿宋" w:hAnsi="仿宋" w:eastAsia="仿宋" w:cs="仿宋"/>
                <w:color w:val="auto"/>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auto"/>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9</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0.35</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0.35</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auto"/>
                <w:highlight w:val="none"/>
              </w:rPr>
            </w:pPr>
            <w:r>
              <w:rPr>
                <w:rFonts w:hint="eastAsia" w:ascii="宋体" w:hAnsi="宋体" w:eastAsia="宋体" w:cs="宋体"/>
                <w:i w:val="0"/>
                <w:iCs w:val="0"/>
                <w:color w:val="auto"/>
                <w:kern w:val="0"/>
                <w:sz w:val="22"/>
                <w:szCs w:val="22"/>
                <w:u w:val="none"/>
                <w:lang w:val="en-US" w:eastAsia="zh-CN" w:bidi="ar"/>
              </w:rPr>
              <w:t>0.00</w:t>
            </w:r>
          </w:p>
        </w:tc>
        <w:tc>
          <w:tcPr>
            <w:tcW w:w="10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auto"/>
                <w:highlight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pPr>
        <w:ind w:firstLine="420" w:firstLineChars="0"/>
        <w:jc w:val="left"/>
        <w:rPr>
          <w:rFonts w:ascii="仿宋" w:hAnsi="仿宋" w:eastAsia="仿宋" w:cs="仿宋"/>
          <w:color w:val="auto"/>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color w:val="auto"/>
          <w:sz w:val="24"/>
          <w:highlight w:val="none"/>
        </w:rPr>
      </w:pPr>
    </w:p>
    <w:p>
      <w:pPr>
        <w:jc w:val="center"/>
        <w:rPr>
          <w:rFonts w:hint="eastAsia" w:ascii="黑体" w:hAnsi="黑体" w:eastAsia="黑体" w:cs="黑体"/>
          <w:color w:val="auto"/>
          <w:sz w:val="32"/>
          <w:u w:color="auto"/>
          <w:lang w:eastAsia="zh-CN"/>
        </w:rPr>
      </w:pPr>
      <w:r>
        <w:rPr>
          <w:rFonts w:hint="eastAsia" w:ascii="黑体" w:hAnsi="黑体" w:eastAsia="黑体" w:cs="黑体"/>
          <w:color w:val="auto"/>
          <w:sz w:val="32"/>
          <w:szCs w:val="32"/>
          <w:highlight w:val="none"/>
        </w:rPr>
        <w:t>第三部分：</w:t>
      </w:r>
      <w:r>
        <w:rPr>
          <w:rFonts w:hint="eastAsia" w:ascii="黑体" w:hAnsi="黑体" w:eastAsia="黑体" w:cs="黑体"/>
          <w:color w:val="auto"/>
          <w:sz w:val="32"/>
          <w:u w:color="auto"/>
          <w:lang w:eastAsia="zh-CN"/>
        </w:rPr>
        <w:t>环江毛南族自治县大才乡卫生院</w:t>
      </w:r>
    </w:p>
    <w:p>
      <w:pPr>
        <w:jc w:val="center"/>
        <w:rPr>
          <w:rFonts w:ascii="仿宋" w:hAnsi="仿宋" w:eastAsia="仿宋" w:cs="仿宋"/>
          <w:color w:val="auto"/>
          <w:sz w:val="32"/>
          <w:szCs w:val="32"/>
          <w:highlight w:val="none"/>
        </w:rPr>
      </w:pP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2022年度部门决算情况说明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一、2022年度收入支出决算总体情况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（一）本部门2022年度总收入</w:t>
      </w:r>
      <w:r>
        <w:rPr>
          <w:rFonts w:hint="eastAsia" w:ascii="仿宋" w:hAnsi="仿宋" w:eastAsia="仿宋" w:cs="仿宋"/>
          <w:color w:val="auto"/>
          <w:sz w:val="32"/>
          <w:u w:color="auto"/>
          <w:lang w:val="en-US" w:eastAsia="zh-CN"/>
        </w:rPr>
        <w:t>625.72</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eastAsia="zh-CN"/>
        </w:rPr>
        <w:t>增加</w:t>
      </w:r>
      <w:r>
        <w:rPr>
          <w:rFonts w:hint="eastAsia" w:ascii="仿宋" w:hAnsi="仿宋" w:eastAsia="仿宋" w:cs="仿宋"/>
          <w:color w:val="auto"/>
          <w:sz w:val="32"/>
          <w:u w:color="auto"/>
          <w:lang w:val="en-US" w:eastAsia="zh-CN"/>
        </w:rPr>
        <w:t>110.09</w:t>
      </w:r>
      <w:r>
        <w:rPr>
          <w:rFonts w:hint="eastAsia" w:ascii="仿宋" w:hAnsi="仿宋" w:eastAsia="仿宋" w:cs="仿宋"/>
          <w:color w:val="auto"/>
          <w:sz w:val="32"/>
          <w:szCs w:val="32"/>
          <w:highlight w:val="none"/>
        </w:rPr>
        <w:t>万元，</w:t>
      </w:r>
      <w:r>
        <w:rPr>
          <w:rFonts w:hint="eastAsia" w:ascii="仿宋" w:hAnsi="仿宋" w:eastAsia="仿宋" w:cs="仿宋"/>
          <w:color w:val="auto"/>
          <w:sz w:val="32"/>
          <w:u w:color="auto"/>
          <w:lang w:eastAsia="zh-CN"/>
        </w:rPr>
        <w:t>增长</w:t>
      </w:r>
      <w:r>
        <w:rPr>
          <w:rFonts w:hint="eastAsia" w:ascii="仿宋" w:hAnsi="仿宋" w:eastAsia="仿宋" w:cs="仿宋"/>
          <w:color w:val="auto"/>
          <w:sz w:val="32"/>
          <w:u w:color="auto"/>
          <w:lang w:val="en-US" w:eastAsia="zh-CN"/>
        </w:rPr>
        <w:t>17.59</w:t>
      </w:r>
      <w:r>
        <w:rPr>
          <w:rFonts w:ascii="仿宋" w:hAnsi="仿宋" w:eastAsia="仿宋" w:cs="仿宋"/>
          <w:color w:val="auto"/>
          <w:sz w:val="32"/>
          <w:u w:color="auto"/>
        </w:rPr>
        <w:t>%</w:t>
      </w:r>
      <w:r>
        <w:rPr>
          <w:rFonts w:hint="eastAsia" w:ascii="仿宋" w:hAnsi="仿宋" w:eastAsia="仿宋" w:cs="仿宋"/>
          <w:color w:val="auto"/>
          <w:sz w:val="32"/>
          <w:szCs w:val="32"/>
          <w:highlight w:val="none"/>
        </w:rPr>
        <w:t>，其中本年收入</w:t>
      </w:r>
      <w:r>
        <w:rPr>
          <w:rFonts w:hint="eastAsia" w:ascii="仿宋" w:hAnsi="仿宋" w:eastAsia="仿宋" w:cs="仿宋"/>
          <w:color w:val="auto"/>
          <w:sz w:val="32"/>
          <w:u w:color="auto"/>
          <w:lang w:val="en-US" w:eastAsia="zh-CN"/>
        </w:rPr>
        <w:t>625.72</w:t>
      </w:r>
      <w:r>
        <w:rPr>
          <w:rFonts w:hint="eastAsia" w:ascii="仿宋" w:hAnsi="仿宋" w:eastAsia="仿宋" w:cs="仿宋"/>
          <w:color w:val="auto"/>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1.一般公共预算财政拨款收入</w:t>
      </w:r>
      <w:r>
        <w:rPr>
          <w:rFonts w:hint="eastAsia" w:ascii="仿宋" w:hAnsi="仿宋" w:eastAsia="仿宋" w:cs="仿宋"/>
          <w:color w:val="auto"/>
          <w:sz w:val="32"/>
          <w:u w:color="auto"/>
          <w:lang w:val="en-US" w:eastAsia="zh-CN"/>
        </w:rPr>
        <w:t>398.58</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lang w:eastAsia="zh-CN"/>
        </w:rPr>
        <w:t>环江县</w:t>
      </w:r>
      <w:r>
        <w:rPr>
          <w:rFonts w:hint="eastAsia" w:ascii="仿宋" w:hAnsi="仿宋" w:eastAsia="仿宋" w:cs="仿宋"/>
          <w:color w:val="auto"/>
          <w:kern w:val="2"/>
          <w:sz w:val="32"/>
          <w:szCs w:val="32"/>
          <w:highlight w:val="none"/>
          <w:lang w:val="en-US" w:eastAsia="zh-CN" w:bidi="ar"/>
        </w:rPr>
        <w:t>财政当年拨付的资金。较2021年度决算数增加</w:t>
      </w:r>
      <w:r>
        <w:rPr>
          <w:rFonts w:hint="eastAsia" w:ascii="仿宋" w:hAnsi="仿宋" w:eastAsia="仿宋" w:cs="仿宋"/>
          <w:color w:val="auto"/>
          <w:sz w:val="32"/>
          <w:u w:color="auto"/>
          <w:lang w:val="en-US" w:eastAsia="zh-CN"/>
        </w:rPr>
        <w:t>234.05</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242.25</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w:t>
      </w:r>
      <w:r>
        <w:rPr>
          <w:rFonts w:hint="eastAsia" w:ascii="仿宋_GB2312" w:eastAsia="仿宋_GB2312"/>
          <w:bCs/>
          <w:color w:val="auto"/>
          <w:kern w:val="0"/>
          <w:sz w:val="32"/>
          <w:szCs w:val="32"/>
          <w:lang w:eastAsia="zh-CN"/>
        </w:rPr>
        <w:t>工资提高所致以及基本公卫共卫生项目资金、重大公共卫生项目资金不在年初预算反应</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2.政府性基金预算财政拨款收入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lang w:eastAsia="zh-CN"/>
        </w:rPr>
        <w:t>环江县</w:t>
      </w:r>
      <w:r>
        <w:rPr>
          <w:rFonts w:hint="eastAsia" w:ascii="仿宋" w:hAnsi="仿宋" w:eastAsia="仿宋" w:cs="仿宋"/>
          <w:color w:val="auto"/>
          <w:kern w:val="2"/>
          <w:sz w:val="32"/>
          <w:szCs w:val="32"/>
          <w:highlight w:val="none"/>
          <w:lang w:val="en-US" w:eastAsia="zh-CN" w:bidi="ar"/>
        </w:rPr>
        <w:t>财政当年拨付的资金。较2021年度决算数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，主要原因：本单位没有政府性基金预算财政拨款收入。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lang w:eastAsia="zh-CN"/>
        </w:rPr>
        <w:t>环江县</w:t>
      </w:r>
      <w:r>
        <w:rPr>
          <w:rFonts w:hint="eastAsia" w:ascii="仿宋" w:hAnsi="仿宋" w:eastAsia="仿宋" w:cs="仿宋"/>
          <w:color w:val="auto"/>
          <w:kern w:val="2"/>
          <w:sz w:val="32"/>
          <w:szCs w:val="32"/>
          <w:highlight w:val="none"/>
          <w:lang w:val="en-US" w:eastAsia="zh-CN" w:bidi="ar"/>
        </w:rPr>
        <w:t>财政当年拨付的资金。较2021年度决算数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4.上级补助收入</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万元，为上级部门当年拨付的资金。较2021年度决算数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，主要原因是：本单位没有上级补助收入。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5.事业收入</w:t>
      </w:r>
      <w:r>
        <w:rPr>
          <w:rFonts w:hint="eastAsia" w:ascii="仿宋" w:hAnsi="仿宋" w:eastAsia="仿宋" w:cs="仿宋"/>
          <w:color w:val="auto"/>
          <w:sz w:val="32"/>
          <w:u w:color="auto"/>
          <w:lang w:val="en-US" w:eastAsia="zh-CN"/>
        </w:rPr>
        <w:t>227.14</w:t>
      </w:r>
      <w:r>
        <w:rPr>
          <w:rFonts w:hint="eastAsia" w:ascii="仿宋" w:hAnsi="仿宋" w:eastAsia="仿宋" w:cs="仿宋"/>
          <w:color w:val="auto"/>
          <w:kern w:val="2"/>
          <w:sz w:val="32"/>
          <w:szCs w:val="32"/>
          <w:highlight w:val="none"/>
          <w:lang w:val="en-US" w:eastAsia="zh-CN" w:bidi="ar"/>
        </w:rPr>
        <w:t>万元，为事业单位开展业务活动取得的收入。较2021年度决算数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43.97</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19.36</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，主要原因是：医疗机构业务收入增加。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6.经营收入0.00万,为事业单位在业务活动之外开展非独立核算经营活动取得的收入。较2021年度决算数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8.其他收入</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color w:val="auto"/>
          <w:sz w:val="32"/>
          <w:u w:color="auto"/>
        </w:rPr>
        <w:t>减少</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下降</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9.使用非财政拨款结余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，主要原因是：本单位没有非财政拨款结余。</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bidi="ar"/>
        </w:rPr>
        <w:t>10.上年结转和结余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color w:val="auto"/>
          <w:sz w:val="32"/>
          <w:u w:color="auto"/>
        </w:rPr>
        <w:t>减少</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下降</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，主要原因：部分项目已在本年执行完毕，不需要结转至下年继续执行。</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（二）本部门2022年度总支出</w:t>
      </w:r>
      <w:r>
        <w:rPr>
          <w:rFonts w:hint="eastAsia" w:ascii="仿宋" w:hAnsi="仿宋" w:eastAsia="仿宋" w:cs="仿宋"/>
          <w:color w:val="auto"/>
          <w:sz w:val="32"/>
          <w:u w:color="auto"/>
          <w:lang w:val="en-US" w:eastAsia="zh-CN"/>
        </w:rPr>
        <w:t>625.72</w:t>
      </w:r>
      <w:r>
        <w:rPr>
          <w:rFonts w:hint="eastAsia" w:ascii="仿宋" w:hAnsi="仿宋" w:eastAsia="仿宋" w:cs="仿宋"/>
          <w:color w:val="auto"/>
          <w:sz w:val="32"/>
          <w:szCs w:val="32"/>
          <w:highlight w:val="none"/>
        </w:rPr>
        <w:t>万元，其中本年支出</w:t>
      </w:r>
      <w:r>
        <w:rPr>
          <w:rFonts w:hint="eastAsia" w:ascii="仿宋" w:hAnsi="仿宋" w:eastAsia="仿宋" w:cs="仿宋"/>
          <w:color w:val="auto"/>
          <w:sz w:val="32"/>
          <w:u w:color="auto"/>
          <w:lang w:val="en-US" w:eastAsia="zh-CN"/>
        </w:rPr>
        <w:t>623.62</w:t>
      </w:r>
      <w:r>
        <w:rPr>
          <w:rFonts w:hint="eastAsia" w:ascii="仿宋" w:hAnsi="仿宋" w:eastAsia="仿宋" w:cs="仿宋"/>
          <w:color w:val="auto"/>
          <w:sz w:val="32"/>
          <w:szCs w:val="32"/>
          <w:highlight w:val="none"/>
        </w:rPr>
        <w:t>万元，较2021年度决算数</w:t>
      </w:r>
      <w:r>
        <w:rPr>
          <w:rFonts w:hint="eastAsia" w:ascii="仿宋" w:hAnsi="仿宋" w:eastAsia="仿宋" w:cs="仿宋"/>
          <w:color w:val="auto"/>
          <w:sz w:val="32"/>
          <w:szCs w:val="32"/>
          <w:highlight w:val="none"/>
          <w:lang w:eastAsia="zh-CN"/>
        </w:rPr>
        <w:t>增加</w:t>
      </w:r>
      <w:r>
        <w:rPr>
          <w:rFonts w:hint="eastAsia" w:ascii="仿宋" w:hAnsi="仿宋" w:eastAsia="仿宋" w:cs="仿宋"/>
          <w:color w:val="auto"/>
          <w:sz w:val="32"/>
          <w:szCs w:val="32"/>
          <w:highlight w:val="none"/>
          <w:lang w:val="en-US" w:eastAsia="zh-CN"/>
        </w:rPr>
        <w:t>110.09</w:t>
      </w:r>
      <w:r>
        <w:rPr>
          <w:rFonts w:hint="eastAsia" w:ascii="仿宋" w:hAnsi="仿宋" w:eastAsia="仿宋" w:cs="仿宋"/>
          <w:color w:val="auto"/>
          <w:sz w:val="32"/>
          <w:szCs w:val="32"/>
          <w:highlight w:val="none"/>
        </w:rPr>
        <w:t>万元，</w:t>
      </w:r>
      <w:r>
        <w:rPr>
          <w:rFonts w:hint="eastAsia" w:ascii="仿宋" w:hAnsi="仿宋" w:eastAsia="仿宋" w:cs="仿宋"/>
          <w:color w:val="auto"/>
          <w:sz w:val="32"/>
          <w:u w:color="auto"/>
          <w:lang w:eastAsia="zh-CN"/>
        </w:rPr>
        <w:t>增长</w:t>
      </w:r>
      <w:r>
        <w:rPr>
          <w:rFonts w:hint="eastAsia" w:ascii="仿宋" w:hAnsi="仿宋" w:eastAsia="仿宋" w:cs="仿宋"/>
          <w:color w:val="auto"/>
          <w:sz w:val="32"/>
          <w:u w:color="auto"/>
          <w:lang w:val="en-US" w:eastAsia="zh-CN"/>
        </w:rPr>
        <w:t>17.59</w:t>
      </w:r>
      <w:r>
        <w:rPr>
          <w:rFonts w:ascii="仿宋" w:hAnsi="仿宋" w:eastAsia="仿宋" w:cs="仿宋"/>
          <w:color w:val="auto"/>
          <w:sz w:val="32"/>
          <w:u w:color="auto"/>
        </w:rPr>
        <w:t>%</w:t>
      </w:r>
      <w:r>
        <w:rPr>
          <w:rFonts w:hint="eastAsia" w:ascii="仿宋" w:hAnsi="仿宋" w:eastAsia="仿宋" w:cs="仿宋"/>
          <w:color w:val="auto"/>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1</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社会保障和就业支出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208</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18.27</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主要用于在职在编人员养老保险费支出</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eastAsia="zh-CN" w:bidi="ar"/>
        </w:rPr>
        <w:t>增加</w:t>
      </w:r>
      <w:r>
        <w:rPr>
          <w:rFonts w:hint="eastAsia" w:ascii="仿宋" w:hAnsi="仿宋" w:eastAsia="仿宋" w:cs="仿宋"/>
          <w:color w:val="auto"/>
          <w:sz w:val="32"/>
          <w:szCs w:val="32"/>
          <w:highlight w:val="none"/>
          <w:lang w:val="en-US" w:eastAsia="zh-CN" w:bidi="ar"/>
        </w:rPr>
        <w:t>0.28</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bidi="ar"/>
        </w:rPr>
        <w:t>增长</w:t>
      </w:r>
      <w:r>
        <w:rPr>
          <w:rFonts w:hint="eastAsia" w:ascii="仿宋" w:hAnsi="仿宋" w:eastAsia="仿宋" w:cs="仿宋"/>
          <w:color w:val="auto"/>
          <w:sz w:val="32"/>
          <w:szCs w:val="32"/>
          <w:highlight w:val="none"/>
          <w:lang w:bidi="ar"/>
        </w:rPr>
        <w:t>1.</w:t>
      </w:r>
      <w:r>
        <w:rPr>
          <w:rFonts w:hint="eastAsia" w:ascii="仿宋" w:hAnsi="仿宋" w:eastAsia="仿宋" w:cs="仿宋"/>
          <w:color w:val="auto"/>
          <w:sz w:val="32"/>
          <w:szCs w:val="32"/>
          <w:highlight w:val="none"/>
          <w:lang w:val="en-US" w:eastAsia="zh-CN" w:bidi="ar"/>
        </w:rPr>
        <w:t>53</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主要原因是：人员变动所致，属于正常变动。</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2</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卫生健康支出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210</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542.57</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_GB2312" w:eastAsia="仿宋_GB2312" w:cs="仿宋_GB2312"/>
          <w:color w:val="auto"/>
          <w:kern w:val="0"/>
          <w:sz w:val="32"/>
          <w:szCs w:val="32"/>
        </w:rPr>
        <w:t>一是医疗卫生机构按国家规定发放的在职人员工资津补贴及离退休人员工</w:t>
      </w:r>
      <w:r>
        <w:rPr>
          <w:rFonts w:hint="eastAsia" w:ascii="仿宋_GB2312" w:eastAsia="仿宋_GB2312" w:cs="仿宋_GB2312"/>
          <w:color w:val="auto"/>
          <w:kern w:val="0"/>
          <w:sz w:val="32"/>
          <w:szCs w:val="32"/>
          <w:lang w:eastAsia="zh-CN"/>
        </w:rPr>
        <w:t>资等</w:t>
      </w:r>
      <w:r>
        <w:rPr>
          <w:rFonts w:hint="eastAsia" w:ascii="仿宋_GB2312" w:eastAsia="仿宋_GB2312" w:cs="仿宋_GB2312"/>
          <w:color w:val="auto"/>
          <w:kern w:val="0"/>
          <w:sz w:val="32"/>
          <w:szCs w:val="32"/>
        </w:rPr>
        <w:t>方面</w:t>
      </w:r>
      <w:r>
        <w:rPr>
          <w:rFonts w:hint="eastAsia" w:ascii="仿宋_GB2312" w:eastAsia="仿宋_GB2312" w:cs="仿宋_GB2312"/>
          <w:color w:val="auto"/>
          <w:kern w:val="0"/>
          <w:sz w:val="32"/>
          <w:szCs w:val="32"/>
          <w:lang w:eastAsia="zh-CN"/>
        </w:rPr>
        <w:t>基本</w:t>
      </w:r>
      <w:r>
        <w:rPr>
          <w:rFonts w:hint="eastAsia" w:ascii="仿宋_GB2312" w:eastAsia="仿宋_GB2312" w:cs="仿宋_GB2312"/>
          <w:color w:val="auto"/>
          <w:kern w:val="0"/>
          <w:sz w:val="32"/>
          <w:szCs w:val="32"/>
        </w:rPr>
        <w:t>支出；二是项目类支出。</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eastAsia="zh-CN" w:bidi="ar"/>
        </w:rPr>
        <w:t>增加</w:t>
      </w:r>
      <w:r>
        <w:rPr>
          <w:rFonts w:hint="eastAsia" w:ascii="仿宋" w:hAnsi="仿宋" w:eastAsia="仿宋" w:cs="仿宋"/>
          <w:color w:val="auto"/>
          <w:sz w:val="32"/>
          <w:szCs w:val="32"/>
          <w:highlight w:val="none"/>
          <w:lang w:val="en-US" w:eastAsia="zh-CN" w:bidi="ar"/>
        </w:rPr>
        <w:t>141.40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bidi="ar"/>
        </w:rPr>
        <w:t>增长</w:t>
      </w:r>
      <w:r>
        <w:rPr>
          <w:rFonts w:hint="eastAsia" w:ascii="仿宋" w:hAnsi="仿宋" w:eastAsia="仿宋" w:cs="仿宋"/>
          <w:color w:val="auto"/>
          <w:sz w:val="32"/>
          <w:szCs w:val="32"/>
          <w:highlight w:val="none"/>
          <w:lang w:val="en-US" w:eastAsia="zh-CN" w:bidi="ar"/>
        </w:rPr>
        <w:t>26.06</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主要原因是：属于正常变动。</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3</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住房保障支出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44.24</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用于在职在编及聘用人员住房公积金支出</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eastAsia="zh-CN" w:bidi="ar"/>
        </w:rPr>
        <w:t>增加</w:t>
      </w:r>
      <w:r>
        <w:rPr>
          <w:rFonts w:hint="eastAsia" w:ascii="仿宋" w:hAnsi="仿宋" w:eastAsia="仿宋" w:cs="仿宋"/>
          <w:color w:val="auto"/>
          <w:sz w:val="32"/>
          <w:szCs w:val="32"/>
          <w:highlight w:val="none"/>
          <w:lang w:val="en-US" w:eastAsia="zh-CN" w:bidi="ar"/>
        </w:rPr>
        <w:t>30.91</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增长</w:t>
      </w:r>
      <w:r>
        <w:rPr>
          <w:rFonts w:hint="eastAsia" w:ascii="仿宋" w:hAnsi="仿宋" w:eastAsia="仿宋" w:cs="仿宋"/>
          <w:color w:val="auto"/>
          <w:sz w:val="32"/>
          <w:szCs w:val="32"/>
          <w:highlight w:val="none"/>
          <w:lang w:val="en-US" w:eastAsia="zh-CN" w:bidi="ar"/>
        </w:rPr>
        <w:t>69.86</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主要原因是：人员变动所致，聘用人员公积金未在年初预算反应，是属于正常变动。</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color w:val="auto"/>
          <w:sz w:val="32"/>
          <w:szCs w:val="32"/>
          <w:highlight w:val="none"/>
          <w:lang w:eastAsia="zh-CN" w:bidi="ar"/>
        </w:rPr>
      </w:pPr>
      <w:r>
        <w:rPr>
          <w:rFonts w:hint="default" w:ascii="仿宋_GB2312" w:hAnsi="微软雅黑" w:eastAsia="仿宋_GB2312" w:cs="仿宋_GB2312"/>
          <w:i w:val="0"/>
          <w:iCs w:val="0"/>
          <w:caps w:val="0"/>
          <w:color w:val="auto"/>
          <w:spacing w:val="0"/>
          <w:sz w:val="31"/>
          <w:szCs w:val="31"/>
          <w:highlight w:val="none"/>
          <w:shd w:val="clear" w:color="auto" w:fill="FFFFFF"/>
        </w:rPr>
        <w:t>结余分配</w:t>
      </w:r>
      <w:r>
        <w:rPr>
          <w:rFonts w:hint="eastAsia" w:ascii="仿宋_GB2312" w:hAnsi="微软雅黑" w:eastAsia="仿宋_GB2312" w:cs="仿宋_GB2312"/>
          <w:color w:val="auto"/>
          <w:sz w:val="31"/>
          <w:szCs w:val="31"/>
          <w:highlight w:val="none"/>
          <w:shd w:val="clear" w:color="auto" w:fill="FFFFFF"/>
          <w:lang w:val="en-US" w:eastAsia="zh-CN"/>
        </w:rPr>
        <w:t>2.09</w:t>
      </w:r>
      <w:r>
        <w:rPr>
          <w:rFonts w:hint="default" w:ascii="仿宋_GB2312" w:hAnsi="微软雅黑" w:eastAsia="仿宋_GB2312" w:cs="仿宋_GB2312"/>
          <w:i w:val="0"/>
          <w:iCs w:val="0"/>
          <w:caps w:val="0"/>
          <w:color w:val="auto"/>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auto"/>
          <w:spacing w:val="0"/>
          <w:sz w:val="31"/>
          <w:szCs w:val="31"/>
          <w:highlight w:val="none"/>
          <w:shd w:val="clear" w:color="auto" w:fill="FFFFFF"/>
        </w:rPr>
        <w:t>年决算</w:t>
      </w:r>
      <w:r>
        <w:rPr>
          <w:rFonts w:hint="eastAsia" w:ascii="仿宋_GB2312" w:hAnsi="微软雅黑" w:eastAsia="仿宋_GB2312" w:cs="仿宋_GB2312"/>
          <w:color w:val="auto"/>
          <w:sz w:val="31"/>
          <w:szCs w:val="31"/>
          <w:highlight w:val="none"/>
          <w:shd w:val="clear" w:color="auto" w:fill="FFFFFF"/>
          <w:lang w:val="en-US" w:eastAsia="zh-CN"/>
        </w:rPr>
        <w:t>53.08</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w:t>
      </w:r>
      <w:r>
        <w:rPr>
          <w:rFonts w:hint="eastAsia" w:ascii="仿宋_GB2312" w:hAnsi="微软雅黑" w:eastAsia="仿宋_GB2312" w:cs="仿宋_GB2312"/>
          <w:color w:val="auto"/>
          <w:sz w:val="31"/>
          <w:szCs w:val="31"/>
          <w:highlight w:val="none"/>
          <w:shd w:val="clear" w:color="auto" w:fill="FFFFFF"/>
          <w:lang w:eastAsia="zh-CN"/>
        </w:rPr>
        <w:t>减少</w:t>
      </w:r>
      <w:r>
        <w:rPr>
          <w:rFonts w:hint="eastAsia" w:ascii="仿宋_GB2312" w:hAnsi="微软雅黑" w:eastAsia="仿宋_GB2312" w:cs="仿宋_GB2312"/>
          <w:color w:val="auto"/>
          <w:sz w:val="31"/>
          <w:szCs w:val="31"/>
          <w:highlight w:val="none"/>
          <w:shd w:val="clear" w:color="auto" w:fill="FFFFFF"/>
          <w:lang w:val="en-US" w:eastAsia="zh-CN"/>
        </w:rPr>
        <w:t>50.99</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lang w:eastAsia="zh-CN"/>
        </w:rPr>
        <w:t>减少</w:t>
      </w:r>
      <w:r>
        <w:rPr>
          <w:rFonts w:hint="eastAsia" w:ascii="仿宋_GB2312" w:hAnsi="微软雅黑" w:eastAsia="仿宋_GB2312" w:cs="仿宋_GB2312"/>
          <w:color w:val="auto"/>
          <w:sz w:val="31"/>
          <w:szCs w:val="31"/>
          <w:highlight w:val="none"/>
          <w:shd w:val="clear" w:color="auto" w:fill="FFFFFF"/>
          <w:lang w:val="en-US" w:eastAsia="zh-CN"/>
        </w:rPr>
        <w:t>2439.71</w:t>
      </w:r>
      <w:r>
        <w:rPr>
          <w:rFonts w:hint="eastAsia" w:ascii="仿宋_GB2312" w:hAnsi="微软雅黑" w:eastAsia="仿宋_GB2312" w:cs="仿宋_GB2312"/>
          <w:color w:val="auto"/>
          <w:sz w:val="31"/>
          <w:szCs w:val="31"/>
          <w:highlight w:val="none"/>
          <w:shd w:val="clear" w:color="auto" w:fill="FFFFFF"/>
        </w:rPr>
        <w:t>%</w:t>
      </w:r>
      <w:r>
        <w:rPr>
          <w:rFonts w:hint="default" w:ascii="仿宋_GB2312" w:hAnsi="微软雅黑" w:eastAsia="仿宋_GB2312" w:cs="仿宋_GB2312"/>
          <w:i w:val="0"/>
          <w:iCs w:val="0"/>
          <w:caps w:val="0"/>
          <w:color w:val="auto"/>
          <w:spacing w:val="0"/>
          <w:sz w:val="31"/>
          <w:szCs w:val="31"/>
          <w:highlight w:val="none"/>
          <w:shd w:val="clear" w:color="auto" w:fill="FFFFFF"/>
        </w:rPr>
        <w:t>，主要原因是</w:t>
      </w:r>
      <w:r>
        <w:rPr>
          <w:rFonts w:hint="eastAsia" w:ascii="仿宋" w:hAnsi="仿宋" w:eastAsia="仿宋" w:cs="仿宋"/>
          <w:color w:val="auto"/>
          <w:kern w:val="2"/>
          <w:sz w:val="32"/>
          <w:szCs w:val="32"/>
          <w:highlight w:val="none"/>
          <w:lang w:val="en-US" w:eastAsia="zh-CN" w:bidi="ar"/>
        </w:rPr>
        <w:t>：聘用人员增加，支出增加，故结余减少。</w:t>
      </w:r>
    </w:p>
    <w:p>
      <w:pPr>
        <w:keepNext w:val="0"/>
        <w:keepLines w:val="0"/>
        <w:widowControl w:val="0"/>
        <w:suppressLineNumbers w:val="0"/>
        <w:spacing w:before="0" w:beforeAutospacing="0" w:after="0" w:afterAutospacing="0"/>
        <w:ind w:left="0" w:right="0" w:firstLine="640" w:firstLineChars="200"/>
        <w:jc w:val="left"/>
        <w:rPr>
          <w:rFonts w:hint="eastAsia" w:ascii="黑体" w:hAnsi="黑体" w:eastAsia="黑体" w:cs="黑体"/>
          <w:color w:val="auto"/>
          <w:sz w:val="32"/>
          <w:szCs w:val="32"/>
          <w:highlight w:val="none"/>
        </w:rPr>
      </w:pPr>
      <w:r>
        <w:rPr>
          <w:rFonts w:hint="eastAsia" w:ascii="仿宋" w:hAnsi="仿宋" w:eastAsia="仿宋" w:cs="仿宋"/>
          <w:color w:val="auto"/>
          <w:sz w:val="32"/>
          <w:szCs w:val="32"/>
          <w:highlight w:val="none"/>
        </w:rPr>
        <w:t>年末结转和结余</w:t>
      </w:r>
      <w:r>
        <w:rPr>
          <w:rFonts w:hint="eastAsia" w:ascii="仿宋" w:hAnsi="仿宋" w:eastAsia="仿宋" w:cs="仿宋"/>
          <w:color w:val="auto"/>
          <w:sz w:val="32"/>
          <w:u w:color="auto"/>
          <w:lang w:val="en-US" w:eastAsia="zh-CN"/>
        </w:rPr>
        <w:t>0.00</w:t>
      </w:r>
      <w:r>
        <w:rPr>
          <w:rFonts w:hint="eastAsia" w:ascii="仿宋" w:hAnsi="仿宋" w:eastAsia="仿宋" w:cs="仿宋"/>
          <w:color w:val="auto"/>
          <w:sz w:val="32"/>
          <w:szCs w:val="32"/>
          <w:highlight w:val="none"/>
        </w:rPr>
        <w:t>万元，为本年度或以前年度预算安排、因客观条件发生变化无法按原计划实施，需要延迟到以后年度按有关规定继续使用的资金。较2021年度决算数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0.00</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主要原因是：无项目结转资金。</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二、2022年度</w:t>
      </w:r>
      <w:bookmarkStart w:id="3" w:name="OLE_LINK1"/>
      <w:r>
        <w:rPr>
          <w:rFonts w:hint="eastAsia" w:ascii="黑体" w:hAnsi="黑体" w:eastAsia="黑体" w:cs="黑体"/>
          <w:color w:val="auto"/>
          <w:sz w:val="32"/>
          <w:szCs w:val="32"/>
          <w:highlight w:val="none"/>
        </w:rPr>
        <w:t>一般公共预算财政拨款支出决算情况</w:t>
      </w:r>
      <w:bookmarkEnd w:id="3"/>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环江毛南族自治县大才乡卫生院</w:t>
      </w:r>
      <w:r>
        <w:rPr>
          <w:rFonts w:hint="eastAsia" w:ascii="仿宋" w:hAnsi="仿宋" w:eastAsia="仿宋" w:cs="仿宋"/>
          <w:color w:val="auto"/>
          <w:sz w:val="32"/>
          <w:szCs w:val="32"/>
          <w:highlight w:val="none"/>
        </w:rPr>
        <w:t>2022年度一般公共预算财政拨款支出</w:t>
      </w:r>
      <w:r>
        <w:rPr>
          <w:rFonts w:hint="eastAsia" w:ascii="仿宋" w:hAnsi="仿宋" w:eastAsia="仿宋" w:cs="仿宋"/>
          <w:color w:val="auto"/>
          <w:sz w:val="32"/>
          <w:u w:color="auto"/>
          <w:lang w:val="en-US" w:eastAsia="zh-CN"/>
        </w:rPr>
        <w:t>398.58</w:t>
      </w:r>
      <w:r>
        <w:rPr>
          <w:rFonts w:hint="eastAsia" w:ascii="仿宋" w:hAnsi="仿宋" w:eastAsia="仿宋" w:cs="仿宋"/>
          <w:color w:val="auto"/>
          <w:sz w:val="32"/>
          <w:szCs w:val="32"/>
          <w:highlight w:val="none"/>
        </w:rPr>
        <w:t>万元，较2021年度决算数</w:t>
      </w:r>
      <w:r>
        <w:rPr>
          <w:rFonts w:hint="eastAsia" w:ascii="仿宋" w:hAnsi="仿宋" w:eastAsia="仿宋" w:cs="仿宋"/>
          <w:color w:val="auto"/>
          <w:sz w:val="32"/>
          <w:u w:color="auto"/>
          <w:lang w:eastAsia="zh-CN"/>
        </w:rPr>
        <w:t>增加</w:t>
      </w:r>
      <w:r>
        <w:rPr>
          <w:rFonts w:hint="eastAsia" w:ascii="仿宋" w:hAnsi="仿宋" w:eastAsia="仿宋" w:cs="仿宋"/>
          <w:color w:val="auto"/>
          <w:sz w:val="32"/>
          <w:u w:color="auto"/>
          <w:lang w:val="en-US" w:eastAsia="zh-CN"/>
        </w:rPr>
        <w:t>70.88</w:t>
      </w:r>
      <w:r>
        <w:rPr>
          <w:rFonts w:hint="eastAsia" w:ascii="仿宋" w:hAnsi="仿宋" w:eastAsia="仿宋" w:cs="仿宋"/>
          <w:color w:val="auto"/>
          <w:sz w:val="32"/>
          <w:szCs w:val="32"/>
          <w:highlight w:val="none"/>
        </w:rPr>
        <w:t>万元，</w:t>
      </w:r>
      <w:r>
        <w:rPr>
          <w:rFonts w:hint="eastAsia" w:ascii="仿宋" w:hAnsi="仿宋" w:eastAsia="仿宋" w:cs="仿宋"/>
          <w:color w:val="auto"/>
          <w:sz w:val="32"/>
          <w:u w:color="auto"/>
          <w:lang w:eastAsia="zh-CN"/>
        </w:rPr>
        <w:t>增长</w:t>
      </w:r>
      <w:r>
        <w:rPr>
          <w:rFonts w:ascii="仿宋" w:hAnsi="仿宋" w:eastAsia="仿宋" w:cs="仿宋"/>
          <w:color w:val="auto"/>
          <w:sz w:val="32"/>
          <w:u w:color="auto"/>
        </w:rPr>
        <w:t>1</w:t>
      </w:r>
      <w:r>
        <w:rPr>
          <w:rFonts w:hint="eastAsia" w:ascii="仿宋" w:hAnsi="仿宋" w:eastAsia="仿宋" w:cs="仿宋"/>
          <w:color w:val="auto"/>
          <w:sz w:val="32"/>
          <w:u w:color="auto"/>
          <w:lang w:val="en-US" w:eastAsia="zh-CN"/>
        </w:rPr>
        <w:t>7.78</w:t>
      </w:r>
      <w:r>
        <w:rPr>
          <w:rFonts w:ascii="仿宋" w:hAnsi="仿宋" w:eastAsia="仿宋" w:cs="仿宋"/>
          <w:color w:val="auto"/>
          <w:sz w:val="32"/>
          <w:u w:color="auto"/>
        </w:rPr>
        <w:t>%</w:t>
      </w:r>
      <w:r>
        <w:rPr>
          <w:rFonts w:hint="eastAsia" w:ascii="仿宋" w:hAnsi="仿宋" w:eastAsia="仿宋" w:cs="仿宋"/>
          <w:color w:val="auto"/>
          <w:sz w:val="32"/>
          <w:szCs w:val="32"/>
          <w:highlight w:val="none"/>
        </w:rPr>
        <w:t>。其中：基本支出</w:t>
      </w:r>
      <w:r>
        <w:rPr>
          <w:rFonts w:hint="eastAsia" w:ascii="仿宋" w:hAnsi="仿宋" w:eastAsia="仿宋" w:cs="仿宋"/>
          <w:color w:val="auto"/>
          <w:sz w:val="32"/>
          <w:u w:color="auto"/>
          <w:lang w:val="en-US" w:eastAsia="zh-CN"/>
        </w:rPr>
        <w:t>168.22</w:t>
      </w:r>
      <w:r>
        <w:rPr>
          <w:rFonts w:hint="eastAsia" w:ascii="仿宋" w:hAnsi="仿宋" w:eastAsia="仿宋" w:cs="仿宋"/>
          <w:color w:val="auto"/>
          <w:sz w:val="32"/>
          <w:szCs w:val="32"/>
          <w:highlight w:val="none"/>
        </w:rPr>
        <w:t>万元，项目支出</w:t>
      </w:r>
      <w:r>
        <w:rPr>
          <w:rFonts w:hint="eastAsia" w:ascii="仿宋" w:hAnsi="仿宋" w:eastAsia="仿宋" w:cs="仿宋"/>
          <w:color w:val="auto"/>
          <w:sz w:val="32"/>
          <w:u w:color="auto"/>
          <w:lang w:val="en-US" w:eastAsia="zh-CN"/>
        </w:rPr>
        <w:t>230.36</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环江毛南族自治县大才乡卫生院</w:t>
      </w:r>
      <w:r>
        <w:rPr>
          <w:rFonts w:hint="eastAsia" w:ascii="仿宋" w:hAnsi="仿宋" w:eastAsia="仿宋" w:cs="仿宋"/>
          <w:color w:val="auto"/>
          <w:sz w:val="32"/>
          <w:szCs w:val="32"/>
          <w:highlight w:val="none"/>
        </w:rPr>
        <w:t>2022年度一般公共预算财政拨款支出年初预算为</w:t>
      </w:r>
      <w:r>
        <w:rPr>
          <w:rFonts w:hint="eastAsia" w:ascii="仿宋" w:hAnsi="仿宋" w:eastAsia="仿宋" w:cs="仿宋"/>
          <w:color w:val="auto"/>
          <w:sz w:val="32"/>
          <w:szCs w:val="32"/>
          <w:highlight w:val="none"/>
          <w:lang w:val="en-US" w:eastAsia="zh-CN"/>
        </w:rPr>
        <w:t>168.22</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u w:color="auto"/>
          <w:lang w:val="en-US" w:eastAsia="zh-CN"/>
        </w:rPr>
        <w:t>398.58</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u w:color="auto"/>
          <w:lang w:val="en-US" w:eastAsia="zh-CN"/>
        </w:rPr>
        <w:t>236.94</w:t>
      </w:r>
      <w:r>
        <w:rPr>
          <w:rFonts w:ascii="仿宋" w:hAnsi="仿宋" w:eastAsia="仿宋" w:cs="仿宋"/>
          <w:color w:val="auto"/>
          <w:sz w:val="32"/>
          <w:u w:color="auto"/>
        </w:rPr>
        <w:t>%</w:t>
      </w:r>
      <w:r>
        <w:rPr>
          <w:rFonts w:hint="eastAsia" w:ascii="仿宋" w:hAnsi="仿宋" w:eastAsia="仿宋" w:cs="仿宋"/>
          <w:color w:val="auto"/>
          <w:sz w:val="32"/>
          <w:szCs w:val="32"/>
          <w:highlight w:val="none"/>
        </w:rPr>
        <w:t>。</w:t>
      </w:r>
    </w:p>
    <w:p>
      <w:pPr>
        <w:jc w:val="left"/>
        <w:rPr>
          <w:rFonts w:hint="eastAsia" w:eastAsia="仿宋"/>
          <w:color w:val="auto"/>
          <w:highlight w:val="none"/>
          <w:lang w:val="en-US" w:eastAsia="zh-CN"/>
        </w:rPr>
      </w:pPr>
      <w:bookmarkStart w:id="4" w:name="OLE_LINK2"/>
      <w:bookmarkEnd w:id="4"/>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社会保障和就业支出</w:t>
      </w:r>
      <w:r>
        <w:rPr>
          <w:rFonts w:ascii="仿宋" w:hAnsi="仿宋" w:eastAsia="仿宋"/>
          <w:color w:val="auto"/>
          <w:sz w:val="32"/>
          <w:u w:color="auto"/>
        </w:rPr>
        <w:t>（208</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19.47</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17.27</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88.70</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年内有人员变动及人员退休所致，属正常变动。</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19.47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17.27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88.70%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用于在职在编人员养老保险支出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18"/>
                <w:szCs w:val="18"/>
                <w:highlight w:val="none"/>
                <w:lang w:val="en-US" w:eastAsia="zh-CN" w:bidi="ar"/>
              </w:rPr>
              <w:t>年内有人员变动及人员退休所致，属正常变动。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2089999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其他社会保障和就业支出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1.23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1.42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115.45%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用于在职在编及后勤人员其它社会保险支出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18"/>
                <w:szCs w:val="18"/>
                <w:highlight w:val="none"/>
                <w:lang w:val="en-US" w:eastAsia="zh-CN" w:bidi="ar"/>
              </w:rPr>
              <w:t>年内有人员变动及人员退休所致，属正常变动。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20.70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18.69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90.29%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color w:val="auto"/>
          <w:sz w:val="32"/>
          <w:szCs w:val="32"/>
          <w:highlight w:val="none"/>
        </w:rPr>
      </w:pP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eastAsia="仿宋"/>
          <w:color w:val="auto"/>
          <w:highlight w:val="none"/>
          <w:lang w:val="en-US"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二</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卫生健康支出</w:t>
      </w:r>
      <w:r>
        <w:rPr>
          <w:rFonts w:ascii="仿宋" w:hAnsi="仿宋" w:eastAsia="仿宋"/>
          <w:color w:val="auto"/>
          <w:sz w:val="32"/>
          <w:u w:color="auto"/>
        </w:rPr>
        <w:t>（210</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127.36</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349.76</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274.62</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原因是：工资提高所致及</w:t>
      </w:r>
      <w:r>
        <w:rPr>
          <w:rFonts w:hint="eastAsia" w:ascii="仿宋" w:hAnsi="仿宋" w:eastAsia="仿宋" w:cs="仿宋"/>
          <w:color w:val="auto"/>
          <w:kern w:val="2"/>
          <w:sz w:val="32"/>
          <w:szCs w:val="32"/>
          <w:highlight w:val="none"/>
          <w:lang w:val="en-US" w:eastAsia="zh-CN" w:bidi="ar"/>
        </w:rPr>
        <w:t>基本公共卫生项目资金不在年初预算反应。</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2101102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事业单位医疗</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127.36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349.76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274.62%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主要用于在职在编人员工资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人员工资提高所致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127.36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349.76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274.62%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主要用于在职在编人员工资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人员工资提高所致</w:t>
            </w:r>
          </w:p>
        </w:tc>
      </w:tr>
    </w:tbl>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eastAsia="仿宋"/>
          <w:color w:val="auto"/>
          <w:highlight w:val="none"/>
          <w:lang w:val="en-US"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三</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住房保障支出</w:t>
      </w:r>
      <w:r>
        <w:rPr>
          <w:rFonts w:ascii="仿宋" w:hAnsi="仿宋" w:eastAsia="仿宋"/>
          <w:color w:val="auto"/>
          <w:sz w:val="32"/>
          <w:u w:color="auto"/>
        </w:rPr>
        <w:t>（221</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15.15</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13.01</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85.87</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年内有人员变动及人员退休所致，属于正常变动。</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15.15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13.01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85.87%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主要用于在职在编人员住房公积金缴纳</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人员变动及人员退休所致，属于正常变动。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15.15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13.01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主要用于在职在编人员住房公积金缴纳</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人员变动及人员退休所致，属于正常变动。</w:t>
            </w:r>
          </w:p>
        </w:tc>
      </w:tr>
    </w:tbl>
    <w:p>
      <w:pPr>
        <w:jc w:val="both"/>
        <w:rPr>
          <w:rFonts w:ascii="仿宋" w:hAnsi="仿宋" w:eastAsia="仿宋"/>
          <w:color w:val="auto"/>
          <w:sz w:val="32"/>
          <w:szCs w:val="32"/>
          <w:highlight w:val="none"/>
        </w:rPr>
      </w:pP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三、2022年度一般公共预算财政拨款基本支出决算情况说明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环江毛南族自治县大才乡卫生院</w:t>
      </w:r>
      <w:r>
        <w:rPr>
          <w:rFonts w:hint="eastAsia" w:ascii="仿宋" w:hAnsi="仿宋" w:eastAsia="仿宋" w:cs="仿宋"/>
          <w:color w:val="auto"/>
          <w:sz w:val="32"/>
          <w:szCs w:val="32"/>
          <w:highlight w:val="none"/>
        </w:rPr>
        <w:t>2022年度一般公共预算财政拨款基本支出</w:t>
      </w:r>
      <w:r>
        <w:rPr>
          <w:rFonts w:hint="eastAsia" w:ascii="仿宋" w:hAnsi="仿宋" w:eastAsia="仿宋" w:cs="仿宋"/>
          <w:color w:val="auto"/>
          <w:sz w:val="32"/>
          <w:u w:color="auto"/>
          <w:lang w:val="en-US" w:eastAsia="zh-CN"/>
        </w:rPr>
        <w:t>398.58</w:t>
      </w:r>
      <w:r>
        <w:rPr>
          <w:rFonts w:hint="eastAsia" w:ascii="仿宋" w:hAnsi="仿宋" w:eastAsia="仿宋" w:cs="仿宋"/>
          <w:color w:val="auto"/>
          <w:sz w:val="32"/>
          <w:szCs w:val="32"/>
          <w:highlight w:val="none"/>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其中：人员经费支出</w:t>
      </w:r>
      <w:r>
        <w:rPr>
          <w:rFonts w:hint="eastAsia" w:ascii="仿宋" w:hAnsi="仿宋" w:eastAsia="仿宋" w:cs="仿宋"/>
          <w:color w:val="auto"/>
          <w:sz w:val="32"/>
          <w:szCs w:val="32"/>
          <w:highlight w:val="none"/>
          <w:lang w:val="en-US" w:eastAsia="zh-CN"/>
        </w:rPr>
        <w:t>148.69</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i w:val="0"/>
          <w:iCs w:val="0"/>
          <w:caps w:val="0"/>
          <w:color w:val="auto"/>
          <w:spacing w:val="0"/>
          <w:sz w:val="31"/>
          <w:szCs w:val="31"/>
          <w:highlight w:val="none"/>
          <w:shd w:val="clear" w:color="auto" w:fill="FFFFFF"/>
          <w:lang w:eastAsia="zh-CN"/>
        </w:rPr>
        <w:t>商品和服务</w:t>
      </w:r>
      <w:r>
        <w:rPr>
          <w:rFonts w:hint="default" w:ascii="仿宋_GB2312" w:hAnsi="微软雅黑" w:eastAsia="仿宋_GB2312" w:cs="仿宋_GB2312"/>
          <w:i w:val="0"/>
          <w:iCs w:val="0"/>
          <w:caps w:val="0"/>
          <w:color w:val="auto"/>
          <w:spacing w:val="0"/>
          <w:sz w:val="31"/>
          <w:szCs w:val="31"/>
          <w:highlight w:val="none"/>
          <w:shd w:val="clear" w:color="auto" w:fill="FFFFFF"/>
        </w:rPr>
        <w:t>支出</w:t>
      </w:r>
      <w:r>
        <w:rPr>
          <w:rFonts w:hint="eastAsia" w:ascii="仿宋" w:hAnsi="仿宋" w:eastAsia="仿宋" w:cs="仿宋"/>
          <w:color w:val="auto"/>
          <w:sz w:val="32"/>
          <w:szCs w:val="32"/>
          <w:highlight w:val="none"/>
          <w:lang w:val="en-US" w:eastAsia="zh-CN"/>
        </w:rPr>
        <w:t>19.54</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 w:hAnsi="仿宋" w:eastAsia="仿宋" w:cs="仿宋"/>
          <w:color w:val="auto"/>
          <w:sz w:val="32"/>
          <w:szCs w:val="32"/>
          <w:highlight w:val="none"/>
        </w:rPr>
        <w:t>支出具体情况如下：</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工资福利支出</w:t>
      </w:r>
      <w:r>
        <w:rPr>
          <w:rFonts w:hint="eastAsia" w:ascii="仿宋" w:hAnsi="仿宋" w:eastAsia="仿宋" w:cs="仿宋"/>
          <w:color w:val="auto"/>
          <w:sz w:val="32"/>
          <w:u w:color="auto"/>
          <w:lang w:val="en-US" w:eastAsia="zh-CN"/>
        </w:rPr>
        <w:t>147.48</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119.45</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w:t>
      </w:r>
      <w:r>
        <w:rPr>
          <w:rFonts w:hint="eastAsia" w:ascii="仿宋_GB2312" w:hAnsi="仿宋_GB2312" w:eastAsia="仿宋_GB2312" w:cs="仿宋_GB2312"/>
          <w:bCs/>
          <w:color w:val="auto"/>
          <w:kern w:val="0"/>
          <w:sz w:val="32"/>
          <w:szCs w:val="32"/>
          <w:lang w:eastAsia="zh-CN"/>
        </w:rPr>
        <w:t>人员变动，故工资变动所致</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cs="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30101基本工资26.45万元，30102津贴补贴18.60万元，30103奖金0.00万元，30106伙食补助费11.04万元，30107绩效工资9.60万元，30108机关事业单位基本养老保险缴费25.27万元，30110职工基本医疗保险缴费9.06万元，30111公务员医疗补助缴费0.00万元，30112其他社会保障缴费1.42万元，30113住房公积金13.01万元，30199其他工资福利支出9.99万元，职业年金4.77万元。</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商品和服务支出</w:t>
      </w:r>
      <w:r>
        <w:rPr>
          <w:rFonts w:hint="eastAsia" w:ascii="仿宋" w:hAnsi="仿宋" w:eastAsia="仿宋" w:cs="仿宋"/>
          <w:color w:val="auto"/>
          <w:sz w:val="32"/>
          <w:u w:color="auto"/>
          <w:lang w:val="en-US" w:eastAsia="zh-CN"/>
        </w:rPr>
        <w:t>19.54</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100</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w:t>
      </w:r>
      <w:r>
        <w:rPr>
          <w:rFonts w:hint="eastAsia" w:ascii="仿宋_GB2312" w:hAnsi="仿宋_GB2312" w:eastAsia="仿宋_GB2312" w:cs="仿宋_GB2312"/>
          <w:i w:val="0"/>
          <w:iCs w:val="0"/>
          <w:caps w:val="0"/>
          <w:color w:val="auto"/>
          <w:spacing w:val="0"/>
          <w:sz w:val="32"/>
          <w:szCs w:val="32"/>
          <w:shd w:val="clear" w:fill="FFFFFF"/>
        </w:rPr>
        <w:t>用于为保证日常运转发生的基本支出</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cs="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30201办公费1.09万元，30207邮电费0.00万元，30211差旅费0.00万元，30215会议费0.00万元，30216培训费0.00万元，30226劳务费0.00万元，30228工会经费0.00万元，30299其他商品和服务支出2.03万元，印刷费1.77万元，水电费1.27万元，邮电费1.19万元，维修（护）费0.19万元，专用材料费11.00万元，专用燃料费1.00万元。</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对个人和家庭的补助</w:t>
      </w:r>
      <w:r>
        <w:rPr>
          <w:rFonts w:hint="eastAsia" w:ascii="仿宋" w:hAnsi="仿宋" w:eastAsia="仿宋" w:cs="仿宋"/>
          <w:color w:val="auto"/>
          <w:sz w:val="32"/>
          <w:u w:color="auto"/>
          <w:lang w:val="en-US" w:eastAsia="zh-CN"/>
        </w:rPr>
        <w:t>1.21</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主要原因是：主要用于退休人员生活补助及独生子女费支出。</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30301离休费0.00万元，30302退休费0.00万元，30305生活补助1.20万元，其他对个人和家庭的补助0.01万元。</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债务利息及费用支出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主要原因是：本单位没有</w:t>
      </w:r>
      <w:r>
        <w:rPr>
          <w:rFonts w:hint="eastAsia" w:ascii="仿宋" w:hAnsi="仿宋" w:eastAsia="仿宋" w:cs="仿宋"/>
          <w:color w:val="auto"/>
          <w:sz w:val="32"/>
          <w:szCs w:val="32"/>
          <w:highlight w:val="none"/>
        </w:rPr>
        <w:t>债务利息及费用支出</w:t>
      </w:r>
      <w:r>
        <w:rPr>
          <w:rFonts w:hint="eastAsia" w:ascii="仿宋" w:hAnsi="仿宋" w:eastAsia="仿宋" w:cs="仿宋"/>
          <w:color w:val="auto"/>
          <w:kern w:val="2"/>
          <w:sz w:val="32"/>
          <w:szCs w:val="32"/>
          <w:highlight w:val="none"/>
          <w:lang w:val="en-US" w:eastAsia="zh-CN" w:bidi="ar"/>
        </w:rPr>
        <w:t>。</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资本性支出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主要原因是：本单位没有资本性支出。</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其他支出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主要原因是：本单位没有其他支出。</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四、2022年度政府性基金支出决算情况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环江毛南族自治县大才乡卫生院</w:t>
      </w:r>
      <w:r>
        <w:rPr>
          <w:rFonts w:hint="eastAsia" w:ascii="仿宋" w:hAnsi="仿宋" w:eastAsia="仿宋" w:cs="仿宋"/>
          <w:color w:val="auto"/>
          <w:sz w:val="32"/>
          <w:szCs w:val="32"/>
          <w:highlight w:val="none"/>
        </w:rPr>
        <w:t>2022年度政府性基金支出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万元，较2021年度决算数</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增长0%</w:t>
      </w:r>
      <w:r>
        <w:rPr>
          <w:rFonts w:hint="eastAsia" w:ascii="仿宋" w:hAnsi="仿宋" w:eastAsia="仿宋" w:cs="仿宋"/>
          <w:color w:val="auto"/>
          <w:sz w:val="32"/>
          <w:szCs w:val="32"/>
          <w:highlight w:val="none"/>
        </w:rPr>
        <w:t>其中：基本支出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万元，项目支出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环江毛南族自治县大才乡卫生院</w:t>
      </w:r>
      <w:r>
        <w:rPr>
          <w:rFonts w:hint="eastAsia" w:ascii="仿宋" w:hAnsi="仿宋" w:eastAsia="仿宋" w:cs="仿宋"/>
          <w:color w:val="auto"/>
          <w:sz w:val="32"/>
          <w:szCs w:val="32"/>
          <w:highlight w:val="none"/>
        </w:rPr>
        <w:t>2022年度政府性基金支出年初预算为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万元，支出决算为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lang w:eastAsia="zh-CN"/>
        </w:rPr>
        <w:t>环江毛南族自治县大才乡卫生院</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五、2022年度国有资本经营预算支出决算情况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环江毛南族自治县大才乡卫生院</w:t>
      </w:r>
      <w:r>
        <w:rPr>
          <w:rFonts w:hint="eastAsia" w:ascii="仿宋" w:hAnsi="仿宋" w:eastAsia="仿宋" w:cs="仿宋"/>
          <w:color w:val="auto"/>
          <w:sz w:val="32"/>
          <w:szCs w:val="32"/>
          <w:highlight w:val="none"/>
        </w:rPr>
        <w:t>2022年度国有资本经营预算支出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万元。其中：基本支出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万元，项目支出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环江毛南族自治县大才乡卫生院</w:t>
      </w:r>
      <w:r>
        <w:rPr>
          <w:rFonts w:hint="eastAsia" w:ascii="仿宋" w:hAnsi="仿宋" w:eastAsia="仿宋" w:cs="仿宋"/>
          <w:color w:val="auto"/>
          <w:sz w:val="32"/>
          <w:szCs w:val="32"/>
          <w:highlight w:val="none"/>
        </w:rPr>
        <w:t>2022 年度国有资本经营预算支出年初预算为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万元，支出决算为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5" w:name="PO_part3A5B1C1DiffReason1"/>
      <w:r>
        <w:rPr>
          <w:rFonts w:hint="eastAsia" w:ascii="仿宋_GB2312" w:hAnsi="Times New Roman" w:eastAsia="仿宋_GB2312" w:cs="Times New Roman"/>
          <w:color w:val="auto"/>
          <w:sz w:val="32"/>
          <w:szCs w:val="32"/>
          <w:lang w:eastAsia="zh-CN"/>
        </w:rPr>
        <w:t>环江毛南族自治县大才乡卫生院</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仿宋_GB2312" w:eastAsia="仿宋_GB2312" w:cs="仿宋_GB2312"/>
          <w:color w:val="auto"/>
          <w:sz w:val="32"/>
          <w:u w:color="auto"/>
          <w:lang w:val="en-US" w:eastAsia="zh-CN"/>
        </w:rPr>
        <w:t>安排的支出</w:t>
      </w:r>
      <w:r>
        <w:rPr>
          <w:rFonts w:hint="eastAsia" w:ascii="仿宋_GB2312" w:hAnsi="Times New Roman" w:eastAsia="仿宋_GB2312" w:cs="Times New Roman"/>
          <w:color w:val="auto"/>
          <w:sz w:val="32"/>
          <w:szCs w:val="32"/>
          <w:lang w:eastAsia="zh-CN"/>
        </w:rPr>
        <w:t>。</w:t>
      </w:r>
      <w:bookmarkEnd w:id="5"/>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2022年度一般公共预算财政拨款安排的“三公”经费支出</w:t>
      </w:r>
      <w:r>
        <w:rPr>
          <w:rFonts w:hint="eastAsia" w:ascii="仿宋" w:hAnsi="仿宋" w:eastAsia="仿宋" w:cs="仿宋"/>
          <w:color w:val="auto"/>
          <w:sz w:val="32"/>
          <w:szCs w:val="32"/>
          <w:highlight w:val="none"/>
          <w:lang w:val="en-US" w:eastAsia="zh-CN"/>
        </w:rPr>
        <w:t>0.35</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100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w:t>
      </w:r>
      <w:r>
        <w:rPr>
          <w:rFonts w:hint="eastAsia" w:ascii="仿宋" w:hAnsi="仿宋" w:eastAsia="仿宋" w:cs="仿宋"/>
          <w:color w:val="auto"/>
          <w:sz w:val="32"/>
          <w:szCs w:val="32"/>
          <w:highlight w:val="none"/>
          <w:lang w:val="en-US" w:eastAsia="zh-CN"/>
        </w:rPr>
        <w:t>0.35</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主要原因是：主要用于公务接待用餐支出。</w:t>
      </w:r>
      <w:r>
        <w:rPr>
          <w:rFonts w:hint="eastAsia" w:ascii="仿宋" w:hAnsi="仿宋" w:eastAsia="仿宋" w:cs="仿宋"/>
          <w:color w:val="auto"/>
          <w:sz w:val="32"/>
          <w:szCs w:val="32"/>
          <w:highlight w:val="none"/>
        </w:rPr>
        <w:t>其中：因公出国（境）费支出决算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万元，公务用车购置及运行费支出决算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万元，公务接待费支出决算</w:t>
      </w:r>
      <w:r>
        <w:rPr>
          <w:rFonts w:hint="eastAsia" w:ascii="仿宋" w:hAnsi="仿宋" w:eastAsia="仿宋" w:cs="仿宋"/>
          <w:color w:val="auto"/>
          <w:sz w:val="32"/>
          <w:szCs w:val="32"/>
          <w:highlight w:val="none"/>
          <w:lang w:val="en-US" w:eastAsia="zh-CN"/>
        </w:rPr>
        <w:t>0.35</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具体情况如下：</w:t>
      </w:r>
    </w:p>
    <w:p>
      <w:pPr>
        <w:numPr>
          <w:ilvl w:val="0"/>
          <w:numId w:val="0"/>
        </w:numPr>
        <w:ind w:firstLine="320" w:firstLineChars="100"/>
        <w:jc w:val="left"/>
        <w:rPr>
          <w:rFonts w:hint="eastAsia" w:ascii="仿宋_GB2312" w:hAnsi="Times New Roman" w:eastAsia="仿宋_GB2312" w:cs="Times New Roman"/>
          <w:color w:val="auto"/>
          <w:sz w:val="32"/>
          <w:szCs w:val="32"/>
        </w:rPr>
      </w:pP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因公出国（境）费支出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highlight w:val="none"/>
          <w:lang w:val="en-US" w:eastAsia="zh-CN"/>
        </w:rPr>
        <w:t>原因是：</w:t>
      </w:r>
      <w:r>
        <w:rPr>
          <w:rFonts w:hint="eastAsia" w:ascii="仿宋_GB2312" w:hAnsi="Times New Roman" w:eastAsia="仿宋_GB2312" w:cs="Times New Roman"/>
          <w:color w:val="auto"/>
          <w:sz w:val="32"/>
          <w:szCs w:val="32"/>
          <w:lang w:val="en-US" w:eastAsia="zh-CN"/>
        </w:rPr>
        <w:t>本单位没有因公出国（境）费支出。</w:t>
      </w:r>
      <w:r>
        <w:rPr>
          <w:rFonts w:hint="eastAsia" w:ascii="仿宋_GB2312" w:hAnsi="Times New Roman" w:eastAsia="仿宋_GB2312" w:cs="Times New Roman"/>
          <w:color w:val="auto"/>
          <w:sz w:val="32"/>
          <w:szCs w:val="32"/>
        </w:rPr>
        <w:t>“。”</w:t>
      </w:r>
    </w:p>
    <w:p>
      <w:pPr>
        <w:numPr>
          <w:ilvl w:val="0"/>
          <w:numId w:val="0"/>
        </w:num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（二）公务用车购置及运行维护费</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万元。其中：公务用车购置支出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rPr>
        <w:t>主要原因是</w:t>
      </w:r>
      <w:bookmarkStart w:id="6"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本部门无公务用车购置</w:t>
      </w:r>
      <w:r>
        <w:rPr>
          <w:rFonts w:hint="eastAsia" w:ascii="仿宋" w:hAnsi="仿宋" w:eastAsia="仿宋" w:cs="仿宋"/>
          <w:color w:val="auto"/>
          <w:sz w:val="32"/>
          <w:szCs w:val="32"/>
          <w:lang w:eastAsia="zh-CN"/>
        </w:rPr>
        <w:t>。</w:t>
      </w:r>
      <w:bookmarkEnd w:id="6"/>
      <w:r>
        <w:rPr>
          <w:rFonts w:hint="eastAsia" w:ascii="仿宋" w:hAnsi="仿宋" w:eastAsia="仿宋" w:cs="仿宋"/>
          <w:color w:val="auto"/>
          <w:sz w:val="32"/>
          <w:szCs w:val="32"/>
          <w:highlight w:val="none"/>
        </w:rPr>
        <w:t>公务用车运行维护支出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rPr>
        <w:t>本部门无公务用车购置</w:t>
      </w:r>
      <w:r>
        <w:rPr>
          <w:rFonts w:hint="eastAsia" w:ascii="仿宋" w:hAnsi="仿宋" w:eastAsia="仿宋" w:cs="仿宋"/>
          <w:color w:val="auto"/>
          <w:sz w:val="32"/>
          <w:szCs w:val="32"/>
          <w:highlight w:val="none"/>
        </w:rPr>
        <w:t>。主要用于机要文件交换、市内因公出行以及开展业务所需车辆燃料费、维修费、过路过桥费、保险费等。2022年，</w:t>
      </w:r>
      <w:r>
        <w:rPr>
          <w:rFonts w:hint="eastAsia" w:ascii="仿宋" w:hAnsi="仿宋" w:eastAsia="仿宋" w:cs="仿宋"/>
          <w:color w:val="auto"/>
          <w:sz w:val="32"/>
          <w:u w:color="auto"/>
          <w:lang w:eastAsia="zh-CN"/>
        </w:rPr>
        <w:t>环江毛南族自治县大才乡卫生院</w:t>
      </w:r>
      <w:r>
        <w:rPr>
          <w:rFonts w:hint="eastAsia" w:ascii="仿宋" w:hAnsi="仿宋" w:eastAsia="仿宋" w:cs="仿宋"/>
          <w:color w:val="auto"/>
          <w:sz w:val="32"/>
          <w:szCs w:val="32"/>
          <w:highlight w:val="none"/>
          <w:lang w:eastAsia="zh-CN"/>
        </w:rPr>
        <w:t>无</w:t>
      </w:r>
      <w:r>
        <w:rPr>
          <w:rFonts w:hint="eastAsia" w:ascii="仿宋" w:hAnsi="仿宋" w:eastAsia="仿宋" w:cs="仿宋"/>
          <w:color w:val="auto"/>
          <w:sz w:val="32"/>
          <w:szCs w:val="32"/>
          <w:highlight w:val="none"/>
        </w:rPr>
        <w:t>开支财政拨款的公务用车保有量为</w:t>
      </w:r>
      <w:r>
        <w:rPr>
          <w:rFonts w:hint="eastAsia" w:ascii="仿宋" w:hAnsi="仿宋" w:eastAsia="仿宋" w:cs="仿宋"/>
          <w:color w:val="auto"/>
          <w:sz w:val="32"/>
          <w:u w:color="auto"/>
          <w:lang w:val="en-US" w:eastAsia="zh-CN"/>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 xml:space="preserve"> 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（三）公务接待费支出</w:t>
      </w:r>
      <w:r>
        <w:rPr>
          <w:rFonts w:hint="eastAsia" w:ascii="仿宋" w:hAnsi="仿宋" w:eastAsia="仿宋" w:cs="仿宋"/>
          <w:color w:val="auto"/>
          <w:sz w:val="32"/>
          <w:szCs w:val="32"/>
          <w:highlight w:val="none"/>
          <w:lang w:val="en-US" w:eastAsia="zh-CN"/>
        </w:rPr>
        <w:t>0.35</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100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 比上年</w:t>
      </w:r>
      <w:r>
        <w:rPr>
          <w:rFonts w:ascii="仿宋" w:hAnsi="仿宋" w:eastAsia="仿宋" w:cs="仿宋"/>
          <w:color w:val="auto"/>
          <w:sz w:val="32"/>
          <w:szCs w:val="32"/>
          <w:highlight w:val="none"/>
        </w:rPr>
        <w:t>增加</w:t>
      </w:r>
      <w:r>
        <w:rPr>
          <w:rFonts w:hint="eastAsia" w:ascii="仿宋" w:hAnsi="仿宋" w:eastAsia="仿宋" w:cs="仿宋"/>
          <w:color w:val="auto"/>
          <w:sz w:val="32"/>
          <w:szCs w:val="32"/>
          <w:highlight w:val="none"/>
          <w:lang w:val="en-US" w:eastAsia="zh-CN"/>
        </w:rPr>
        <w:t>0.35</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主要原因是：主要用于公务接待用餐支出。</w:t>
      </w:r>
      <w:r>
        <w:rPr>
          <w:rFonts w:hint="eastAsia" w:ascii="仿宋" w:hAnsi="仿宋" w:eastAsia="仿宋" w:cs="仿宋"/>
          <w:color w:val="auto"/>
          <w:sz w:val="32"/>
          <w:szCs w:val="32"/>
          <w:highlight w:val="none"/>
        </w:rPr>
        <w:t>国内公务接待批次</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次，人次</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次，国（境）外公务接待批次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七、其他重要事项情况说明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 机关运行经费支出情况说明</w:t>
      </w:r>
    </w:p>
    <w:p>
      <w:pPr>
        <w:ind w:firstLine="640" w:firstLineChars="200"/>
        <w:jc w:val="left"/>
        <w:rPr>
          <w:rFonts w:hint="eastAsia" w:ascii="仿宋" w:hAnsi="仿宋" w:eastAsia="仿宋" w:cs="仿宋"/>
          <w:b w:val="0"/>
          <w:bCs w:val="0"/>
          <w:color w:val="auto"/>
          <w:sz w:val="30"/>
          <w:szCs w:val="30"/>
          <w:highlight w:val="none"/>
        </w:rPr>
      </w:pPr>
      <w:r>
        <w:rPr>
          <w:rFonts w:hint="eastAsia" w:ascii="仿宋" w:hAnsi="仿宋" w:eastAsia="仿宋" w:cs="仿宋"/>
          <w:color w:val="auto"/>
          <w:sz w:val="32"/>
          <w:szCs w:val="32"/>
          <w:highlight w:val="none"/>
        </w:rPr>
        <w:t>本部门2022年度机关运行经费支出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万元，比年初预算数</w:t>
      </w:r>
      <w:r>
        <w:rPr>
          <w:rFonts w:ascii="仿宋" w:hAnsi="仿宋" w:eastAsia="仿宋" w:cs="仿宋"/>
          <w:color w:val="auto"/>
          <w:sz w:val="32"/>
          <w:szCs w:val="32"/>
          <w:highlight w:val="none"/>
        </w:rPr>
        <w:t>减少</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下降100%</w:t>
      </w:r>
      <w:r>
        <w:rPr>
          <w:rFonts w:hint="eastAsia" w:ascii="仿宋" w:hAnsi="仿宋" w:eastAsia="仿宋" w:cs="仿宋"/>
          <w:color w:val="auto"/>
          <w:sz w:val="32"/>
          <w:szCs w:val="32"/>
          <w:highlight w:val="none"/>
        </w:rPr>
        <w:t>，比上年决算数</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增长0%</w:t>
      </w:r>
      <w:r>
        <w:rPr>
          <w:rFonts w:hint="eastAsia" w:ascii="仿宋" w:hAnsi="仿宋" w:eastAsia="仿宋" w:cs="仿宋"/>
          <w:color w:val="auto"/>
          <w:sz w:val="32"/>
          <w:szCs w:val="32"/>
          <w:highlight w:val="none"/>
        </w:rPr>
        <w:t>。原因是：请根</w:t>
      </w:r>
      <w:r>
        <w:rPr>
          <w:rFonts w:hint="eastAsia" w:ascii="仿宋" w:hAnsi="仿宋" w:eastAsia="仿宋" w:cs="仿宋"/>
          <w:b w:val="0"/>
          <w:bCs w:val="0"/>
          <w:color w:val="auto"/>
          <w:sz w:val="30"/>
          <w:szCs w:val="30"/>
          <w:highlight w:val="none"/>
        </w:rPr>
        <w:t>实</w:t>
      </w:r>
      <w:r>
        <w:rPr>
          <w:rFonts w:hint="eastAsia" w:ascii="仿宋" w:hAnsi="仿宋" w:eastAsia="仿宋" w:cs="仿宋"/>
          <w:b w:val="0"/>
          <w:bCs w:val="0"/>
          <w:color w:val="auto"/>
          <w:kern w:val="0"/>
          <w:sz w:val="30"/>
          <w:szCs w:val="30"/>
          <w:highlight w:val="none"/>
        </w:rPr>
        <w:t>本部门无机关运行经费支出</w:t>
      </w:r>
      <w:r>
        <w:rPr>
          <w:rFonts w:hint="eastAsia" w:ascii="仿宋" w:hAnsi="仿宋" w:eastAsia="仿宋" w:cs="仿宋"/>
          <w:b w:val="0"/>
          <w:bCs w:val="0"/>
          <w:color w:val="auto"/>
          <w:sz w:val="30"/>
          <w:szCs w:val="30"/>
          <w:highlight w:val="none"/>
        </w:rPr>
        <w:t>。</w:t>
      </w:r>
    </w:p>
    <w:p>
      <w:pPr>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（二）政府采购支出情况说明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本部门2022年度政府采购支出总额</w:t>
      </w:r>
      <w:r>
        <w:rPr>
          <w:rFonts w:hint="eastAsia" w:ascii="仿宋" w:hAnsi="仿宋" w:eastAsia="仿宋" w:cs="仿宋"/>
          <w:color w:val="auto"/>
          <w:sz w:val="32"/>
          <w:szCs w:val="32"/>
          <w:highlight w:val="none"/>
          <w:lang w:val="en-US" w:eastAsia="zh-CN"/>
        </w:rPr>
        <w:t>3.6</w:t>
      </w:r>
      <w:r>
        <w:rPr>
          <w:rFonts w:hint="eastAsia" w:ascii="仿宋" w:hAnsi="仿宋" w:eastAsia="仿宋" w:cs="仿宋"/>
          <w:color w:val="auto"/>
          <w:sz w:val="32"/>
          <w:szCs w:val="32"/>
          <w:highlight w:val="none"/>
        </w:rPr>
        <w:t>万元，其中：政府采购货物支出</w:t>
      </w:r>
      <w:r>
        <w:rPr>
          <w:rFonts w:hint="eastAsia" w:ascii="仿宋" w:hAnsi="仿宋" w:eastAsia="仿宋" w:cs="仿宋"/>
          <w:color w:val="auto"/>
          <w:sz w:val="32"/>
          <w:szCs w:val="32"/>
          <w:highlight w:val="none"/>
          <w:lang w:val="en-US" w:eastAsia="zh-CN"/>
        </w:rPr>
        <w:t>3.6</w:t>
      </w:r>
      <w:r>
        <w:rPr>
          <w:rFonts w:hint="eastAsia" w:ascii="仿宋" w:hAnsi="仿宋" w:eastAsia="仿宋" w:cs="仿宋"/>
          <w:color w:val="auto"/>
          <w:sz w:val="32"/>
          <w:szCs w:val="32"/>
          <w:highlight w:val="none"/>
        </w:rPr>
        <w:t>万元、政府采购工程支出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万元、政府采购服务支出</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万元。授予中小企业合同金额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万元，占政府采购支出总额的</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，其中：授予小微企业合同金额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万元，占授予中小企业合同金额的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（三）国有资产占用情况说明</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截至2022年12月31日，本部门共有车辆</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辆，其中：副部（省）级领导干部用车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辆、机要通信用车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辆、应急保障用车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辆、执法执勤用车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辆、特种专业技术用车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辆、其他用车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辆；单位价值50万元以上通用设备</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台（套）；单位价值</w:t>
      </w:r>
      <w:r>
        <w:rPr>
          <w:rFonts w:hint="eastAsia" w:ascii="仿宋" w:hAnsi="仿宋" w:eastAsia="仿宋" w:cs="仿宋"/>
          <w:color w:val="auto"/>
          <w:sz w:val="32"/>
          <w:szCs w:val="32"/>
          <w:highlight w:val="none"/>
          <w:lang w:val="en-US" w:eastAsia="zh-CN"/>
        </w:rPr>
        <w:t>100万</w:t>
      </w:r>
      <w:r>
        <w:rPr>
          <w:rFonts w:hint="eastAsia" w:ascii="仿宋" w:hAnsi="仿宋" w:eastAsia="仿宋" w:cs="仿宋"/>
          <w:color w:val="auto"/>
          <w:sz w:val="32"/>
          <w:szCs w:val="32"/>
          <w:highlight w:val="none"/>
        </w:rPr>
        <w:t>元以上专用设备</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台（套）。</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根据财政预算管理要求，本部门组织对</w:t>
      </w:r>
      <w:r>
        <w:rPr>
          <w:rFonts w:hint="eastAsia" w:ascii="仿宋" w:hAnsi="仿宋" w:eastAsia="仿宋" w:cs="仿宋"/>
          <w:color w:val="auto"/>
          <w:sz w:val="32"/>
          <w:szCs w:val="32"/>
          <w:lang w:eastAsia="zh-CN"/>
        </w:rPr>
        <w:t>2022年</w:t>
      </w:r>
      <w:r>
        <w:rPr>
          <w:rFonts w:hint="eastAsia" w:ascii="仿宋" w:hAnsi="仿宋" w:eastAsia="仿宋" w:cs="仿宋"/>
          <w:color w:val="auto"/>
          <w:sz w:val="32"/>
          <w:szCs w:val="32"/>
        </w:rPr>
        <w:t>度一般公共预算项目支出全面开展绩效自评。其中，一</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个，二</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个，共涉及资金</w:t>
      </w:r>
      <w:r>
        <w:rPr>
          <w:rFonts w:hint="eastAsia" w:ascii="仿宋" w:hAnsi="仿宋" w:eastAsia="仿宋" w:cs="仿宋"/>
          <w:color w:val="auto"/>
          <w:sz w:val="32"/>
          <w:szCs w:val="32"/>
          <w:lang w:val="en-US" w:eastAsia="zh-CN"/>
        </w:rPr>
        <w:t>47.55</w:t>
      </w:r>
      <w:r>
        <w:rPr>
          <w:rFonts w:hint="eastAsia" w:ascii="仿宋" w:hAnsi="仿宋" w:eastAsia="仿宋" w:cs="仿宋"/>
          <w:color w:val="auto"/>
          <w:sz w:val="32"/>
          <w:szCs w:val="32"/>
        </w:rPr>
        <w:t>万元，占一般公共预算项目支出总额的</w:t>
      </w:r>
      <w:r>
        <w:rPr>
          <w:rFonts w:hint="eastAsia" w:ascii="仿宋" w:hAnsi="仿宋" w:eastAsia="仿宋" w:cs="仿宋"/>
          <w:color w:val="auto"/>
          <w:sz w:val="32"/>
          <w:szCs w:val="32"/>
          <w:lang w:val="en-US" w:eastAsia="zh-CN"/>
        </w:rPr>
        <w:t>11.93</w:t>
      </w:r>
      <w:r>
        <w:rPr>
          <w:rFonts w:hint="eastAsia" w:ascii="仿宋" w:hAnsi="仿宋" w:eastAsia="仿宋" w:cs="仿宋"/>
          <w:color w:val="auto"/>
          <w:sz w:val="32"/>
          <w:szCs w:val="32"/>
        </w:rPr>
        <w:t>%。组织对</w:t>
      </w:r>
      <w:r>
        <w:rPr>
          <w:rFonts w:hint="eastAsia" w:ascii="仿宋" w:hAnsi="仿宋" w:eastAsia="仿宋" w:cs="仿宋"/>
          <w:color w:val="auto"/>
          <w:sz w:val="32"/>
          <w:szCs w:val="32"/>
          <w:lang w:eastAsia="zh-CN"/>
        </w:rPr>
        <w:t>2022年</w:t>
      </w:r>
      <w:r>
        <w:rPr>
          <w:rFonts w:hint="eastAsia" w:ascii="仿宋" w:hAnsi="仿宋" w:eastAsia="仿宋" w:cs="仿宋"/>
          <w:color w:val="auto"/>
          <w:sz w:val="32"/>
          <w:szCs w:val="32"/>
        </w:rPr>
        <w:t>度政府性基金预算项目支出开展绩效自评，共涉及资金</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万元，占政府性基金预算项目支出总额的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%。组织对</w:t>
      </w:r>
      <w:r>
        <w:rPr>
          <w:rFonts w:hint="eastAsia" w:ascii="仿宋" w:hAnsi="仿宋" w:eastAsia="仿宋" w:cs="仿宋"/>
          <w:color w:val="auto"/>
          <w:sz w:val="32"/>
          <w:szCs w:val="32"/>
          <w:lang w:eastAsia="zh-CN"/>
        </w:rPr>
        <w:t>2022年</w:t>
      </w:r>
      <w:r>
        <w:rPr>
          <w:rFonts w:hint="eastAsia" w:ascii="仿宋" w:hAnsi="仿宋" w:eastAsia="仿宋" w:cs="仿宋"/>
          <w:color w:val="auto"/>
          <w:sz w:val="32"/>
          <w:szCs w:val="32"/>
        </w:rPr>
        <w:t>度国有资本经营预算项目支出开展绩效自评，共涉及资金</w:t>
      </w:r>
      <w:r>
        <w:rPr>
          <w:rFonts w:hint="eastAsia" w:ascii="仿宋" w:hAnsi="仿宋" w:eastAsia="仿宋" w:cs="仿宋"/>
          <w:color w:val="auto"/>
          <w:sz w:val="32"/>
          <w:szCs w:val="32"/>
          <w:lang w:val="en-US" w:eastAsia="zh-CN"/>
        </w:rPr>
        <w:t>0.00</w:t>
      </w:r>
      <w:r>
        <w:rPr>
          <w:rFonts w:hint="eastAsia" w:ascii="仿宋" w:hAnsi="仿宋" w:eastAsia="仿宋" w:cs="仿宋"/>
          <w:color w:val="auto"/>
          <w:sz w:val="32"/>
          <w:szCs w:val="32"/>
        </w:rPr>
        <w:t>万元，占国有资本经营预算项目支出总额的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组织对“</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022年度一般公共预算项目支出全面开展绩效自评”医药卫生体制改革和事业发展以奖代补项目等</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个项目进行了部门评价，涉及一般公共预算支出</w:t>
      </w:r>
      <w:r>
        <w:rPr>
          <w:rFonts w:hint="eastAsia" w:ascii="仿宋" w:hAnsi="仿宋" w:eastAsia="仿宋" w:cs="仿宋"/>
          <w:color w:val="auto"/>
          <w:sz w:val="32"/>
          <w:szCs w:val="32"/>
          <w:lang w:val="en-US" w:eastAsia="zh-CN"/>
        </w:rPr>
        <w:t>47.55</w:t>
      </w:r>
      <w:r>
        <w:rPr>
          <w:rFonts w:hint="eastAsia" w:ascii="仿宋" w:hAnsi="仿宋" w:eastAsia="仿宋" w:cs="仿宋"/>
          <w:color w:val="auto"/>
          <w:sz w:val="32"/>
          <w:szCs w:val="32"/>
        </w:rPr>
        <w:t>万元，政府性基金预算支出</w:t>
      </w:r>
      <w:r>
        <w:rPr>
          <w:rFonts w:hint="eastAsia" w:ascii="仿宋" w:hAnsi="仿宋" w:eastAsia="仿宋" w:cs="仿宋"/>
          <w:color w:val="auto"/>
          <w:sz w:val="32"/>
          <w:szCs w:val="32"/>
          <w:lang w:val="en-US" w:eastAsia="zh-CN"/>
        </w:rPr>
        <w:t>0.00</w:t>
      </w:r>
      <w:r>
        <w:rPr>
          <w:rFonts w:hint="eastAsia" w:ascii="仿宋" w:hAnsi="仿宋" w:eastAsia="仿宋" w:cs="仿宋"/>
          <w:color w:val="auto"/>
          <w:sz w:val="32"/>
          <w:szCs w:val="32"/>
        </w:rPr>
        <w:t>万元，国有资本经营预算支出</w:t>
      </w:r>
      <w:r>
        <w:rPr>
          <w:rFonts w:hint="eastAsia" w:ascii="仿宋" w:hAnsi="仿宋" w:eastAsia="仿宋" w:cs="仿宋"/>
          <w:color w:val="auto"/>
          <w:sz w:val="32"/>
          <w:szCs w:val="32"/>
          <w:lang w:val="en-US" w:eastAsia="zh-CN"/>
        </w:rPr>
        <w:t>0.00</w:t>
      </w:r>
      <w:r>
        <w:rPr>
          <w:rFonts w:hint="eastAsia" w:ascii="仿宋" w:hAnsi="仿宋" w:eastAsia="仿宋" w:cs="仿宋"/>
          <w:color w:val="auto"/>
          <w:sz w:val="32"/>
          <w:szCs w:val="32"/>
        </w:rPr>
        <w:t>万元。从评价情况来看，各项项目的绩效目标均能够顺利完成，资金执行情况良好，各项严格按照项目规定的范围和金额进行使用，无挪用、挤占现象，做到了专款专用。</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组织对</w:t>
      </w:r>
      <w:r>
        <w:rPr>
          <w:rFonts w:hint="eastAsia" w:ascii="仿宋" w:hAnsi="仿宋" w:eastAsia="仿宋" w:cs="仿宋"/>
          <w:color w:val="auto"/>
          <w:sz w:val="32"/>
          <w:szCs w:val="32"/>
          <w:lang w:eastAsia="zh-CN"/>
        </w:rPr>
        <w:t>环江毛南族自治县大才乡卫生院</w:t>
      </w:r>
      <w:r>
        <w:rPr>
          <w:rFonts w:hint="eastAsia" w:ascii="仿宋" w:hAnsi="仿宋" w:eastAsia="仿宋" w:cs="仿宋"/>
          <w:color w:val="auto"/>
          <w:sz w:val="32"/>
          <w:szCs w:val="32"/>
        </w:rPr>
        <w:t>开展整体支出绩效评价试点，涉及一般公共预算支出</w:t>
      </w:r>
      <w:r>
        <w:rPr>
          <w:rFonts w:hint="eastAsia" w:ascii="仿宋" w:hAnsi="仿宋" w:eastAsia="仿宋" w:cs="仿宋"/>
          <w:color w:val="auto"/>
          <w:sz w:val="32"/>
          <w:szCs w:val="32"/>
          <w:lang w:val="en-US" w:eastAsia="zh-CN"/>
        </w:rPr>
        <w:t>47.55</w:t>
      </w:r>
      <w:r>
        <w:rPr>
          <w:rFonts w:hint="eastAsia" w:ascii="仿宋" w:hAnsi="仿宋" w:eastAsia="仿宋" w:cs="仿宋"/>
          <w:color w:val="auto"/>
          <w:sz w:val="32"/>
          <w:szCs w:val="32"/>
        </w:rPr>
        <w:t>万元，政府性基金预算支出</w:t>
      </w:r>
      <w:r>
        <w:rPr>
          <w:rFonts w:hint="eastAsia" w:ascii="仿宋" w:hAnsi="仿宋" w:eastAsia="仿宋" w:cs="仿宋"/>
          <w:color w:val="auto"/>
          <w:sz w:val="32"/>
          <w:szCs w:val="32"/>
          <w:lang w:val="en-US" w:eastAsia="zh-CN"/>
        </w:rPr>
        <w:t>0.00</w:t>
      </w:r>
      <w:r>
        <w:rPr>
          <w:rFonts w:hint="eastAsia" w:ascii="仿宋" w:hAnsi="仿宋" w:eastAsia="仿宋" w:cs="仿宋"/>
          <w:color w:val="auto"/>
          <w:sz w:val="32"/>
          <w:szCs w:val="32"/>
        </w:rPr>
        <w:t>万元。从评价情况来看，各项目标都能够很好完成，绩效目标未偏离。</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2.部门决算中项目绩效自评结果</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atLeast"/>
        <w:ind w:left="0" w:leftChars="0" w:right="0" w:rightChars="0" w:firstLine="640" w:firstLineChars="200"/>
        <w:jc w:val="both"/>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color w:val="auto"/>
          <w:sz w:val="32"/>
          <w:szCs w:val="32"/>
        </w:rPr>
        <w:t>我</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根据年初设定的绩效目标，医药卫生体制改革和事业发展以奖代补项目</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lang w:val="en-US" w:eastAsia="zh-CN"/>
        </w:rPr>
        <w:t>6个</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分。发现的主要问题及原因：一是</w:t>
      </w:r>
      <w:r>
        <w:rPr>
          <w:rFonts w:hint="eastAsia" w:ascii="仿宋" w:hAnsi="仿宋" w:eastAsia="仿宋" w:cs="仿宋"/>
          <w:i w:val="0"/>
          <w:iCs w:val="0"/>
          <w:caps w:val="0"/>
          <w:color w:val="auto"/>
          <w:spacing w:val="0"/>
          <w:sz w:val="32"/>
          <w:szCs w:val="32"/>
        </w:rPr>
        <w:t>年初部门预算编制细化程度不够，</w:t>
      </w:r>
      <w:r>
        <w:rPr>
          <w:rFonts w:hint="eastAsia" w:ascii="仿宋" w:hAnsi="仿宋" w:eastAsia="仿宋" w:cs="仿宋"/>
          <w:i w:val="0"/>
          <w:iCs w:val="0"/>
          <w:caps w:val="0"/>
          <w:color w:val="auto"/>
          <w:spacing w:val="0"/>
          <w:sz w:val="32"/>
          <w:szCs w:val="32"/>
          <w:lang w:val="en-US" w:eastAsia="zh-CN"/>
        </w:rPr>
        <w:t>绩效目标和指标往往根据项目实际完成情况制定，对项目执行过程有效约束不够，</w:t>
      </w:r>
      <w:r>
        <w:rPr>
          <w:rFonts w:hint="eastAsia" w:ascii="仿宋" w:hAnsi="仿宋" w:eastAsia="仿宋" w:cs="仿宋"/>
          <w:i w:val="0"/>
          <w:iCs w:val="0"/>
          <w:caps w:val="0"/>
          <w:color w:val="auto"/>
          <w:spacing w:val="0"/>
          <w:sz w:val="32"/>
          <w:szCs w:val="32"/>
        </w:rPr>
        <w:t>导致在执行总体绩效目标</w:t>
      </w:r>
      <w:r>
        <w:rPr>
          <w:rFonts w:hint="eastAsia" w:ascii="仿宋" w:hAnsi="仿宋" w:eastAsia="仿宋" w:cs="仿宋"/>
          <w:i w:val="0"/>
          <w:iCs w:val="0"/>
          <w:caps w:val="0"/>
          <w:color w:val="auto"/>
          <w:spacing w:val="0"/>
          <w:sz w:val="32"/>
          <w:szCs w:val="32"/>
          <w:lang w:eastAsia="zh-CN"/>
        </w:rPr>
        <w:t>时</w:t>
      </w:r>
      <w:r>
        <w:rPr>
          <w:rFonts w:hint="eastAsia" w:ascii="仿宋" w:hAnsi="仿宋" w:eastAsia="仿宋" w:cs="仿宋"/>
          <w:i w:val="0"/>
          <w:iCs w:val="0"/>
          <w:caps w:val="0"/>
          <w:color w:val="auto"/>
          <w:spacing w:val="0"/>
          <w:sz w:val="32"/>
          <w:szCs w:val="32"/>
        </w:rPr>
        <w:t>部分存在偏差，致使项目预算存在年中、年末追加追减的现象</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color w:val="auto"/>
          <w:sz w:val="32"/>
          <w:szCs w:val="32"/>
        </w:rPr>
        <w:t>二是</w:t>
      </w:r>
      <w:r>
        <w:rPr>
          <w:rFonts w:hint="eastAsia" w:ascii="仿宋" w:hAnsi="仿宋" w:eastAsia="仿宋" w:cs="仿宋"/>
          <w:i w:val="0"/>
          <w:iCs w:val="0"/>
          <w:caps w:val="0"/>
          <w:color w:val="auto"/>
          <w:spacing w:val="0"/>
          <w:sz w:val="32"/>
          <w:szCs w:val="32"/>
          <w:lang w:val="en-US" w:eastAsia="zh-CN"/>
        </w:rPr>
        <w:t>在绩效考评指标的设计上，部分特色指标缺乏数据支持和可行的分析测评，绩效指标体系有待完善。</w:t>
      </w:r>
      <w:r>
        <w:rPr>
          <w:rFonts w:hint="eastAsia" w:ascii="仿宋" w:hAnsi="仿宋" w:eastAsia="仿宋" w:cs="仿宋"/>
          <w:color w:val="auto"/>
          <w:sz w:val="32"/>
          <w:szCs w:val="32"/>
        </w:rPr>
        <w:t>下一步改进措施：一是</w:t>
      </w:r>
      <w:r>
        <w:rPr>
          <w:rFonts w:hint="eastAsia" w:ascii="仿宋" w:hAnsi="仿宋" w:eastAsia="仿宋" w:cs="仿宋"/>
          <w:i w:val="0"/>
          <w:iCs w:val="0"/>
          <w:caps w:val="0"/>
          <w:color w:val="auto"/>
          <w:spacing w:val="0"/>
          <w:sz w:val="32"/>
          <w:szCs w:val="32"/>
        </w:rPr>
        <w:t>加强预算编制的合理性。预算的合理性是行政事业单位内部控制的精髓，在今后的工作中，我</w:t>
      </w:r>
      <w:r>
        <w:rPr>
          <w:rFonts w:hint="eastAsia" w:ascii="仿宋" w:hAnsi="仿宋" w:eastAsia="仿宋" w:cs="仿宋"/>
          <w:i w:val="0"/>
          <w:iCs w:val="0"/>
          <w:caps w:val="0"/>
          <w:color w:val="auto"/>
          <w:spacing w:val="0"/>
          <w:sz w:val="32"/>
          <w:szCs w:val="32"/>
          <w:lang w:eastAsia="zh-CN"/>
        </w:rPr>
        <w:t>单位</w:t>
      </w:r>
      <w:r>
        <w:rPr>
          <w:rFonts w:hint="eastAsia" w:ascii="仿宋" w:hAnsi="仿宋" w:eastAsia="仿宋" w:cs="仿宋"/>
          <w:i w:val="0"/>
          <w:iCs w:val="0"/>
          <w:caps w:val="0"/>
          <w:color w:val="auto"/>
          <w:spacing w:val="0"/>
          <w:sz w:val="32"/>
          <w:szCs w:val="32"/>
        </w:rPr>
        <w:t>进一步重视部门预算，严格执行《中华人民共和国预算法》，增强预算业务控制，充分发挥预算控制在内部控制中的重要作用。严格按</w:t>
      </w:r>
      <w:r>
        <w:rPr>
          <w:rFonts w:hint="eastAsia" w:ascii="仿宋" w:hAnsi="仿宋" w:eastAsia="仿宋" w:cs="仿宋"/>
          <w:i w:val="0"/>
          <w:iCs w:val="0"/>
          <w:caps w:val="0"/>
          <w:color w:val="auto"/>
          <w:spacing w:val="0"/>
          <w:sz w:val="32"/>
          <w:szCs w:val="32"/>
          <w:lang w:eastAsia="zh-CN"/>
        </w:rPr>
        <w:t>县</w:t>
      </w:r>
      <w:r>
        <w:rPr>
          <w:rFonts w:hint="eastAsia" w:ascii="仿宋" w:hAnsi="仿宋" w:eastAsia="仿宋" w:cs="仿宋"/>
          <w:i w:val="0"/>
          <w:iCs w:val="0"/>
          <w:caps w:val="0"/>
          <w:color w:val="auto"/>
          <w:spacing w:val="0"/>
          <w:sz w:val="32"/>
          <w:szCs w:val="32"/>
        </w:rPr>
        <w:t>本级部门预算编报程序进行编制，基本支出预算按照单位的基础信息和核定的标准编制，保证单位的正常运转；项目支出预算根据单位发展规划和年度计划，结合财政部门预算安排情况，科学细化项目</w:t>
      </w:r>
      <w:r>
        <w:rPr>
          <w:rFonts w:hint="eastAsia" w:ascii="仿宋" w:hAnsi="仿宋" w:eastAsia="仿宋" w:cs="仿宋"/>
          <w:color w:val="auto"/>
          <w:sz w:val="32"/>
          <w:szCs w:val="32"/>
        </w:rPr>
        <w:t>；二是</w:t>
      </w:r>
      <w:r>
        <w:rPr>
          <w:rFonts w:hint="eastAsia" w:ascii="仿宋" w:hAnsi="仿宋" w:eastAsia="仿宋" w:cs="仿宋"/>
          <w:i w:val="0"/>
          <w:iCs w:val="0"/>
          <w:caps w:val="0"/>
          <w:color w:val="auto"/>
          <w:spacing w:val="0"/>
          <w:sz w:val="32"/>
          <w:szCs w:val="32"/>
          <w:lang w:eastAsia="zh-CN"/>
        </w:rPr>
        <w:t>加强绩效评价管理制度和流程的建设，进一步深化、完善绩效管理体系，建立全过程的预算绩效管理机制，促进绩效管理工作向广度和深度延伸。规范绩效评价管理资料的收集整理，确保相关信息完整、可靠，客观公正地反映项目资金实际使用和产生的绩效状况，为今后该项目实施方向及管理方式的改进提供指导。</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3.绩效再评价情况。</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2022年度我院没有项目被纳入本年度绩效再评价。</w:t>
      </w:r>
    </w:p>
    <w:p>
      <w:pPr>
        <w:pStyle w:val="2"/>
        <w:rPr>
          <w:rFonts w:hint="eastAsia" w:ascii="仿宋" w:hAnsi="仿宋" w:eastAsia="仿宋" w:cs="仿宋"/>
          <w:color w:val="auto"/>
          <w:sz w:val="32"/>
          <w:szCs w:val="32"/>
        </w:rPr>
      </w:pP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第四部分  名词解释</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一、财政拨款收入：指</w:t>
      </w:r>
      <w:r>
        <w:rPr>
          <w:rFonts w:hint="eastAsia" w:ascii="仿宋" w:hAnsi="仿宋" w:eastAsia="仿宋" w:cs="仿宋"/>
          <w:color w:val="auto"/>
          <w:sz w:val="32"/>
          <w:szCs w:val="32"/>
          <w:u w:color="auto"/>
          <w:lang w:eastAsia="zh-CN"/>
        </w:rPr>
        <w:t>环江毛南族自治县</w:t>
      </w:r>
      <w:r>
        <w:rPr>
          <w:rFonts w:hint="eastAsia" w:ascii="仿宋" w:hAnsi="仿宋" w:eastAsia="仿宋" w:cs="仿宋"/>
          <w:color w:val="auto"/>
          <w:sz w:val="32"/>
          <w:szCs w:val="32"/>
          <w:u w:color="auto"/>
        </w:rPr>
        <w:t>财政部门当年拨付的资金。</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二、事业收入：指事业</w:t>
      </w:r>
      <w:bookmarkStart w:id="7" w:name="_GoBack"/>
      <w:bookmarkEnd w:id="7"/>
      <w:r>
        <w:rPr>
          <w:rFonts w:hint="eastAsia" w:ascii="仿宋" w:hAnsi="仿宋" w:eastAsia="仿宋" w:cs="仿宋"/>
          <w:color w:val="auto"/>
          <w:sz w:val="32"/>
          <w:szCs w:val="32"/>
          <w:highlight w:val="none"/>
        </w:rPr>
        <w:t>单位开展专业业务活动及辅助活动所取得的收入。</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三、经营收入：指事业单位在专业业务活动及其辅助活动之外开展非独立核算经营活动取得的收入。</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四、其他收入：指除上述“财政拨款收入”“事业收入”“经营收入”等以外的收入。</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六、年初结转和结余：指以前年度尚未完成、结转到本年 按有关规定继续使用的资金</w:t>
      </w:r>
      <w:r>
        <w:rPr>
          <w:rFonts w:hint="eastAsia" w:ascii="仿宋" w:hAnsi="仿宋" w:eastAsia="仿宋" w:cs="仿宋"/>
          <w:color w:val="auto"/>
          <w:sz w:val="32"/>
          <w:szCs w:val="32"/>
          <w:highlight w:val="none"/>
          <w:lang w:eastAsia="zh-CN"/>
        </w:rPr>
        <w:t>。</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十二、“三公”经费：纳入</w:t>
      </w:r>
      <w:r>
        <w:rPr>
          <w:rFonts w:ascii="仿宋" w:hAnsi="仿宋" w:eastAsia="仿宋" w:cs="仿宋"/>
          <w:color w:val="auto"/>
          <w:sz w:val="32"/>
          <w:szCs w:val="32"/>
          <w:u w:color="auto"/>
        </w:rPr>
        <w:t>河池市财政预决算管理的“三公”经费，是指</w:t>
      </w:r>
      <w:r>
        <w:rPr>
          <w:rFonts w:hint="eastAsia" w:ascii="仿宋" w:hAnsi="仿宋" w:eastAsia="仿宋" w:cs="仿宋"/>
          <w:color w:val="auto"/>
          <w:sz w:val="32"/>
          <w:szCs w:val="32"/>
          <w:u w:color="auto"/>
          <w:lang w:eastAsia="zh-CN"/>
        </w:rPr>
        <w:t>环江县</w:t>
      </w:r>
      <w:r>
        <w:rPr>
          <w:rFonts w:ascii="仿宋" w:hAnsi="仿宋" w:eastAsia="仿宋" w:cs="仿宋"/>
          <w:color w:val="auto"/>
          <w:sz w:val="32"/>
          <w:szCs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jOTMyMWRhZTQxYmVhN2E3YWUyNDRhOTkwYzczMGY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79047E"/>
    <w:rsid w:val="04DD5D12"/>
    <w:rsid w:val="04E54546"/>
    <w:rsid w:val="05287C41"/>
    <w:rsid w:val="05992762"/>
    <w:rsid w:val="07B0770E"/>
    <w:rsid w:val="0942143F"/>
    <w:rsid w:val="09931095"/>
    <w:rsid w:val="0A1B17AB"/>
    <w:rsid w:val="0AE52FDE"/>
    <w:rsid w:val="0D100297"/>
    <w:rsid w:val="0D202B45"/>
    <w:rsid w:val="0D2E77CC"/>
    <w:rsid w:val="0DC174DD"/>
    <w:rsid w:val="0F8D4C87"/>
    <w:rsid w:val="0F9E7E58"/>
    <w:rsid w:val="0FF71AA5"/>
    <w:rsid w:val="10505FAA"/>
    <w:rsid w:val="105F7E7E"/>
    <w:rsid w:val="11E56B5B"/>
    <w:rsid w:val="125C77AB"/>
    <w:rsid w:val="14CB726E"/>
    <w:rsid w:val="170E4165"/>
    <w:rsid w:val="17E92249"/>
    <w:rsid w:val="18D304F1"/>
    <w:rsid w:val="19550D75"/>
    <w:rsid w:val="19F32577"/>
    <w:rsid w:val="19F45B80"/>
    <w:rsid w:val="19F86B2A"/>
    <w:rsid w:val="1B0C078D"/>
    <w:rsid w:val="1B2B31E2"/>
    <w:rsid w:val="1B4C295A"/>
    <w:rsid w:val="1B973C63"/>
    <w:rsid w:val="1BA1001E"/>
    <w:rsid w:val="1CB11E0E"/>
    <w:rsid w:val="1D317259"/>
    <w:rsid w:val="1D6334B4"/>
    <w:rsid w:val="1E664F5B"/>
    <w:rsid w:val="1EB34BE1"/>
    <w:rsid w:val="1EC6548A"/>
    <w:rsid w:val="20DB4566"/>
    <w:rsid w:val="215E639F"/>
    <w:rsid w:val="21EC3183"/>
    <w:rsid w:val="225E72CD"/>
    <w:rsid w:val="227B600E"/>
    <w:rsid w:val="22A73DA6"/>
    <w:rsid w:val="22F831C2"/>
    <w:rsid w:val="230D3141"/>
    <w:rsid w:val="23C8253D"/>
    <w:rsid w:val="246E2F77"/>
    <w:rsid w:val="254B4E2B"/>
    <w:rsid w:val="283D7C94"/>
    <w:rsid w:val="29480E03"/>
    <w:rsid w:val="2952304E"/>
    <w:rsid w:val="2983634D"/>
    <w:rsid w:val="2B485C8D"/>
    <w:rsid w:val="2BA5645F"/>
    <w:rsid w:val="2BB02055"/>
    <w:rsid w:val="2BD60D9E"/>
    <w:rsid w:val="2C575A56"/>
    <w:rsid w:val="2E7D3F3E"/>
    <w:rsid w:val="2F257714"/>
    <w:rsid w:val="2F3275E5"/>
    <w:rsid w:val="30AA08EF"/>
    <w:rsid w:val="30D23D1C"/>
    <w:rsid w:val="31221CF5"/>
    <w:rsid w:val="31400178"/>
    <w:rsid w:val="321E3342"/>
    <w:rsid w:val="327759C8"/>
    <w:rsid w:val="33185FE3"/>
    <w:rsid w:val="34EE2E36"/>
    <w:rsid w:val="36777241"/>
    <w:rsid w:val="38A951DB"/>
    <w:rsid w:val="38B31605"/>
    <w:rsid w:val="39003F4F"/>
    <w:rsid w:val="3A0821EA"/>
    <w:rsid w:val="3AF85078"/>
    <w:rsid w:val="3C07002B"/>
    <w:rsid w:val="3CE26EA2"/>
    <w:rsid w:val="3D0D152A"/>
    <w:rsid w:val="3DF62756"/>
    <w:rsid w:val="3F1B7587"/>
    <w:rsid w:val="3FCA2274"/>
    <w:rsid w:val="41E57B4F"/>
    <w:rsid w:val="4201421A"/>
    <w:rsid w:val="421D3AAA"/>
    <w:rsid w:val="432F26F6"/>
    <w:rsid w:val="436B1F89"/>
    <w:rsid w:val="43880F63"/>
    <w:rsid w:val="441C5A6F"/>
    <w:rsid w:val="44A513E7"/>
    <w:rsid w:val="44C44FCC"/>
    <w:rsid w:val="44CC7369"/>
    <w:rsid w:val="457F5108"/>
    <w:rsid w:val="46951B6B"/>
    <w:rsid w:val="49312513"/>
    <w:rsid w:val="49A34401"/>
    <w:rsid w:val="4A3E30AB"/>
    <w:rsid w:val="4AC14DAC"/>
    <w:rsid w:val="4B1550A5"/>
    <w:rsid w:val="4CCE207C"/>
    <w:rsid w:val="4D154C85"/>
    <w:rsid w:val="4EC8553A"/>
    <w:rsid w:val="4F1F12EF"/>
    <w:rsid w:val="508F4E24"/>
    <w:rsid w:val="51461E90"/>
    <w:rsid w:val="51463753"/>
    <w:rsid w:val="515657C5"/>
    <w:rsid w:val="52553A93"/>
    <w:rsid w:val="53521F8B"/>
    <w:rsid w:val="53E22F47"/>
    <w:rsid w:val="54522FF8"/>
    <w:rsid w:val="55450629"/>
    <w:rsid w:val="56692963"/>
    <w:rsid w:val="568B0F48"/>
    <w:rsid w:val="5786217B"/>
    <w:rsid w:val="57FB26B9"/>
    <w:rsid w:val="59337A15"/>
    <w:rsid w:val="59810274"/>
    <w:rsid w:val="598B63BF"/>
    <w:rsid w:val="5B63642D"/>
    <w:rsid w:val="5CA96A00"/>
    <w:rsid w:val="5CF730BC"/>
    <w:rsid w:val="5E5F0DCE"/>
    <w:rsid w:val="5E8B56A9"/>
    <w:rsid w:val="5F030931"/>
    <w:rsid w:val="5F6858DD"/>
    <w:rsid w:val="5FA40A7B"/>
    <w:rsid w:val="5FD56D29"/>
    <w:rsid w:val="5FEC7F3F"/>
    <w:rsid w:val="60F74BC3"/>
    <w:rsid w:val="617D3BF8"/>
    <w:rsid w:val="61841F6A"/>
    <w:rsid w:val="623007A9"/>
    <w:rsid w:val="637D7558"/>
    <w:rsid w:val="644F19AC"/>
    <w:rsid w:val="64696175"/>
    <w:rsid w:val="64851E32"/>
    <w:rsid w:val="65141F00"/>
    <w:rsid w:val="65AA4920"/>
    <w:rsid w:val="67694F1E"/>
    <w:rsid w:val="67B90C75"/>
    <w:rsid w:val="69597934"/>
    <w:rsid w:val="6B964DDC"/>
    <w:rsid w:val="6C783074"/>
    <w:rsid w:val="6D9E65C6"/>
    <w:rsid w:val="6DA81947"/>
    <w:rsid w:val="6EB66DE2"/>
    <w:rsid w:val="6ED3075F"/>
    <w:rsid w:val="6EEA23E8"/>
    <w:rsid w:val="6F2A2D4B"/>
    <w:rsid w:val="6F8A0C1E"/>
    <w:rsid w:val="70377442"/>
    <w:rsid w:val="703F45D4"/>
    <w:rsid w:val="71171F69"/>
    <w:rsid w:val="715D6546"/>
    <w:rsid w:val="71BE069E"/>
    <w:rsid w:val="71DD2FCA"/>
    <w:rsid w:val="73953409"/>
    <w:rsid w:val="73E069A3"/>
    <w:rsid w:val="742C481D"/>
    <w:rsid w:val="749C72C7"/>
    <w:rsid w:val="78104AA8"/>
    <w:rsid w:val="78E257C5"/>
    <w:rsid w:val="794B35BE"/>
    <w:rsid w:val="7AA80AB2"/>
    <w:rsid w:val="7B0A3A31"/>
    <w:rsid w:val="7B3360ED"/>
    <w:rsid w:val="7B5319F3"/>
    <w:rsid w:val="7B683919"/>
    <w:rsid w:val="7BDF037E"/>
    <w:rsid w:val="7BF50948"/>
    <w:rsid w:val="7CA80310"/>
    <w:rsid w:val="7CE66A78"/>
    <w:rsid w:val="7D1070E7"/>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3"/>
    <w:basedOn w:val="1"/>
    <w:next w:val="1"/>
    <w:qFormat/>
    <w:uiPriority w:val="0"/>
    <w:pPr>
      <w:keepNext/>
      <w:keepLines/>
      <w:autoSpaceDE/>
      <w:autoSpaceDN/>
      <w:adjustRightInd/>
      <w:snapToGrid/>
      <w:spacing w:line="360" w:lineRule="auto"/>
      <w:ind w:firstLine="600" w:firstLineChars="200"/>
      <w:outlineLvl w:val="2"/>
    </w:pPr>
    <w:rPr>
      <w:rFonts w:ascii="Times New Roman" w:hAnsi="仿宋" w:eastAsia="黑体" w:cs="Times New Roman"/>
      <w:bCs/>
      <w:spacing w:val="0"/>
      <w:kern w:val="0"/>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11469</Words>
  <Characters>15273</Characters>
  <Lines>90</Lines>
  <Paragraphs>25</Paragraphs>
  <TotalTime>460</TotalTime>
  <ScaleCrop>false</ScaleCrop>
  <LinksUpToDate>false</LinksUpToDate>
  <CharactersWithSpaces>15474</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2023-11-27T00:48:41Z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B7A2BD7114D944BDBFE8E2B5206CE6F1_13</vt:lpwstr>
  </property>
</Properties>
</file>