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bookmarkStart w:id="6" w:name="_GoBack"/>
      <w:r>
        <w:rPr>
          <w:rFonts w:hint="eastAsia" w:ascii="黑体" w:hAnsi="黑体" w:eastAsia="黑体" w:cs="黑体"/>
          <w:b/>
          <w:bCs/>
          <w:sz w:val="52"/>
          <w:szCs w:val="52"/>
          <w:highlight w:val="none"/>
          <w:lang w:eastAsia="zh-CN"/>
        </w:rPr>
        <w:t>环江毛南族自治县思恩镇防保所</w:t>
      </w:r>
      <w:bookmarkEnd w:id="6"/>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环江毛南族自治县思恩镇防所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环江毛南族自治县思恩镇防所</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环江毛南族自治县思恩镇防所</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eastAsia="zh-CN"/>
        </w:rPr>
        <w:t>环江毛南族自治县思恩镇防所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napToGrid w:val="0"/>
        <w:spacing w:line="520" w:lineRule="exact"/>
        <w:ind w:firstLine="640" w:firstLineChars="200"/>
        <w:rPr>
          <w:rFonts w:ascii="仿宋" w:hAnsi="仿宋" w:eastAsia="仿宋"/>
          <w:sz w:val="32"/>
          <w:szCs w:val="32"/>
        </w:rPr>
      </w:pPr>
      <w:r>
        <w:rPr>
          <w:rFonts w:hint="eastAsia" w:ascii="仿宋" w:hAnsi="仿宋" w:eastAsia="仿宋" w:cs="仿宋"/>
          <w:color w:val="auto"/>
          <w:sz w:val="32"/>
          <w:szCs w:val="32"/>
          <w:lang w:eastAsia="zh-CN"/>
        </w:rPr>
        <w:t>环江毛南族自治县思恩镇防保所</w:t>
      </w:r>
      <w:r>
        <w:rPr>
          <w:rFonts w:hint="eastAsia" w:ascii="仿宋" w:hAnsi="仿宋" w:eastAsia="仿宋" w:cs="仿宋"/>
          <w:color w:val="auto"/>
          <w:sz w:val="32"/>
          <w:szCs w:val="32"/>
        </w:rPr>
        <w:t>的主要职能是：</w:t>
      </w:r>
      <w:r>
        <w:rPr>
          <w:rFonts w:ascii="仿宋" w:hAnsi="仿宋" w:eastAsia="仿宋"/>
          <w:sz w:val="32"/>
          <w:szCs w:val="32"/>
        </w:rPr>
        <w:t>宣传贯彻党和政府的医疗卫生工作方针政策,开展</w:t>
      </w:r>
      <w:r>
        <w:rPr>
          <w:rFonts w:hint="eastAsia" w:ascii="仿宋" w:hAnsi="仿宋" w:eastAsia="仿宋"/>
          <w:sz w:val="32"/>
          <w:szCs w:val="32"/>
        </w:rPr>
        <w:t>康</w:t>
      </w:r>
      <w:r>
        <w:rPr>
          <w:rFonts w:ascii="仿宋" w:hAnsi="仿宋" w:eastAsia="仿宋"/>
          <w:sz w:val="32"/>
          <w:szCs w:val="32"/>
        </w:rPr>
        <w:t>健教育</w:t>
      </w:r>
      <w:r>
        <w:rPr>
          <w:rFonts w:hint="eastAsia" w:ascii="仿宋" w:hAnsi="仿宋" w:eastAsia="仿宋"/>
          <w:sz w:val="32"/>
          <w:szCs w:val="32"/>
        </w:rPr>
        <w:t>；</w:t>
      </w:r>
      <w:r>
        <w:rPr>
          <w:rFonts w:ascii="仿宋" w:hAnsi="仿宋" w:eastAsia="仿宋"/>
          <w:sz w:val="32"/>
          <w:szCs w:val="32"/>
        </w:rPr>
        <w:t>协助并组织实施初级卫生保健计划和开展爱国卫生运动;开展疾病预防控制,做好精神卫生和慢性非传染性疾病控制工作;落实免疫规划适龄儿童能及时得到免费接种服务;开展妇幼保健工作,提高妇女儿童健康水平;协助开展突发公共卫生事件应急调查工作,承担区域内公共卫生相关信息收集与报告;提供基本医疗服务,开展农村常见病多发病以及诊断明确的慢性非传染性疾病的诊疗护理,提供医疗咨询服务,推广使用农村适宜技术和中医药技术;受县级卫生行政部门委托，承担区域内食品卫生、饮用水卫生、公共场所卫生、职业卫生、传染病防治等公共卫生管理职能;协助做好新型农村合作医疗工作;负责对村级卫生机构和乡村医生的业务管理和技术指导</w:t>
      </w:r>
      <w:r>
        <w:rPr>
          <w:rFonts w:hint="eastAsia" w:ascii="仿宋" w:hAnsi="仿宋" w:eastAsia="仿宋"/>
          <w:sz w:val="32"/>
          <w:szCs w:val="32"/>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snapToGrid w:val="0"/>
        <w:spacing w:line="520" w:lineRule="exact"/>
        <w:ind w:left="0" w:leftChars="0" w:firstLine="640" w:firstLineChars="200"/>
        <w:rPr>
          <w:rFonts w:hint="eastAsia" w:ascii="黑体" w:hAnsi="黑体" w:eastAsia="黑体" w:cs="黑体"/>
          <w:sz w:val="32"/>
          <w:szCs w:val="32"/>
          <w:highlight w:val="none"/>
          <w:lang w:val="en-US" w:eastAsia="zh-CN"/>
        </w:rPr>
      </w:pPr>
      <w:r>
        <w:rPr>
          <w:rFonts w:hint="eastAsia" w:ascii="仿宋" w:hAnsi="仿宋" w:eastAsia="仿宋" w:cs="仿宋"/>
          <w:color w:val="auto"/>
          <w:sz w:val="32"/>
          <w:szCs w:val="32"/>
        </w:rPr>
        <w:t>我部门没有下属单位，按照部门决算编报要求，单独编制本部门决算。</w:t>
      </w:r>
      <w:r>
        <w:rPr>
          <w:rFonts w:hint="eastAsia" w:ascii="仿宋" w:hAnsi="仿宋" w:eastAsia="仿宋" w:cs="仿宋"/>
          <w:color w:val="auto"/>
          <w:sz w:val="32"/>
          <w:szCs w:val="32"/>
          <w:lang w:eastAsia="zh-CN"/>
        </w:rPr>
        <w:t>机构设置情况：</w:t>
      </w:r>
      <w:r>
        <w:rPr>
          <w:rFonts w:hint="eastAsia" w:ascii="仿宋" w:hAnsi="仿宋" w:eastAsia="仿宋"/>
          <w:color w:val="auto"/>
          <w:sz w:val="32"/>
          <w:szCs w:val="32"/>
        </w:rPr>
        <w:t>2022年</w:t>
      </w:r>
      <w:r>
        <w:rPr>
          <w:rFonts w:ascii="仿宋" w:hAnsi="仿宋" w:eastAsia="仿宋"/>
          <w:color w:val="auto"/>
          <w:sz w:val="32"/>
          <w:szCs w:val="32"/>
        </w:rPr>
        <w:t>全镇辖区有</w:t>
      </w:r>
      <w:r>
        <w:rPr>
          <w:rFonts w:hint="eastAsia" w:ascii="仿宋" w:hAnsi="仿宋" w:eastAsia="仿宋"/>
          <w:sz w:val="32"/>
          <w:szCs w:val="32"/>
        </w:rPr>
        <w:t>1</w:t>
      </w:r>
      <w:r>
        <w:rPr>
          <w:rFonts w:ascii="仿宋" w:hAnsi="仿宋" w:eastAsia="仿宋"/>
          <w:sz w:val="32"/>
          <w:szCs w:val="32"/>
        </w:rPr>
        <w:t>2个</w:t>
      </w:r>
      <w:r>
        <w:rPr>
          <w:rFonts w:hint="eastAsia" w:ascii="仿宋" w:hAnsi="仿宋" w:eastAsia="仿宋"/>
          <w:sz w:val="32"/>
          <w:szCs w:val="32"/>
        </w:rPr>
        <w:t>行政</w:t>
      </w:r>
      <w:r>
        <w:rPr>
          <w:rFonts w:ascii="仿宋" w:hAnsi="仿宋" w:eastAsia="仿宋"/>
          <w:sz w:val="32"/>
          <w:szCs w:val="32"/>
        </w:rPr>
        <w:t>村</w:t>
      </w:r>
      <w:r>
        <w:rPr>
          <w:rFonts w:hint="eastAsia" w:ascii="仿宋" w:hAnsi="仿宋" w:eastAsia="仿宋"/>
          <w:sz w:val="32"/>
          <w:szCs w:val="32"/>
        </w:rPr>
        <w:t>及4个社区</w:t>
      </w:r>
      <w:r>
        <w:rPr>
          <w:rFonts w:ascii="仿宋" w:hAnsi="仿宋" w:eastAsia="仿宋"/>
          <w:sz w:val="32"/>
          <w:szCs w:val="32"/>
        </w:rPr>
        <w:t>,全镇总人口</w:t>
      </w:r>
      <w:r>
        <w:rPr>
          <w:rFonts w:ascii="Calibri" w:hAnsi="Calibri" w:eastAsia="仿宋" w:cs="Calibri"/>
          <w:sz w:val="32"/>
          <w:szCs w:val="32"/>
        </w:rPr>
        <w:t> </w:t>
      </w:r>
      <w:r>
        <w:rPr>
          <w:rFonts w:ascii="仿宋" w:hAnsi="仿宋" w:eastAsia="仿宋"/>
          <w:sz w:val="32"/>
          <w:szCs w:val="32"/>
        </w:rPr>
        <w:t>65561</w:t>
      </w:r>
      <w:r>
        <w:rPr>
          <w:rFonts w:ascii="Calibri" w:hAnsi="Calibri" w:eastAsia="仿宋" w:cs="Calibri"/>
          <w:sz w:val="32"/>
          <w:szCs w:val="32"/>
        </w:rPr>
        <w:t> </w:t>
      </w:r>
      <w:r>
        <w:rPr>
          <w:rFonts w:ascii="仿宋" w:hAnsi="仿宋" w:eastAsia="仿宋"/>
          <w:sz w:val="32"/>
          <w:szCs w:val="32"/>
        </w:rPr>
        <w:t>人。辖区内医疗卫生机构有</w:t>
      </w:r>
      <w:r>
        <w:rPr>
          <w:rFonts w:ascii="Calibri" w:hAnsi="Calibri" w:eastAsia="仿宋" w:cs="Calibri"/>
          <w:sz w:val="32"/>
          <w:szCs w:val="32"/>
        </w:rPr>
        <w:t> </w:t>
      </w:r>
      <w:r>
        <w:rPr>
          <w:rFonts w:ascii="仿宋" w:hAnsi="仿宋" w:eastAsia="仿宋"/>
          <w:sz w:val="32"/>
          <w:szCs w:val="32"/>
        </w:rPr>
        <w:t>1</w:t>
      </w:r>
      <w:r>
        <w:rPr>
          <w:rFonts w:ascii="Calibri" w:hAnsi="Calibri" w:eastAsia="仿宋" w:cs="Calibri"/>
          <w:sz w:val="32"/>
          <w:szCs w:val="32"/>
        </w:rPr>
        <w:t> </w:t>
      </w:r>
      <w:r>
        <w:rPr>
          <w:rFonts w:ascii="仿宋" w:hAnsi="仿宋" w:eastAsia="仿宋"/>
          <w:sz w:val="32"/>
          <w:szCs w:val="32"/>
        </w:rPr>
        <w:t>个乡镇卫生院、</w:t>
      </w:r>
      <w:r>
        <w:rPr>
          <w:rFonts w:hint="eastAsia" w:ascii="仿宋" w:hAnsi="仿宋" w:eastAsia="仿宋"/>
          <w:sz w:val="32"/>
          <w:szCs w:val="32"/>
        </w:rPr>
        <w:t>1</w:t>
      </w:r>
      <w:r>
        <w:rPr>
          <w:rFonts w:ascii="仿宋" w:hAnsi="仿宋" w:eastAsia="仿宋"/>
          <w:sz w:val="32"/>
          <w:szCs w:val="32"/>
        </w:rPr>
        <w:t>2</w:t>
      </w:r>
      <w:r>
        <w:rPr>
          <w:rFonts w:ascii="Calibri" w:hAnsi="Calibri" w:eastAsia="仿宋" w:cs="Calibri"/>
          <w:sz w:val="32"/>
          <w:szCs w:val="32"/>
        </w:rPr>
        <w:t> </w:t>
      </w:r>
      <w:r>
        <w:rPr>
          <w:rFonts w:ascii="仿宋" w:hAnsi="仿宋" w:eastAsia="仿宋"/>
          <w:sz w:val="32"/>
          <w:szCs w:val="32"/>
        </w:rPr>
        <w:t>个村卫生</w:t>
      </w:r>
      <w:r>
        <w:rPr>
          <w:rFonts w:hint="eastAsia" w:ascii="仿宋" w:hAnsi="仿宋" w:eastAsia="仿宋"/>
          <w:sz w:val="32"/>
          <w:szCs w:val="32"/>
        </w:rPr>
        <w:t>室及4个社区卫生室</w:t>
      </w:r>
      <w:r>
        <w:rPr>
          <w:rFonts w:ascii="仿宋" w:hAnsi="仿宋" w:eastAsia="仿宋"/>
          <w:sz w:val="32"/>
          <w:szCs w:val="32"/>
        </w:rPr>
        <w:t>。乡村医生</w:t>
      </w:r>
      <w:r>
        <w:rPr>
          <w:rFonts w:ascii="Calibri" w:hAnsi="Calibri" w:eastAsia="仿宋" w:cs="Calibri"/>
          <w:sz w:val="32"/>
          <w:szCs w:val="32"/>
        </w:rPr>
        <w:t> 2</w:t>
      </w:r>
      <w:r>
        <w:rPr>
          <w:rFonts w:hint="eastAsia" w:ascii="Calibri" w:hAnsi="Calibri" w:eastAsia="仿宋" w:cs="Calibri"/>
          <w:sz w:val="32"/>
          <w:szCs w:val="32"/>
        </w:rPr>
        <w:t>1</w:t>
      </w:r>
      <w:r>
        <w:rPr>
          <w:rFonts w:ascii="Calibri" w:hAnsi="Calibri" w:eastAsia="仿宋" w:cs="Calibri"/>
          <w:sz w:val="32"/>
          <w:szCs w:val="32"/>
        </w:rPr>
        <w:t> </w:t>
      </w:r>
      <w:r>
        <w:rPr>
          <w:rFonts w:ascii="仿宋" w:hAnsi="仿宋" w:eastAsia="仿宋"/>
          <w:sz w:val="32"/>
          <w:szCs w:val="32"/>
        </w:rPr>
        <w:t>人。</w:t>
      </w:r>
      <w:r>
        <w:rPr>
          <w:rFonts w:hint="eastAsia" w:ascii="仿宋" w:hAnsi="仿宋" w:eastAsia="仿宋"/>
          <w:sz w:val="32"/>
          <w:szCs w:val="32"/>
          <w:lang w:eastAsia="zh-CN"/>
        </w:rPr>
        <w:t>人员构成情况：</w:t>
      </w:r>
      <w:r>
        <w:rPr>
          <w:rFonts w:hint="eastAsia" w:ascii="仿宋_GB2312" w:eastAsia="仿宋_GB2312"/>
          <w:sz w:val="32"/>
          <w:szCs w:val="32"/>
        </w:rPr>
        <w:t>人员编制总数为1</w:t>
      </w:r>
      <w:r>
        <w:rPr>
          <w:rFonts w:hint="eastAsia" w:ascii="仿宋_GB2312" w:eastAsia="仿宋_GB2312"/>
          <w:sz w:val="32"/>
          <w:szCs w:val="32"/>
          <w:lang w:val="en-US" w:eastAsia="zh-CN"/>
        </w:rPr>
        <w:t>2</w:t>
      </w:r>
      <w:r>
        <w:rPr>
          <w:rFonts w:hint="eastAsia" w:ascii="仿宋_GB2312" w:eastAsia="仿宋_GB2312"/>
          <w:sz w:val="32"/>
          <w:szCs w:val="32"/>
        </w:rPr>
        <w:t>人，</w:t>
      </w:r>
      <w:r>
        <w:rPr>
          <w:rFonts w:ascii="仿宋" w:hAnsi="仿宋" w:eastAsia="仿宋"/>
          <w:sz w:val="32"/>
          <w:szCs w:val="32"/>
        </w:rPr>
        <w:t>在职</w:t>
      </w:r>
      <w:r>
        <w:rPr>
          <w:rFonts w:hint="eastAsia" w:ascii="仿宋" w:hAnsi="仿宋" w:eastAsia="仿宋"/>
          <w:sz w:val="32"/>
          <w:szCs w:val="32"/>
        </w:rPr>
        <w:t>在编</w:t>
      </w:r>
      <w:r>
        <w:rPr>
          <w:rFonts w:ascii="仿宋" w:hAnsi="仿宋" w:eastAsia="仿宋"/>
          <w:sz w:val="32"/>
          <w:szCs w:val="32"/>
        </w:rPr>
        <w:t>职工</w:t>
      </w:r>
      <w:r>
        <w:rPr>
          <w:rFonts w:hint="eastAsia" w:ascii="仿宋" w:hAnsi="仿宋" w:eastAsia="仿宋"/>
          <w:sz w:val="32"/>
          <w:szCs w:val="32"/>
          <w:lang w:val="en-US" w:eastAsia="zh-CN"/>
        </w:rPr>
        <w:t>11</w:t>
      </w:r>
      <w:r>
        <w:rPr>
          <w:rFonts w:ascii="Calibri" w:hAnsi="Calibri" w:eastAsia="仿宋" w:cs="Calibri"/>
          <w:sz w:val="32"/>
          <w:szCs w:val="32"/>
        </w:rPr>
        <w:t> </w:t>
      </w:r>
      <w:r>
        <w:rPr>
          <w:rFonts w:ascii="仿宋" w:hAnsi="仿宋" w:eastAsia="仿宋"/>
          <w:sz w:val="32"/>
          <w:szCs w:val="32"/>
        </w:rPr>
        <w:t>人,现有卫生技术人员</w:t>
      </w:r>
      <w:r>
        <w:rPr>
          <w:rFonts w:hint="eastAsia" w:ascii="仿宋" w:hAnsi="仿宋" w:eastAsia="仿宋"/>
          <w:sz w:val="32"/>
          <w:szCs w:val="32"/>
          <w:lang w:val="en-US" w:eastAsia="zh-CN"/>
        </w:rPr>
        <w:t>7</w:t>
      </w:r>
      <w:r>
        <w:rPr>
          <w:rFonts w:ascii="仿宋" w:hAnsi="仿宋" w:eastAsia="仿宋"/>
          <w:sz w:val="32"/>
          <w:szCs w:val="32"/>
        </w:rPr>
        <w:t>人,执业医师</w:t>
      </w:r>
      <w:r>
        <w:rPr>
          <w:rFonts w:ascii="Calibri" w:hAnsi="Calibri" w:eastAsia="仿宋" w:cs="Calibri"/>
          <w:sz w:val="32"/>
          <w:szCs w:val="32"/>
        </w:rPr>
        <w:t> 4 </w:t>
      </w:r>
      <w:r>
        <w:rPr>
          <w:rFonts w:ascii="仿宋" w:hAnsi="仿宋" w:eastAsia="仿宋"/>
          <w:sz w:val="32"/>
          <w:szCs w:val="32"/>
        </w:rPr>
        <w:t>人,护士2</w:t>
      </w:r>
      <w:r>
        <w:rPr>
          <w:rFonts w:ascii="Calibri" w:hAnsi="Calibri" w:eastAsia="仿宋" w:cs="Calibri"/>
          <w:sz w:val="32"/>
          <w:szCs w:val="32"/>
        </w:rPr>
        <w:t> </w:t>
      </w:r>
      <w:r>
        <w:rPr>
          <w:rFonts w:ascii="仿宋" w:hAnsi="仿宋" w:eastAsia="仿宋"/>
          <w:sz w:val="32"/>
          <w:szCs w:val="32"/>
        </w:rPr>
        <w:t>人,</w:t>
      </w:r>
      <w:r>
        <w:rPr>
          <w:rFonts w:hint="eastAsia" w:ascii="仿宋" w:hAnsi="仿宋" w:eastAsia="仿宋"/>
          <w:sz w:val="32"/>
          <w:szCs w:val="32"/>
          <w:lang w:eastAsia="zh-CN"/>
        </w:rPr>
        <w:t>医技人员</w:t>
      </w:r>
      <w:r>
        <w:rPr>
          <w:rFonts w:hint="eastAsia" w:ascii="仿宋" w:hAnsi="仿宋" w:eastAsia="仿宋"/>
          <w:sz w:val="32"/>
          <w:szCs w:val="32"/>
          <w:lang w:val="en-US" w:eastAsia="zh-CN"/>
        </w:rPr>
        <w:t>1人，</w:t>
      </w:r>
      <w:r>
        <w:rPr>
          <w:rFonts w:ascii="仿宋" w:hAnsi="仿宋" w:eastAsia="仿宋"/>
          <w:sz w:val="32"/>
          <w:szCs w:val="32"/>
        </w:rPr>
        <w:t>其他</w:t>
      </w:r>
      <w:r>
        <w:rPr>
          <w:rFonts w:hint="eastAsia" w:ascii="仿宋" w:hAnsi="仿宋" w:eastAsia="仿宋"/>
          <w:sz w:val="32"/>
          <w:szCs w:val="32"/>
          <w:lang w:val="en-US" w:eastAsia="zh-CN"/>
        </w:rPr>
        <w:t>4</w:t>
      </w:r>
      <w:r>
        <w:rPr>
          <w:rFonts w:ascii="Calibri" w:hAnsi="Calibri" w:eastAsia="仿宋" w:cs="Calibri"/>
          <w:sz w:val="32"/>
          <w:szCs w:val="32"/>
        </w:rPr>
        <w:t> </w:t>
      </w:r>
      <w:r>
        <w:rPr>
          <w:rFonts w:ascii="仿宋" w:hAnsi="仿宋" w:eastAsia="仿宋"/>
          <w:sz w:val="32"/>
          <w:szCs w:val="32"/>
        </w:rPr>
        <w:t>人。已聘为中级职称的</w:t>
      </w:r>
      <w:r>
        <w:rPr>
          <w:rFonts w:hint="eastAsia" w:ascii="仿宋" w:hAnsi="仿宋" w:eastAsia="仿宋"/>
          <w:sz w:val="32"/>
          <w:szCs w:val="32"/>
        </w:rPr>
        <w:t>4</w:t>
      </w:r>
      <w:r>
        <w:rPr>
          <w:rFonts w:ascii="Calibri" w:hAnsi="Calibri" w:eastAsia="仿宋" w:cs="Calibri"/>
          <w:sz w:val="32"/>
          <w:szCs w:val="32"/>
        </w:rPr>
        <w:t> </w:t>
      </w:r>
      <w:r>
        <w:rPr>
          <w:rFonts w:ascii="仿宋" w:hAnsi="仿宋" w:eastAsia="仿宋"/>
          <w:sz w:val="32"/>
          <w:szCs w:val="32"/>
        </w:rPr>
        <w:t>人,占总人数</w:t>
      </w:r>
      <w:r>
        <w:rPr>
          <w:rFonts w:hint="eastAsia" w:ascii="仿宋" w:hAnsi="仿宋" w:eastAsia="仿宋"/>
          <w:sz w:val="32"/>
          <w:szCs w:val="32"/>
          <w:lang w:val="en-US" w:eastAsia="zh-CN"/>
        </w:rPr>
        <w:t>36</w:t>
      </w:r>
      <w:r>
        <w:rPr>
          <w:rFonts w:ascii="仿宋" w:hAnsi="仿宋" w:eastAsia="仿宋"/>
          <w:sz w:val="32"/>
          <w:szCs w:val="32"/>
        </w:rPr>
        <w:t>%。除在职在编人员外,另聘有</w:t>
      </w:r>
      <w:r>
        <w:rPr>
          <w:rFonts w:hint="eastAsia" w:ascii="仿宋" w:hAnsi="仿宋" w:eastAsia="仿宋"/>
          <w:sz w:val="32"/>
          <w:szCs w:val="32"/>
        </w:rPr>
        <w:t>公卫工作</w:t>
      </w:r>
      <w:r>
        <w:rPr>
          <w:rFonts w:ascii="仿宋" w:hAnsi="仿宋" w:eastAsia="仿宋"/>
          <w:sz w:val="32"/>
          <w:szCs w:val="32"/>
        </w:rPr>
        <w:t>人员</w:t>
      </w:r>
      <w:r>
        <w:rPr>
          <w:rFonts w:hint="eastAsia" w:ascii="仿宋" w:hAnsi="仿宋" w:eastAsia="仿宋"/>
          <w:sz w:val="32"/>
          <w:szCs w:val="32"/>
        </w:rPr>
        <w:t>1</w:t>
      </w:r>
      <w:r>
        <w:rPr>
          <w:rFonts w:ascii="仿宋" w:hAnsi="仿宋" w:eastAsia="仿宋"/>
          <w:sz w:val="32"/>
          <w:szCs w:val="32"/>
        </w:rPr>
        <w:t>8人。</w:t>
      </w: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环江毛南族自治县思恩镇防所</w:t>
      </w:r>
      <w:r>
        <w:rPr>
          <w:rFonts w:hint="eastAsia" w:ascii="黑体" w:hAnsi="黑体" w:eastAsia="黑体" w:cs="黑体"/>
          <w:sz w:val="32"/>
          <w:szCs w:val="32"/>
          <w:highlight w:val="none"/>
        </w:rPr>
        <w:t xml:space="preserve"> 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686.04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276.07</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880.08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14.07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962.11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914.11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962.11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962.11</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962.11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686.04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276.07</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乡镇卫生院</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354.79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78.72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276.07</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89.81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89.81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402.86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402.86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18.15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18.15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2100601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中医（民族医）药专项</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14.07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14.07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914.11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376.70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537.41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乡镇卫生院</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306.79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301.35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2100399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89.81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41.33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48.48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基本公共卫生服务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402.86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402.86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2100409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7.48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2100410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18.15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18.15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2100601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中医（民族医）药专项</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2109999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14.07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14.07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686.04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11.44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652.01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652.01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8.51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14.07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14.07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686.04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686.04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686.04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686.04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686.04</w:t>
            </w: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686.04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470"/>
        <w:gridCol w:w="1605"/>
        <w:gridCol w:w="425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7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25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683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425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52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87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21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42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21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21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52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522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686.04</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148.63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537.41</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32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11.44</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2100302</w:t>
            </w:r>
          </w:p>
        </w:tc>
        <w:tc>
          <w:tcPr>
            <w:tcW w:w="32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乡镇卫生院</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78.72</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73.28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5.44</w:t>
            </w:r>
          </w:p>
        </w:tc>
      </w:tr>
      <w:tr>
        <w:tblPrEx>
          <w:tblCellMar>
            <w:top w:w="0" w:type="dxa"/>
            <w:left w:w="108" w:type="dxa"/>
            <w:bottom w:w="0" w:type="dxa"/>
            <w:right w:w="108" w:type="dxa"/>
          </w:tblCellMar>
        </w:tblPrEx>
        <w:trPr>
          <w:trHeight w:val="524"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2100399</w:t>
            </w:r>
          </w:p>
        </w:tc>
        <w:tc>
          <w:tcPr>
            <w:tcW w:w="32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89.81</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41.33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48.48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2100408</w:t>
            </w:r>
          </w:p>
        </w:tc>
        <w:tc>
          <w:tcPr>
            <w:tcW w:w="32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基本公共卫生服务</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402.86</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402.86</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2100409</w:t>
            </w:r>
          </w:p>
        </w:tc>
        <w:tc>
          <w:tcPr>
            <w:tcW w:w="32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7.48</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7.48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2100410</w:t>
            </w:r>
          </w:p>
        </w:tc>
        <w:tc>
          <w:tcPr>
            <w:tcW w:w="32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突发公共卫生事件应急处理</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18.15</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18.15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2100601</w:t>
            </w:r>
          </w:p>
        </w:tc>
        <w:tc>
          <w:tcPr>
            <w:tcW w:w="32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中医（民族医）药专项</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20.00</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2109999</w:t>
            </w:r>
          </w:p>
        </w:tc>
        <w:tc>
          <w:tcPr>
            <w:tcW w:w="32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35.00</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32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8.51</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8.51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321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6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14.07</w:t>
            </w:r>
          </w:p>
        </w:tc>
        <w:tc>
          <w:tcPr>
            <w:tcW w:w="42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14.07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102.06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35.89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7.91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30.86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11.44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4.70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0.76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8.51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44.64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0.12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44.64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0.73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146.71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r>
              <w:rPr>
                <w:rFonts w:hint="eastAsia" w:ascii="Times New Roman" w:hAnsi="Times New Roman" w:eastAsia="宋体" w:cs="Times New Roman"/>
                <w:color w:val="auto"/>
                <w:kern w:val="2"/>
                <w:sz w:val="21"/>
                <w:szCs w:val="21"/>
                <w:lang w:val="en-US" w:eastAsia="zh-CN" w:bidi="ar"/>
              </w:rPr>
              <w:t xml:space="preserve"> </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auto"/>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Theme="minorEastAsia" w:hAnsiTheme="minorEastAsia" w:eastAsiaTheme="minorEastAsia" w:cstheme="minorEastAsia"/>
                <w:sz w:val="20"/>
                <w:szCs w:val="20"/>
                <w:u w:color="auto"/>
                <w:lang w:eastAsia="zh-CN"/>
              </w:rPr>
              <w:t>环江毛南族自治县思恩镇防所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0.85</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0.73</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0.73</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0.12</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0.85</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0.73</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0.73</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0.12</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38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环江毛南族自治县思恩镇防所</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rPr>
        <w:t>962.11</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204.50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26</w:t>
      </w:r>
      <w:r>
        <w:rPr>
          <w:rFonts w:ascii="仿宋" w:hAnsi="仿宋" w:eastAsia="仿宋" w:cs="仿宋"/>
          <w:sz w:val="32"/>
          <w:u w:color="auto"/>
        </w:rPr>
        <w:t>.</w:t>
      </w:r>
      <w:r>
        <w:rPr>
          <w:rFonts w:hint="eastAsia" w:ascii="仿宋" w:hAnsi="仿宋" w:eastAsia="仿宋" w:cs="仿宋"/>
          <w:sz w:val="32"/>
          <w:u w:color="auto"/>
          <w:lang w:val="en-US" w:eastAsia="zh-CN"/>
        </w:rPr>
        <w:t>99</w:t>
      </w:r>
      <w:r>
        <w:rPr>
          <w:rFonts w:ascii="仿宋" w:hAnsi="仿宋" w:eastAsia="仿宋" w:cs="仿宋"/>
          <w:sz w:val="32"/>
          <w:u w:color="auto"/>
        </w:rPr>
        <w:t>%</w:t>
      </w:r>
      <w:r>
        <w:rPr>
          <w:rFonts w:hint="eastAsia" w:ascii="仿宋" w:hAnsi="仿宋" w:eastAsia="仿宋" w:cs="仿宋"/>
          <w:sz w:val="32"/>
          <w:szCs w:val="32"/>
          <w:highlight w:val="none"/>
        </w:rPr>
        <w:t>。收入具体情况如下。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lang w:eastAsia="zh-CN"/>
        </w:rPr>
      </w:pPr>
      <w:r>
        <w:rPr>
          <w:rFonts w:hint="eastAsia" w:ascii="仿宋" w:hAnsi="仿宋" w:eastAsia="仿宋" w:cs="仿宋"/>
          <w:kern w:val="2"/>
          <w:sz w:val="32"/>
          <w:szCs w:val="32"/>
          <w:highlight w:val="none"/>
          <w:lang w:val="en-US" w:eastAsia="zh-CN" w:bidi="ar"/>
        </w:rPr>
        <w:t>1.</w:t>
      </w:r>
      <w:r>
        <w:rPr>
          <w:rFonts w:hint="eastAsia" w:ascii="仿宋_GB2312" w:hAnsi="仿宋_GB2312" w:eastAsia="仿宋_GB2312" w:cs="仿宋_GB2312"/>
          <w:kern w:val="0"/>
          <w:sz w:val="32"/>
          <w:szCs w:val="32"/>
        </w:rPr>
        <w:t>财政拨款收入686.04万元，为</w:t>
      </w:r>
      <w:r>
        <w:rPr>
          <w:rFonts w:hint="eastAsia" w:ascii="仿宋_GB2312" w:hAnsi="仿宋_GB2312" w:eastAsia="仿宋_GB2312" w:cs="仿宋_GB2312"/>
          <w:kern w:val="0"/>
          <w:sz w:val="32"/>
          <w:szCs w:val="32"/>
          <w:lang w:eastAsia="zh-CN"/>
        </w:rPr>
        <w:t>环江县</w:t>
      </w:r>
      <w:r>
        <w:rPr>
          <w:rFonts w:hint="eastAsia" w:ascii="仿宋_GB2312" w:hAnsi="仿宋_GB2312" w:eastAsia="仿宋_GB2312" w:cs="仿宋_GB2312"/>
          <w:kern w:val="0"/>
          <w:sz w:val="32"/>
          <w:szCs w:val="32"/>
        </w:rPr>
        <w:t>本级财政当年拨付的资金。</w:t>
      </w:r>
      <w:r>
        <w:rPr>
          <w:rFonts w:hint="eastAsia" w:ascii="仿宋" w:hAnsi="仿宋" w:eastAsia="仿宋" w:cs="仿宋"/>
          <w:kern w:val="2"/>
          <w:sz w:val="32"/>
          <w:szCs w:val="32"/>
          <w:highlight w:val="none"/>
          <w:lang w:val="en-US" w:eastAsia="zh-CN" w:bidi="ar"/>
        </w:rPr>
        <w:t>较2021年度决算数</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66.16</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eastAsia="zh-CN"/>
        </w:rPr>
        <w:t>增长</w:t>
      </w:r>
      <w:r>
        <w:rPr>
          <w:rFonts w:ascii="仿宋" w:hAnsi="仿宋" w:eastAsia="仿宋" w:cs="仿宋"/>
          <w:sz w:val="32"/>
          <w:u w:color="auto"/>
        </w:rPr>
        <w:t>1</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u w:color="auto"/>
          <w:lang w:val="en-US" w:eastAsia="zh-CN"/>
        </w:rPr>
        <w:t>67</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eastAsia="仿宋_GB2312" w:cs="仿宋_GB2312"/>
          <w:kern w:val="0"/>
          <w:sz w:val="32"/>
          <w:szCs w:val="32"/>
        </w:rPr>
        <w:t>公共卫生服务项目支出增加</w:t>
      </w:r>
      <w:r>
        <w:rPr>
          <w:rFonts w:hint="eastAsia" w:ascii="仿宋_GB2312" w:eastAsia="仿宋_GB2312" w:cs="仿宋_GB2312"/>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本单位没有政府性基金预算财政拨款收入。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3.国有资本经营预算财政拨款收入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万元。为</w:t>
      </w:r>
      <w:r>
        <w:rPr>
          <w:rFonts w:hint="eastAsia" w:ascii="仿宋" w:hAnsi="仿宋" w:eastAsia="仿宋" w:cs="仿宋"/>
          <w:color w:val="auto"/>
          <w:sz w:val="32"/>
          <w:szCs w:val="32"/>
          <w:highlight w:val="none"/>
          <w:lang w:eastAsia="zh-CN"/>
        </w:rPr>
        <w:t>环江县</w:t>
      </w:r>
      <w:r>
        <w:rPr>
          <w:rFonts w:hint="eastAsia" w:ascii="仿宋" w:hAnsi="仿宋" w:eastAsia="仿宋" w:cs="仿宋"/>
          <w:color w:val="auto"/>
          <w:kern w:val="2"/>
          <w:sz w:val="32"/>
          <w:szCs w:val="32"/>
          <w:highlight w:val="none"/>
          <w:lang w:val="en-US" w:eastAsia="zh-CN" w:bidi="ar"/>
        </w:rPr>
        <w:t>本级财政当年拨付的资金。较2021年度决算数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hint="eastAsia" w:ascii="仿宋" w:hAnsi="仿宋" w:eastAsia="仿宋" w:cs="仿宋"/>
          <w:sz w:val="32"/>
          <w:u w:color="auto"/>
        </w:rPr>
        <w:t>276.07</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138.34</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100.44</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本单位事业收入增加。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8.其他收入</w:t>
      </w:r>
      <w:r>
        <w:rPr>
          <w:rFonts w:hint="eastAsia" w:ascii="仿宋" w:hAnsi="仿宋" w:eastAsia="仿宋" w:cs="仿宋"/>
          <w:color w:val="auto"/>
          <w:sz w:val="32"/>
          <w:u w:color="auto"/>
          <w:lang w:val="en-US" w:eastAsia="zh-CN"/>
        </w:rPr>
        <w:t>0.00</w:t>
      </w:r>
      <w:r>
        <w:rPr>
          <w:rFonts w:hint="eastAsia" w:ascii="仿宋" w:hAnsi="仿宋" w:eastAsia="仿宋" w:cs="仿宋"/>
          <w:color w:val="auto"/>
          <w:kern w:val="2"/>
          <w:sz w:val="32"/>
          <w:szCs w:val="32"/>
          <w:highlight w:val="none"/>
          <w:lang w:val="en-US" w:eastAsia="zh-CN" w:bidi="ar"/>
        </w:rPr>
        <w:t>万元,为预算单位在“财政拨款收入”“事业收入”“经营收入”之外取得的收入。较2021年度决算数</w:t>
      </w:r>
      <w:r>
        <w:rPr>
          <w:rFonts w:hint="eastAsia" w:ascii="仿宋" w:hAnsi="仿宋" w:eastAsia="仿宋" w:cs="仿宋"/>
          <w:color w:val="auto"/>
          <w:sz w:val="32"/>
          <w:u w:color="auto"/>
          <w:lang w:eastAsia="zh-CN"/>
        </w:rPr>
        <w:t>增加</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.0</w:t>
      </w:r>
      <w:r>
        <w:rPr>
          <w:rFonts w:hint="eastAsia" w:ascii="仿宋" w:hAnsi="仿宋" w:eastAsia="仿宋" w:cs="仿宋"/>
          <w:color w:val="auto"/>
          <w:sz w:val="32"/>
          <w:u w:color="auto"/>
          <w:lang w:val="en-US" w:eastAsia="zh-CN"/>
        </w:rPr>
        <w:t>0</w:t>
      </w:r>
      <w:r>
        <w:rPr>
          <w:rFonts w:hint="eastAsia" w:ascii="仿宋" w:hAnsi="仿宋" w:eastAsia="仿宋" w:cs="仿宋"/>
          <w:color w:val="auto"/>
          <w:kern w:val="2"/>
          <w:sz w:val="32"/>
          <w:szCs w:val="32"/>
          <w:highlight w:val="none"/>
          <w:lang w:val="en-US" w:eastAsia="zh-CN" w:bidi="ar"/>
        </w:rPr>
        <w:t>万元，</w:t>
      </w:r>
      <w:r>
        <w:rPr>
          <w:rFonts w:hint="eastAsia" w:ascii="仿宋" w:hAnsi="仿宋" w:eastAsia="仿宋" w:cs="仿宋"/>
          <w:color w:val="auto"/>
          <w:sz w:val="32"/>
          <w:u w:color="auto"/>
          <w:lang w:eastAsia="zh-CN"/>
        </w:rPr>
        <w:t>增加</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9.使用非财政拨款结余</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861560" cy="3410585"/>
            <wp:effectExtent l="4445" t="4445" r="10795" b="1397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rPr>
        <w:t>914.11</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191</w:t>
      </w:r>
      <w:r>
        <w:rPr>
          <w:rFonts w:ascii="仿宋" w:hAnsi="仿宋" w:eastAsia="仿宋" w:cs="仿宋"/>
          <w:sz w:val="32"/>
          <w:u w:color="auto"/>
        </w:rPr>
        <w:t>.</w:t>
      </w:r>
      <w:r>
        <w:rPr>
          <w:rFonts w:hint="eastAsia" w:ascii="仿宋" w:hAnsi="仿宋" w:eastAsia="仿宋" w:cs="仿宋"/>
          <w:sz w:val="32"/>
          <w:u w:color="auto"/>
          <w:lang w:val="en-US" w:eastAsia="zh-CN"/>
        </w:rPr>
        <w:t>6</w:t>
      </w:r>
      <w:r>
        <w:rPr>
          <w:rFonts w:ascii="仿宋" w:hAnsi="仿宋" w:eastAsia="仿宋" w:cs="仿宋"/>
          <w:sz w:val="32"/>
          <w:u w:color="auto"/>
        </w:rPr>
        <w:t>0</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26</w:t>
      </w:r>
      <w:r>
        <w:rPr>
          <w:rFonts w:ascii="仿宋" w:hAnsi="仿宋" w:eastAsia="仿宋" w:cs="仿宋"/>
          <w:sz w:val="32"/>
          <w:u w:color="auto"/>
        </w:rPr>
        <w:t>.</w:t>
      </w:r>
      <w:r>
        <w:rPr>
          <w:rFonts w:hint="eastAsia" w:ascii="仿宋" w:hAnsi="仿宋" w:eastAsia="仿宋" w:cs="仿宋"/>
          <w:sz w:val="32"/>
          <w:u w:color="auto"/>
          <w:lang w:val="en-US" w:eastAsia="zh-CN"/>
        </w:rPr>
        <w:t>5</w:t>
      </w:r>
      <w:r>
        <w:rPr>
          <w:rFonts w:ascii="仿宋" w:hAnsi="仿宋" w:eastAsia="仿宋" w:cs="仿宋"/>
          <w:sz w:val="32"/>
          <w:u w:color="auto"/>
        </w:rPr>
        <w:t>2%</w:t>
      </w:r>
      <w:r>
        <w:rPr>
          <w:rFonts w:hint="eastAsia" w:ascii="仿宋" w:hAnsi="仿宋" w:eastAsia="仿宋" w:cs="仿宋"/>
          <w:sz w:val="32"/>
          <w:szCs w:val="32"/>
          <w:highlight w:val="none"/>
        </w:rPr>
        <w:t>。支出具体情况如下：</w:t>
      </w:r>
    </w:p>
    <w:p>
      <w:pPr>
        <w:autoSpaceDE w:val="0"/>
        <w:autoSpaceDN w:val="0"/>
        <w:adjustRightInd w:val="0"/>
        <w:spacing w:line="600" w:lineRule="exact"/>
        <w:ind w:firstLine="627" w:firstLineChars="196"/>
        <w:jc w:val="left"/>
        <w:rPr>
          <w:rFonts w:ascii="仿宋_GB2312" w:hAnsi="仿宋_GB2312" w:eastAsia="仿宋_GB2312" w:cs="仿宋_GB2312"/>
          <w:sz w:val="32"/>
          <w:szCs w:val="32"/>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44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用于职工养老保险缴费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减少2.</w:t>
      </w:r>
      <w:r>
        <w:rPr>
          <w:rFonts w:hint="eastAsia" w:ascii="仿宋" w:hAnsi="仿宋" w:eastAsia="仿宋" w:cs="仿宋"/>
          <w:sz w:val="32"/>
          <w:szCs w:val="32"/>
          <w:highlight w:val="none"/>
          <w:lang w:val="en-US" w:eastAsia="zh-CN" w:bidi="ar"/>
        </w:rPr>
        <w:t>37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16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主要原因是：2021</w:t>
      </w:r>
      <w:r>
        <w:rPr>
          <w:rFonts w:hint="eastAsia" w:ascii="仿宋_GB2312" w:eastAsia="仿宋_GB2312" w:cs="仿宋_GB2312"/>
          <w:kern w:val="0"/>
          <w:sz w:val="32"/>
          <w:szCs w:val="32"/>
        </w:rPr>
        <w:t>年增加事业单位离退休费用归到社保保障和就业支出，属于正常变动。</w:t>
      </w:r>
    </w:p>
    <w:p>
      <w:pPr>
        <w:keepNext w:val="0"/>
        <w:keepLines w:val="0"/>
        <w:widowControl w:val="0"/>
        <w:suppressLineNumbers w:val="0"/>
        <w:spacing w:before="0" w:beforeAutospacing="0" w:after="0" w:afterAutospacing="0"/>
        <w:ind w:left="0" w:right="0" w:firstLine="640" w:firstLineChars="200"/>
        <w:jc w:val="left"/>
        <w:rPr>
          <w:rFonts w:hint="eastAsia" w:ascii="仿宋_GB2312" w:eastAsia="仿宋_GB2312" w:cs="仿宋_GB2312"/>
          <w:kern w:val="0"/>
          <w:sz w:val="32"/>
          <w:szCs w:val="32"/>
          <w:lang w:eastAsia="zh-CN"/>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880.08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一是按国家规定发放的在职人员工资津补贴及离退休人员工资方面的支出；二是公共卫生服务项目类支出。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203</w:t>
      </w:r>
      <w:r>
        <w:rPr>
          <w:rFonts w:hint="eastAsia" w:ascii="仿宋" w:hAnsi="仿宋" w:eastAsia="仿宋" w:cs="仿宋"/>
          <w:sz w:val="32"/>
          <w:szCs w:val="32"/>
          <w:highlight w:val="none"/>
          <w:lang w:bidi="ar"/>
        </w:rPr>
        <w:t>.6</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上升</w:t>
      </w:r>
      <w:r>
        <w:rPr>
          <w:rFonts w:hint="eastAsia" w:ascii="仿宋" w:hAnsi="仿宋" w:eastAsia="仿宋" w:cs="仿宋"/>
          <w:sz w:val="32"/>
          <w:szCs w:val="32"/>
          <w:highlight w:val="none"/>
          <w:lang w:val="en-US" w:eastAsia="zh-CN" w:bidi="ar"/>
        </w:rPr>
        <w:t>30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cs="仿宋_GB2312"/>
          <w:kern w:val="0"/>
          <w:sz w:val="32"/>
          <w:szCs w:val="32"/>
        </w:rPr>
        <w:t>主要是公共卫生服务项目支出增加</w:t>
      </w:r>
      <w:r>
        <w:rPr>
          <w:rFonts w:hint="eastAsia" w:ascii="仿宋_GB2312" w:eastAsia="仿宋_GB2312" w:cs="仿宋_GB2312"/>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val="en-US" w:eastAsia="zh-CN"/>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8.5</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rPr>
        <w:t>按照国家政策规定代职工上缴住房公积金等支出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84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8</w:t>
      </w:r>
      <w:r>
        <w:rPr>
          <w:rFonts w:hint="eastAsia" w:ascii="仿宋" w:hAnsi="仿宋" w:eastAsia="仿宋" w:cs="仿宋"/>
          <w:sz w:val="32"/>
          <w:szCs w:val="32"/>
          <w:highlight w:val="none"/>
          <w:lang w:bidi="ar"/>
        </w:rPr>
        <w:t>.9</w:t>
      </w:r>
      <w:r>
        <w:rPr>
          <w:rFonts w:hint="eastAsia" w:ascii="仿宋" w:hAnsi="仿宋" w:eastAsia="仿宋" w:cs="仿宋"/>
          <w:sz w:val="32"/>
          <w:szCs w:val="32"/>
          <w:highlight w:val="none"/>
          <w:lang w:val="en-US" w:eastAsia="zh-CN" w:bidi="ar"/>
        </w:rPr>
        <w:t>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cs="仿宋_GB2312"/>
          <w:kern w:val="0"/>
          <w:sz w:val="32"/>
          <w:szCs w:val="32"/>
        </w:rPr>
        <w:t>属于正常变动</w:t>
      </w:r>
      <w:r>
        <w:rPr>
          <w:rFonts w:hint="eastAsia" w:ascii="仿宋_GB2312" w:eastAsia="仿宋_GB2312" w:cs="仿宋_GB2312"/>
          <w:kern w:val="0"/>
          <w:sz w:val="32"/>
          <w:szCs w:val="32"/>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sz w:val="32"/>
          <w:szCs w:val="32"/>
          <w:highlight w:val="none"/>
          <w:lang w:val="en-US" w:eastAsia="zh-CN"/>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eastAsia="zh-CN" w:bidi="ar"/>
        </w:rPr>
        <w:t>其他</w:t>
      </w:r>
      <w:r>
        <w:rPr>
          <w:rFonts w:hint="eastAsia" w:ascii="仿宋" w:hAnsi="仿宋" w:eastAsia="仿宋" w:cs="仿宋"/>
          <w:sz w:val="32"/>
          <w:szCs w:val="32"/>
          <w:highlight w:val="none"/>
          <w:lang w:bidi="ar"/>
        </w:rPr>
        <w:t>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07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：在职在编职工的</w:t>
      </w:r>
      <w:r>
        <w:rPr>
          <w:rFonts w:hint="eastAsia" w:ascii="仿宋" w:hAnsi="仿宋" w:eastAsia="仿宋" w:cs="仿宋"/>
          <w:color w:val="auto"/>
          <w:sz w:val="32"/>
          <w:szCs w:val="32"/>
          <w:highlight w:val="none"/>
          <w:lang w:val="en-US" w:eastAsia="zh-CN"/>
        </w:rPr>
        <w:t>政府绩效考评奖及伙食补助支出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8</w:t>
      </w:r>
      <w:r>
        <w:rPr>
          <w:rFonts w:hint="eastAsia" w:ascii="仿宋" w:hAnsi="仿宋" w:eastAsia="仿宋" w:cs="仿宋"/>
          <w:sz w:val="32"/>
          <w:szCs w:val="32"/>
          <w:highlight w:val="none"/>
          <w:lang w:bidi="ar"/>
        </w:rPr>
        <w:t>.8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38</w:t>
      </w:r>
      <w:r>
        <w:rPr>
          <w:rFonts w:hint="eastAsia" w:ascii="仿宋" w:hAnsi="仿宋" w:eastAsia="仿宋" w:cs="仿宋"/>
          <w:sz w:val="32"/>
          <w:szCs w:val="32"/>
          <w:highlight w:val="none"/>
          <w:lang w:bidi="ar"/>
        </w:rPr>
        <w:t>.4</w:t>
      </w:r>
      <w:r>
        <w:rPr>
          <w:rFonts w:hint="eastAsia" w:ascii="仿宋" w:hAnsi="仿宋" w:eastAsia="仿宋" w:cs="仿宋"/>
          <w:sz w:val="32"/>
          <w:szCs w:val="32"/>
          <w:highlight w:val="none"/>
          <w:lang w:val="en-US" w:eastAsia="zh-CN" w:bidi="ar"/>
        </w:rPr>
        <w:t>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eastAsia="仿宋_GB2312" w:cs="仿宋_GB2312"/>
          <w:kern w:val="0"/>
          <w:sz w:val="32"/>
          <w:szCs w:val="32"/>
        </w:rPr>
        <w:t>是年度绩效奖金发放时间存在跨年度现象</w:t>
      </w:r>
      <w:r>
        <w:rPr>
          <w:rFonts w:hint="eastAsia" w:ascii="仿宋_GB2312" w:eastAsia="仿宋_GB2312" w:cs="仿宋_GB2312"/>
          <w:kern w:val="0"/>
          <w:sz w:val="32"/>
          <w:szCs w:val="32"/>
          <w:lang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color w:val="auto"/>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48.00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35</w:t>
      </w:r>
      <w:r>
        <w:rPr>
          <w:rFonts w:hint="eastAsia" w:ascii="仿宋_GB2312" w:hAnsi="微软雅黑" w:eastAsia="仿宋_GB2312" w:cs="仿宋_GB2312"/>
          <w:color w:val="000000"/>
          <w:sz w:val="31"/>
          <w:szCs w:val="31"/>
          <w:highlight w:val="none"/>
          <w:shd w:val="clear" w:color="auto" w:fill="FFFFFF"/>
        </w:rPr>
        <w:t>.</w:t>
      </w:r>
      <w:r>
        <w:rPr>
          <w:rFonts w:hint="eastAsia" w:ascii="仿宋_GB2312" w:hAnsi="微软雅黑" w:eastAsia="仿宋_GB2312" w:cs="仿宋_GB2312"/>
          <w:color w:val="000000"/>
          <w:sz w:val="31"/>
          <w:szCs w:val="31"/>
          <w:highlight w:val="none"/>
          <w:shd w:val="clear" w:color="auto" w:fill="FFFFFF"/>
          <w:lang w:val="en-US" w:eastAsia="zh-CN"/>
        </w:rPr>
        <w:t>1</w:t>
      </w:r>
      <w:r>
        <w:rPr>
          <w:rFonts w:hint="eastAsia" w:ascii="仿宋_GB2312" w:hAnsi="微软雅黑" w:eastAsia="仿宋_GB2312" w:cs="仿宋_GB2312"/>
          <w:color w:val="000000"/>
          <w:sz w:val="31"/>
          <w:szCs w:val="31"/>
          <w:highlight w:val="none"/>
          <w:shd w:val="clear" w:color="auto" w:fill="FFFFFF"/>
        </w:rPr>
        <w:t>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w:t>
      </w:r>
      <w:r>
        <w:rPr>
          <w:rFonts w:hint="eastAsia" w:ascii="仿宋_GB2312" w:hAnsi="微软雅黑" w:eastAsia="仿宋_GB2312" w:cs="仿宋_GB2312"/>
          <w:color w:val="000000"/>
          <w:sz w:val="31"/>
          <w:szCs w:val="31"/>
          <w:highlight w:val="none"/>
          <w:shd w:val="clear" w:color="auto" w:fill="FFFFFF"/>
          <w:lang w:val="en-US" w:eastAsia="zh-CN"/>
        </w:rPr>
        <w:t>12</w:t>
      </w:r>
      <w:r>
        <w:rPr>
          <w:rFonts w:hint="eastAsia" w:ascii="仿宋_GB2312" w:hAnsi="微软雅黑" w:eastAsia="仿宋_GB2312" w:cs="仿宋_GB2312"/>
          <w:color w:val="000000"/>
          <w:sz w:val="31"/>
          <w:szCs w:val="31"/>
          <w:highlight w:val="none"/>
          <w:shd w:val="clear" w:color="auto" w:fill="FFFFFF"/>
        </w:rPr>
        <w:t>.</w:t>
      </w:r>
      <w:r>
        <w:rPr>
          <w:rFonts w:hint="eastAsia" w:ascii="仿宋_GB2312" w:hAnsi="微软雅黑" w:eastAsia="仿宋_GB2312" w:cs="仿宋_GB2312"/>
          <w:color w:val="000000"/>
          <w:sz w:val="31"/>
          <w:szCs w:val="31"/>
          <w:highlight w:val="none"/>
          <w:shd w:val="clear" w:color="auto" w:fill="FFFFFF"/>
          <w:lang w:val="en-US" w:eastAsia="zh-CN"/>
        </w:rPr>
        <w:t>9</w:t>
      </w:r>
      <w:r>
        <w:rPr>
          <w:rFonts w:hint="eastAsia" w:ascii="仿宋_GB2312" w:hAnsi="微软雅黑" w:eastAsia="仿宋_GB2312" w:cs="仿宋_GB2312"/>
          <w:color w:val="000000"/>
          <w:sz w:val="31"/>
          <w:szCs w:val="31"/>
          <w:highlight w:val="none"/>
          <w:shd w:val="clear" w:color="auto" w:fill="FFFFFF"/>
        </w:rPr>
        <w:t>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w:t>
      </w:r>
      <w:r>
        <w:rPr>
          <w:rFonts w:hint="eastAsia" w:ascii="仿宋_GB2312" w:hAnsi="微软雅黑" w:eastAsia="仿宋_GB2312" w:cs="仿宋_GB2312"/>
          <w:color w:val="000000"/>
          <w:sz w:val="31"/>
          <w:szCs w:val="31"/>
          <w:highlight w:val="none"/>
          <w:shd w:val="clear" w:color="auto" w:fill="FFFFFF"/>
          <w:lang w:val="en-US" w:eastAsia="zh-CN"/>
        </w:rPr>
        <w:t>36.75</w:t>
      </w:r>
      <w:r>
        <w:rPr>
          <w:rFonts w:hint="eastAsia" w:ascii="仿宋_GB2312" w:hAnsi="微软雅黑" w:eastAsia="仿宋_GB2312" w:cs="仿宋_GB2312"/>
          <w:color w:val="000000"/>
          <w:sz w:val="31"/>
          <w:szCs w:val="31"/>
          <w:highlight w:val="none"/>
          <w:shd w:val="clear" w:color="auto" w:fill="FFFFFF"/>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事业收入增加。</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年末结转和结余</w:t>
      </w:r>
      <w:r>
        <w:rPr>
          <w:rFonts w:hint="eastAsia" w:ascii="仿宋" w:hAnsi="仿宋" w:eastAsia="仿宋" w:cs="仿宋"/>
          <w:color w:val="auto"/>
          <w:sz w:val="32"/>
          <w:u w:color="auto"/>
          <w:lang w:val="en-US" w:eastAsia="zh-CN"/>
        </w:rPr>
        <w:t>0</w:t>
      </w:r>
      <w:r>
        <w:rPr>
          <w:rFonts w:hint="eastAsia" w:ascii="仿宋" w:hAnsi="仿宋" w:eastAsia="仿宋" w:cs="仿宋"/>
          <w:color w:val="auto"/>
          <w:sz w:val="32"/>
          <w:szCs w:val="32"/>
          <w:highlight w:val="none"/>
        </w:rPr>
        <w:t>万元，为本年度或以前年度预算安排、因客观条件发生变化无法按原计划实施，需要延迟到以后年度按有关规定继续使用的资金。较2021年度决算数</w:t>
      </w:r>
      <w:r>
        <w:rPr>
          <w:rFonts w:ascii="仿宋" w:hAnsi="仿宋" w:eastAsia="仿宋" w:cs="仿宋"/>
          <w:color w:val="auto"/>
          <w:sz w:val="32"/>
          <w:u w:color="auto"/>
        </w:rPr>
        <w:t>增加</w:t>
      </w:r>
      <w:r>
        <w:rPr>
          <w:rFonts w:hint="eastAsia" w:ascii="仿宋" w:hAnsi="仿宋" w:eastAsia="仿宋" w:cs="仿宋"/>
          <w:color w:val="auto"/>
          <w:sz w:val="32"/>
          <w:u w:color="auto"/>
          <w:lang w:val="en-US" w:eastAsia="zh-CN"/>
        </w:rPr>
        <w:t>0</w:t>
      </w:r>
      <w:r>
        <w:rPr>
          <w:rFonts w:hint="eastAsia" w:ascii="仿宋" w:hAnsi="仿宋" w:eastAsia="仿宋" w:cs="仿宋"/>
          <w:color w:val="auto"/>
          <w:sz w:val="32"/>
          <w:szCs w:val="32"/>
          <w:highlight w:val="none"/>
        </w:rPr>
        <w:t>万元，</w:t>
      </w:r>
      <w:r>
        <w:rPr>
          <w:rFonts w:ascii="仿宋" w:hAnsi="仿宋" w:eastAsia="仿宋" w:cs="仿宋"/>
          <w:color w:val="auto"/>
          <w:sz w:val="32"/>
          <w:u w:color="auto"/>
        </w:rPr>
        <w:t>增长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主要原因是：年末无结转和结余。</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356735" cy="2746375"/>
            <wp:effectExtent l="4445" t="4445" r="20320" b="11430"/>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rPr>
        <w:t>686.04</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66</w:t>
      </w:r>
      <w:r>
        <w:rPr>
          <w:rFonts w:ascii="仿宋" w:hAnsi="仿宋" w:eastAsia="仿宋" w:cs="仿宋"/>
          <w:sz w:val="32"/>
          <w:u w:color="auto"/>
        </w:rPr>
        <w:t>.1</w:t>
      </w:r>
      <w:r>
        <w:rPr>
          <w:rFonts w:hint="eastAsia" w:ascii="仿宋" w:hAnsi="仿宋" w:eastAsia="仿宋" w:cs="仿宋"/>
          <w:sz w:val="32"/>
          <w:u w:color="auto"/>
          <w:lang w:val="en-US" w:eastAsia="zh-CN"/>
        </w:rPr>
        <w:t>6</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上升</w:t>
      </w:r>
      <w:r>
        <w:rPr>
          <w:rFonts w:ascii="仿宋" w:hAnsi="仿宋" w:eastAsia="仿宋" w:cs="仿宋"/>
          <w:sz w:val="32"/>
          <w:u w:color="auto"/>
        </w:rPr>
        <w:t>1</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u w:color="auto"/>
          <w:lang w:val="en-US" w:eastAsia="zh-CN"/>
        </w:rPr>
        <w:t>67</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rPr>
        <w:t>148.63</w:t>
      </w:r>
      <w:r>
        <w:rPr>
          <w:rFonts w:hint="eastAsia" w:ascii="仿宋" w:hAnsi="仿宋" w:eastAsia="仿宋" w:cs="仿宋"/>
          <w:sz w:val="32"/>
          <w:szCs w:val="32"/>
          <w:highlight w:val="none"/>
        </w:rPr>
        <w:t>万元，项目支出</w:t>
      </w:r>
      <w:r>
        <w:rPr>
          <w:rFonts w:hint="eastAsia" w:ascii="仿宋" w:hAnsi="仿宋" w:eastAsia="仿宋" w:cs="仿宋"/>
          <w:sz w:val="32"/>
          <w:u w:color="auto"/>
        </w:rPr>
        <w:t>537.41</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u w:color="auto"/>
          <w:lang w:val="en-US" w:eastAsia="zh-CN"/>
        </w:rPr>
        <w:t>140</w:t>
      </w:r>
      <w:r>
        <w:rPr>
          <w:rFonts w:ascii="仿宋" w:hAnsi="仿宋" w:eastAsia="仿宋" w:cs="仿宋"/>
          <w:sz w:val="32"/>
          <w:u w:color="auto"/>
        </w:rPr>
        <w:t>.9</w:t>
      </w:r>
      <w:r>
        <w:rPr>
          <w:rFonts w:hint="eastAsia" w:ascii="仿宋" w:hAnsi="仿宋" w:eastAsia="仿宋" w:cs="仿宋"/>
          <w:sz w:val="32"/>
          <w:u w:color="auto"/>
          <w:lang w:val="en-US" w:eastAsia="zh-CN"/>
        </w:rPr>
        <w:t>1</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686.04</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486</w:t>
      </w:r>
      <w:r>
        <w:rPr>
          <w:rFonts w:ascii="仿宋" w:hAnsi="仿宋" w:eastAsia="仿宋" w:cs="仿宋"/>
          <w:sz w:val="32"/>
          <w:u w:color="auto"/>
        </w:rPr>
        <w:t>.</w:t>
      </w:r>
      <w:r>
        <w:rPr>
          <w:rFonts w:hint="eastAsia" w:ascii="仿宋" w:hAnsi="仿宋" w:eastAsia="仿宋" w:cs="仿宋"/>
          <w:sz w:val="32"/>
          <w:u w:color="auto"/>
          <w:lang w:val="en-US" w:eastAsia="zh-CN"/>
        </w:rPr>
        <w:t>8</w:t>
      </w:r>
      <w:r>
        <w:rPr>
          <w:rFonts w:ascii="仿宋" w:hAnsi="仿宋" w:eastAsia="仿宋" w:cs="仿宋"/>
          <w:sz w:val="32"/>
          <w:u w:color="auto"/>
        </w:rPr>
        <w:t>6%</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12</w:t>
      </w:r>
      <w:r>
        <w:rPr>
          <w:rFonts w:ascii="仿宋" w:hAnsi="仿宋" w:eastAsia="仿宋"/>
          <w:sz w:val="32"/>
          <w:szCs w:val="32"/>
          <w:highlight w:val="none"/>
        </w:rPr>
        <w:t>.</w:t>
      </w:r>
      <w:r>
        <w:rPr>
          <w:rFonts w:hint="eastAsia" w:ascii="仿宋" w:hAnsi="仿宋" w:eastAsia="仿宋"/>
          <w:sz w:val="32"/>
          <w:szCs w:val="32"/>
          <w:highlight w:val="none"/>
          <w:lang w:val="en-US" w:eastAsia="zh-CN"/>
        </w:rPr>
        <w:t>35</w:t>
      </w:r>
      <w:r>
        <w:rPr>
          <w:rFonts w:hint="eastAsia" w:ascii="仿宋" w:hAnsi="仿宋" w:eastAsia="仿宋"/>
          <w:sz w:val="32"/>
          <w:szCs w:val="32"/>
          <w:highlight w:val="none"/>
        </w:rPr>
        <w:t>万元，支出决算为</w:t>
      </w:r>
      <w:r>
        <w:rPr>
          <w:rFonts w:ascii="仿宋" w:hAnsi="仿宋" w:eastAsia="仿宋"/>
          <w:sz w:val="32"/>
          <w:szCs w:val="32"/>
          <w:highlight w:val="none"/>
        </w:rPr>
        <w:t>1</w:t>
      </w:r>
      <w:r>
        <w:rPr>
          <w:rFonts w:hint="eastAsia" w:ascii="仿宋" w:hAnsi="仿宋" w:eastAsia="仿宋"/>
          <w:sz w:val="32"/>
          <w:szCs w:val="32"/>
          <w:highlight w:val="none"/>
          <w:lang w:val="en-US" w:eastAsia="zh-CN"/>
        </w:rPr>
        <w:t>1</w:t>
      </w:r>
      <w:r>
        <w:rPr>
          <w:rFonts w:ascii="仿宋" w:hAnsi="仿宋" w:eastAsia="仿宋"/>
          <w:sz w:val="32"/>
          <w:szCs w:val="32"/>
          <w:highlight w:val="none"/>
        </w:rPr>
        <w:t>.</w:t>
      </w:r>
      <w:r>
        <w:rPr>
          <w:rFonts w:hint="eastAsia" w:ascii="仿宋" w:hAnsi="仿宋" w:eastAsia="仿宋"/>
          <w:sz w:val="32"/>
          <w:szCs w:val="32"/>
          <w:highlight w:val="none"/>
          <w:lang w:val="en-US" w:eastAsia="zh-CN"/>
        </w:rPr>
        <w:t>44</w:t>
      </w:r>
      <w:r>
        <w:rPr>
          <w:rFonts w:hint="eastAsia" w:ascii="仿宋" w:hAnsi="仿宋" w:eastAsia="仿宋"/>
          <w:sz w:val="32"/>
          <w:szCs w:val="32"/>
          <w:highlight w:val="none"/>
        </w:rPr>
        <w:t>万元，完成年初预算的</w:t>
      </w:r>
      <w:r>
        <w:rPr>
          <w:rFonts w:ascii="仿宋" w:hAnsi="仿宋" w:eastAsia="仿宋"/>
          <w:sz w:val="32"/>
          <w:szCs w:val="32"/>
          <w:highlight w:val="none"/>
        </w:rPr>
        <w:t>9</w:t>
      </w:r>
      <w:r>
        <w:rPr>
          <w:rFonts w:hint="eastAsia" w:ascii="仿宋" w:hAnsi="仿宋" w:eastAsia="仿宋"/>
          <w:sz w:val="32"/>
          <w:szCs w:val="32"/>
          <w:highlight w:val="none"/>
          <w:lang w:val="en-US" w:eastAsia="zh-CN"/>
        </w:rPr>
        <w:t>2</w:t>
      </w:r>
      <w:r>
        <w:rPr>
          <w:rFonts w:ascii="仿宋" w:hAnsi="仿宋" w:eastAsia="仿宋"/>
          <w:sz w:val="32"/>
          <w:szCs w:val="32"/>
          <w:highlight w:val="none"/>
        </w:rPr>
        <w:t>.</w:t>
      </w:r>
      <w:r>
        <w:rPr>
          <w:rFonts w:hint="eastAsia" w:ascii="仿宋" w:hAnsi="仿宋" w:eastAsia="仿宋"/>
          <w:sz w:val="32"/>
          <w:szCs w:val="32"/>
          <w:highlight w:val="none"/>
          <w:lang w:val="en-US" w:eastAsia="zh-CN"/>
        </w:rPr>
        <w:t>6</w:t>
      </w:r>
      <w:r>
        <w:rPr>
          <w:rFonts w:ascii="仿宋" w:hAnsi="仿宋" w:eastAsia="仿宋"/>
          <w:sz w:val="32"/>
          <w:szCs w:val="32"/>
          <w:highlight w:val="none"/>
        </w:rPr>
        <w:t>3%</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2021</w:t>
      </w:r>
      <w:r>
        <w:rPr>
          <w:rFonts w:hint="eastAsia" w:ascii="仿宋_GB2312" w:eastAsia="仿宋_GB2312" w:cs="仿宋_GB2312"/>
          <w:kern w:val="0"/>
          <w:sz w:val="32"/>
          <w:szCs w:val="32"/>
        </w:rPr>
        <w:t>年增加事业单位离退休费用归到社保保障和就业支出，属于正常变动</w:t>
      </w:r>
      <w:r>
        <w:rPr>
          <w:rFonts w:hint="eastAsia" w:ascii="仿宋_GB2312" w:eastAsia="仿宋_GB2312" w:cs="仿宋_GB2312"/>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12.35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11.44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92.63%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eastAsia="仿宋_GB2312" w:cs="仿宋_GB2312"/>
                <w:kern w:val="0"/>
                <w:sz w:val="18"/>
                <w:szCs w:val="18"/>
              </w:rPr>
              <w:t>用于职工养老保险缴费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00" w:lineRule="exact"/>
              <w:ind w:left="0" w:right="0" w:firstLine="352" w:firstLineChars="196"/>
              <w:jc w:val="left"/>
              <w:textAlignment w:val="auto"/>
              <w:rPr>
                <w:rFonts w:hint="default" w:ascii="仿宋_GB2312" w:hAnsi="仿宋_GB2312" w:eastAsia="仿宋_GB2312" w:cs="仿宋_GB2312"/>
                <w:sz w:val="32"/>
                <w:szCs w:val="32"/>
              </w:rPr>
            </w:pPr>
            <w:r>
              <w:rPr>
                <w:rFonts w:hint="eastAsia" w:ascii="仿宋" w:hAnsi="仿宋" w:eastAsia="仿宋" w:cs="仿宋"/>
                <w:color w:val="000000" w:themeColor="text1"/>
                <w:kern w:val="2"/>
                <w:sz w:val="18"/>
                <w:szCs w:val="18"/>
                <w:highlight w:val="none"/>
                <w:lang w:val="en-US" w:eastAsia="zh-CN" w:bidi="ar"/>
                <w14:textFill>
                  <w14:solidFill>
                    <w14:schemeClr w14:val="tx1"/>
                  </w14:solidFill>
                </w14:textFill>
              </w:rPr>
              <w:t>2021</w:t>
            </w:r>
            <w:r>
              <w:rPr>
                <w:rFonts w:hint="eastAsia" w:ascii="仿宋_GB2312" w:eastAsia="仿宋_GB2312" w:cs="仿宋_GB2312"/>
                <w:kern w:val="0"/>
                <w:sz w:val="18"/>
                <w:szCs w:val="18"/>
              </w:rPr>
              <w:t>年增加事业单位离退休费用归到社保保障和就业支出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12.35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11.44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43459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417.60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880.08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210.75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eastAsia="仿宋_GB2312" w:cs="仿宋_GB2312"/>
          <w:kern w:val="0"/>
          <w:sz w:val="32"/>
          <w:szCs w:val="32"/>
        </w:rPr>
        <w:t>主要是公共卫生服务项目支出增加</w:t>
      </w:r>
      <w:r>
        <w:rPr>
          <w:rFonts w:hint="eastAsia" w:ascii="仿宋_GB2312" w:eastAsia="仿宋_GB2312" w:cs="仿宋_GB2312"/>
          <w:kern w:val="0"/>
          <w:sz w:val="32"/>
          <w:szCs w:val="32"/>
          <w:lang w:eastAsia="zh-CN"/>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2101102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事业单位医疗</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417.60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880.08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210.75%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i w:val="0"/>
                <w:iCs w:val="0"/>
                <w:caps w:val="0"/>
                <w:color w:val="333333"/>
                <w:spacing w:val="0"/>
                <w:sz w:val="20"/>
                <w:szCs w:val="20"/>
                <w:shd w:val="clear" w:fill="FFFFFF"/>
              </w:rPr>
              <w:t>人员经费支出、日常公用经费支出和项目类支出等</w:t>
            </w:r>
            <w:r>
              <w:rPr>
                <w:rFonts w:hint="eastAsia" w:ascii="仿宋" w:hAnsi="仿宋" w:eastAsia="仿宋" w:cs="仿宋"/>
                <w:sz w:val="21"/>
                <w:szCs w:val="21"/>
                <w:highlight w:val="none"/>
              </w:rPr>
              <w:t>。</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eastAsia="仿宋_GB2312" w:cs="仿宋_GB2312"/>
                <w:kern w:val="0"/>
                <w:sz w:val="18"/>
                <w:szCs w:val="18"/>
              </w:rPr>
              <w:t>主要是公共卫生服务项目支出增加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417.60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880.08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748915"/>
            <wp:effectExtent l="4445" t="4445" r="16510" b="889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10.</w:t>
      </w:r>
      <w:r>
        <w:rPr>
          <w:rFonts w:hint="eastAsia" w:ascii="仿宋" w:hAnsi="仿宋" w:eastAsia="仿宋"/>
          <w:sz w:val="32"/>
          <w:szCs w:val="32"/>
          <w:highlight w:val="none"/>
          <w:lang w:val="en-US" w:eastAsia="zh-CN"/>
        </w:rPr>
        <w:t>96</w:t>
      </w:r>
      <w:r>
        <w:rPr>
          <w:rFonts w:hint="eastAsia" w:ascii="仿宋" w:hAnsi="仿宋" w:eastAsia="仿宋"/>
          <w:sz w:val="32"/>
          <w:szCs w:val="32"/>
          <w:highlight w:val="none"/>
        </w:rPr>
        <w:t>万元，支出决算为</w:t>
      </w:r>
      <w:r>
        <w:rPr>
          <w:rFonts w:ascii="仿宋" w:hAnsi="仿宋" w:eastAsia="仿宋"/>
          <w:sz w:val="32"/>
          <w:szCs w:val="32"/>
          <w:highlight w:val="none"/>
        </w:rPr>
        <w:t>8.5</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w:t>
      </w:r>
      <w:r>
        <w:rPr>
          <w:rFonts w:ascii="仿宋" w:hAnsi="仿宋" w:eastAsia="仿宋"/>
          <w:sz w:val="32"/>
          <w:szCs w:val="32"/>
          <w:highlight w:val="none"/>
        </w:rPr>
        <w:t>7.</w:t>
      </w:r>
      <w:r>
        <w:rPr>
          <w:rFonts w:hint="eastAsia" w:ascii="仿宋" w:hAnsi="仿宋" w:eastAsia="仿宋"/>
          <w:sz w:val="32"/>
          <w:szCs w:val="32"/>
          <w:highlight w:val="none"/>
          <w:lang w:val="en-US" w:eastAsia="zh-CN"/>
        </w:rPr>
        <w:t>65</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原因是：22年存缴基数没有调整。</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77.65%</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eastAsia="仿宋_GB2312" w:cs="仿宋_GB2312"/>
                <w:kern w:val="0"/>
                <w:sz w:val="18"/>
                <w:szCs w:val="18"/>
              </w:rPr>
              <w:t>按照国家政策规定代职工上缴住房公积金等支出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olor w:val="000000" w:themeColor="text1"/>
                <w:sz w:val="18"/>
                <w:szCs w:val="18"/>
                <w:highlight w:val="none"/>
                <w:lang w:val="en-US" w:eastAsia="zh-CN"/>
                <w14:textFill>
                  <w14:solidFill>
                    <w14:schemeClr w14:val="tx1"/>
                  </w14:solidFill>
                </w14:textFill>
              </w:rPr>
              <w:t>22年存缴基数没有调整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148.63</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146</w:t>
      </w:r>
      <w:r>
        <w:rPr>
          <w:rFonts w:hint="eastAsia" w:ascii="仿宋" w:hAnsi="仿宋" w:eastAsia="仿宋" w:cs="仿宋"/>
          <w:sz w:val="32"/>
          <w:szCs w:val="32"/>
          <w:highlight w:val="none"/>
        </w:rPr>
        <w:t>.7</w:t>
      </w:r>
      <w:r>
        <w:rPr>
          <w:rFonts w:hint="eastAsia" w:ascii="仿宋" w:hAnsi="仿宋" w:eastAsia="仿宋" w:cs="仿宋"/>
          <w:sz w:val="32"/>
          <w:szCs w:val="32"/>
          <w:highlight w:val="none"/>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1.92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102.06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人员增加。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35.89万元，30102津贴补贴7.91万元，30103奖金0万元，30106伙食补助费2.00万元，30107绩效工资30.86万元，30108机关事业单位基本养老保险缴费11.44万元，30110职工基本医疗保险缴费4.70万元，30111公务员医疗补助缴费0万元，30112其他社会保障缴费0.76万元，30113住房公积金8.51万元，30199其他工资福利支出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rPr>
        <w:t>1.92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30201办公费1.07万元，30207邮电费0万元，30211差旅费0万元，30215会议费0万元，30216培训费0万元，30226劳务费0万元，30228工会经费0万元，30299其他商品和服务支出0万元，30231公务用车运行维护费0.73万元。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5369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rPr>
        <w:t>44.64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104.96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主要原因是：部分</w:t>
      </w:r>
      <w:r>
        <w:rPr>
          <w:rFonts w:hint="eastAsia" w:ascii="仿宋" w:hAnsi="仿宋" w:eastAsia="仿宋" w:cs="仿宋"/>
          <w:color w:val="auto"/>
          <w:kern w:val="2"/>
          <w:sz w:val="32"/>
          <w:szCs w:val="32"/>
          <w:highlight w:val="none"/>
          <w:lang w:val="en-US" w:eastAsia="zh-CN" w:bidi="ar"/>
        </w:rPr>
        <w:t>村医职称更改造成基本报酬调资。</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30301离休费0万元，30302退休费3.31万元，30305生活补助41.33万元。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本单位无债务利息及费用支出。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16225"/>
            <wp:effectExtent l="4445" t="4445" r="16510" b="17780"/>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本单位无资本性支出。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0632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hint="eastAsia" w:ascii="仿宋" w:hAnsi="仿宋" w:eastAsia="仿宋" w:cs="仿宋"/>
          <w:sz w:val="32"/>
          <w:u w:color="auto"/>
        </w:rPr>
        <w:t>14.07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167.5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主要原因是：主要用于</w:t>
      </w:r>
      <w:r>
        <w:rPr>
          <w:rFonts w:hint="eastAsia" w:ascii="仿宋" w:hAnsi="仿宋" w:eastAsia="仿宋" w:cs="仿宋"/>
          <w:color w:val="000000" w:themeColor="text1"/>
          <w:sz w:val="32"/>
          <w:szCs w:val="32"/>
          <w:highlight w:val="none"/>
          <w:lang w:eastAsia="zh-CN"/>
          <w14:textFill>
            <w14:solidFill>
              <w14:schemeClr w14:val="tx1"/>
            </w14:solidFill>
          </w14:textFill>
        </w:rPr>
        <w:t>在职在编职工的</w:t>
      </w:r>
      <w:r>
        <w:rPr>
          <w:rFonts w:hint="eastAsia" w:ascii="仿宋" w:hAnsi="仿宋" w:eastAsia="仿宋" w:cs="仿宋"/>
          <w:color w:val="auto"/>
          <w:sz w:val="32"/>
          <w:szCs w:val="32"/>
          <w:highlight w:val="none"/>
          <w:lang w:val="en-US" w:eastAsia="zh-CN"/>
        </w:rPr>
        <w:t>政府绩效考评奖及伙食补助支出，</w:t>
      </w:r>
      <w:r>
        <w:rPr>
          <w:rFonts w:hint="eastAsia" w:ascii="仿宋_GB2312" w:eastAsia="仿宋_GB2312" w:cs="仿宋_GB2312"/>
          <w:kern w:val="0"/>
          <w:sz w:val="32"/>
          <w:szCs w:val="32"/>
        </w:rPr>
        <w:t>是年度绩效奖金发放时间存在跨年度现象</w:t>
      </w:r>
      <w:r>
        <w:rPr>
          <w:rFonts w:hint="eastAsia" w:ascii="仿宋_GB2312" w:eastAsia="仿宋_GB2312" w:cs="仿宋_GB2312"/>
          <w:kern w:val="0"/>
          <w:sz w:val="32"/>
          <w:szCs w:val="32"/>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政府绩效考评奖</w:t>
      </w:r>
      <w:r>
        <w:rPr>
          <w:rFonts w:hint="eastAsia" w:ascii="仿宋" w:hAnsi="仿宋" w:eastAsia="仿宋" w:cs="仿宋"/>
          <w:sz w:val="32"/>
          <w:szCs w:val="32"/>
          <w:highlight w:val="none"/>
          <w:lang w:val="en-US" w:eastAsia="zh-CN"/>
        </w:rPr>
        <w:t>12.08万元，伙食补助2.0万元。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u w:color="auto"/>
          <w:lang w:eastAsia="zh-CN"/>
        </w:rPr>
        <w:t>环江毛南族自治县思恩镇防所</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u w:color="auto"/>
          <w:lang w:eastAsia="zh-CN"/>
        </w:rPr>
        <w:t>环江毛南族自治县思恩镇防所</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 w:hAnsi="仿宋" w:eastAsia="仿宋" w:cs="仿宋"/>
          <w:sz w:val="32"/>
          <w:u w:color="auto"/>
          <w:lang w:eastAsia="zh-CN"/>
        </w:rPr>
        <w:t>环江毛南族自治县思恩镇防所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仿宋_GB2312" w:eastAsia="仿宋_GB2312" w:cs="仿宋_GB2312"/>
          <w:color w:val="auto"/>
          <w:sz w:val="32"/>
          <w:u w:color="auto"/>
          <w:lang w:val="en-US" w:eastAsia="zh-CN"/>
        </w:rPr>
        <w:t>安排的支出</w:t>
      </w:r>
      <w:r>
        <w:rPr>
          <w:rFonts w:hint="eastAsia" w:ascii="仿宋_GB2312" w:hAnsi="Times New Roman" w:eastAsia="仿宋_GB2312" w:cs="Times New Roman"/>
          <w:color w:val="auto"/>
          <w:sz w:val="32"/>
          <w:szCs w:val="32"/>
          <w:lang w:eastAsia="zh-CN"/>
        </w:rPr>
        <w:t>。</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0.85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主要原因是：无差异，</w:t>
      </w:r>
      <w:r>
        <w:rPr>
          <w:rFonts w:hint="eastAsia" w:ascii="仿宋" w:hAnsi="仿宋" w:eastAsia="仿宋" w:cs="仿宋"/>
          <w:color w:val="auto"/>
          <w:kern w:val="2"/>
          <w:sz w:val="32"/>
          <w:szCs w:val="32"/>
          <w:highlight w:val="none"/>
          <w:lang w:val="en-US" w:eastAsia="zh-CN" w:bidi="ar"/>
        </w:rPr>
        <w:t>与上年持平。</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w:t>
      </w:r>
      <w:r>
        <w:rPr>
          <w:rFonts w:hint="eastAsia" w:ascii="仿宋" w:hAnsi="仿宋" w:eastAsia="仿宋" w:cs="仿宋"/>
          <w:sz w:val="32"/>
          <w:szCs w:val="32"/>
          <w:highlight w:val="none"/>
          <w:lang w:val="en-US" w:eastAsia="zh-CN"/>
        </w:rPr>
        <w:t>73</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w:t>
      </w:r>
      <w:r>
        <w:rPr>
          <w:rFonts w:hint="eastAsia" w:ascii="仿宋" w:hAnsi="仿宋" w:eastAsia="仿宋" w:cs="仿宋"/>
          <w:sz w:val="32"/>
          <w:u w:color="auto"/>
          <w:lang w:val="en-US" w:eastAsia="zh-CN"/>
        </w:rPr>
        <w:t>73</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5"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本部门无公务用车购置</w:t>
      </w:r>
      <w:bookmarkEnd w:id="5"/>
      <w:r>
        <w:rPr>
          <w:rFonts w:hint="eastAsia" w:ascii="仿宋" w:hAnsi="仿宋" w:eastAsia="仿宋" w:cs="仿宋"/>
          <w:color w:val="auto"/>
          <w:sz w:val="32"/>
          <w:szCs w:val="32"/>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w:t>
      </w:r>
      <w:r>
        <w:rPr>
          <w:rFonts w:hint="eastAsia" w:ascii="仿宋" w:hAnsi="仿宋" w:eastAsia="仿宋" w:cs="仿宋"/>
          <w:sz w:val="32"/>
          <w:u w:color="auto"/>
          <w:lang w:val="en-US" w:eastAsia="zh-CN"/>
        </w:rPr>
        <w:t>73</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highlight w:val="none"/>
        </w:rPr>
        <w:t>开展</w:t>
      </w:r>
      <w:r>
        <w:rPr>
          <w:rFonts w:hint="eastAsia" w:ascii="仿宋" w:hAnsi="仿宋" w:eastAsia="仿宋" w:cs="仿宋"/>
          <w:color w:val="auto"/>
          <w:sz w:val="32"/>
          <w:szCs w:val="32"/>
          <w:highlight w:val="none"/>
          <w:lang w:eastAsia="zh-CN"/>
        </w:rPr>
        <w:t>基本公共卫生服务项目</w:t>
      </w:r>
      <w:r>
        <w:rPr>
          <w:rFonts w:hint="eastAsia" w:ascii="仿宋" w:hAnsi="仿宋" w:eastAsia="仿宋" w:cs="仿宋"/>
          <w:color w:val="auto"/>
          <w:sz w:val="32"/>
          <w:szCs w:val="32"/>
          <w:highlight w:val="none"/>
        </w:rPr>
        <w:t>业务所需车辆燃料费、维修费、过路过桥费、保险费等”。2022年，</w:t>
      </w:r>
      <w:r>
        <w:rPr>
          <w:rFonts w:hint="eastAsia" w:ascii="仿宋" w:hAnsi="仿宋" w:eastAsia="仿宋" w:cs="仿宋"/>
          <w:color w:val="auto"/>
          <w:sz w:val="32"/>
          <w:u w:color="auto"/>
          <w:lang w:eastAsia="zh-CN"/>
        </w:rPr>
        <w:t>环江毛南族自治县思恩镇防保所</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color w:val="auto"/>
          <w:sz w:val="32"/>
          <w:szCs w:val="32"/>
          <w:highlight w:val="none"/>
        </w:rPr>
        <w:t>所属单位开支财政拨款的公务用车保有量为</w:t>
      </w:r>
      <w:r>
        <w:rPr>
          <w:rFonts w:hint="eastAsia" w:ascii="仿宋" w:hAnsi="仿宋" w:eastAsia="仿宋" w:cs="仿宋"/>
          <w:color w:val="auto"/>
          <w:sz w:val="32"/>
          <w:u w:color="auto"/>
          <w:lang w:val="en-US" w:eastAsia="zh-CN"/>
        </w:rPr>
        <w:t>1</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w:t>
      </w:r>
      <w:r>
        <w:rPr>
          <w:rFonts w:hint="eastAsia" w:ascii="仿宋" w:hAnsi="仿宋" w:eastAsia="仿宋" w:cs="仿宋"/>
          <w:color w:val="auto"/>
          <w:sz w:val="32"/>
          <w:u w:color="auto"/>
          <w:lang w:val="en-US" w:eastAsia="zh-CN"/>
        </w:rPr>
        <w:t>73</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0.73</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color w:val="auto"/>
          <w:sz w:val="32"/>
          <w:szCs w:val="32"/>
          <w:highlight w:val="none"/>
        </w:rPr>
        <w:t>（三）公务接待费支出</w:t>
      </w:r>
      <w:r>
        <w:rPr>
          <w:rFonts w:hint="eastAsia" w:ascii="仿宋" w:hAnsi="仿宋" w:eastAsia="仿宋" w:cs="仿宋"/>
          <w:color w:val="auto"/>
          <w:sz w:val="32"/>
          <w:szCs w:val="32"/>
          <w:highlight w:val="none"/>
          <w:lang w:val="en-US" w:eastAsia="zh-CN"/>
        </w:rPr>
        <w:t>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szCs w:val="32"/>
          <w:highlight w:val="none"/>
          <w:lang w:val="en-US" w:eastAsia="zh-CN"/>
        </w:rPr>
        <w:t>100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 比上年</w:t>
      </w:r>
      <w:r>
        <w:rPr>
          <w:rFonts w:ascii="仿宋" w:hAnsi="仿宋" w:eastAsia="仿宋" w:cs="仿宋"/>
          <w:color w:val="auto"/>
          <w:sz w:val="32"/>
          <w:szCs w:val="32"/>
          <w:highlight w:val="none"/>
        </w:rPr>
        <w:t>增加</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kern w:val="2"/>
          <w:sz w:val="32"/>
          <w:szCs w:val="32"/>
          <w:highlight w:val="none"/>
          <w:lang w:val="en-US" w:eastAsia="zh-CN" w:bidi="ar"/>
        </w:rPr>
        <w:t>主要原因是：基本公共卫生服务项目年检接待费。</w:t>
      </w:r>
      <w:r>
        <w:rPr>
          <w:rFonts w:hint="eastAsia" w:ascii="仿宋" w:hAnsi="仿宋" w:eastAsia="仿宋" w:cs="仿宋"/>
          <w:color w:val="auto"/>
          <w:sz w:val="32"/>
          <w:szCs w:val="32"/>
          <w:highlight w:val="none"/>
        </w:rPr>
        <w:t>国内公务接待批次</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次，人次</w:t>
      </w:r>
      <w:r>
        <w:rPr>
          <w:rFonts w:ascii="仿宋" w:hAnsi="仿宋" w:eastAsia="仿宋" w:cs="仿宋"/>
          <w:color w:val="auto"/>
          <w:sz w:val="32"/>
          <w:szCs w:val="32"/>
          <w:highlight w:val="none"/>
        </w:rPr>
        <w:t>10</w:t>
      </w:r>
      <w:r>
        <w:rPr>
          <w:rFonts w:hint="eastAsia" w:ascii="仿宋" w:hAnsi="仿宋" w:eastAsia="仿宋" w:cs="仿宋"/>
          <w:color w:val="auto"/>
          <w:sz w:val="32"/>
          <w:szCs w:val="32"/>
          <w:highlight w:val="none"/>
        </w:rPr>
        <w:t>次，国（境）</w:t>
      </w:r>
      <w:r>
        <w:rPr>
          <w:rFonts w:hint="eastAsia" w:ascii="仿宋" w:hAnsi="仿宋" w:eastAsia="仿宋" w:cs="仿宋"/>
          <w:sz w:val="32"/>
          <w:szCs w:val="32"/>
          <w:highlight w:val="none"/>
        </w:rPr>
        <w:t>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本部门2022年度机关运行经费支出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default" w:ascii="Times New Roman" w:hAnsi="Times New Roman" w:eastAsia="仿宋_GB2312" w:cs="Times New Roman"/>
          <w:b w:val="0"/>
          <w:bCs w:val="0"/>
          <w:kern w:val="0"/>
          <w:sz w:val="32"/>
          <w:szCs w:val="32"/>
          <w:highlight w:val="none"/>
        </w:rPr>
        <w:t>本部门无机关运行经费支出。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17</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6</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ascii="仿宋" w:hAnsi="仿宋" w:eastAsia="仿宋" w:cs="仿宋"/>
          <w:sz w:val="32"/>
          <w:szCs w:val="32"/>
          <w:highlight w:val="none"/>
        </w:rPr>
        <w:t>4</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1</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02</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17</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101.10</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度一般公共预算项目支出全面开展绩效自评”等</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101.10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rPr>
        <w:t>各项项目的绩效目标均能够顺利完成，资金执行情况良好，各项严格按照项目规定的范围和金额进行使用，无挪用、挤占现象，做到了专款专用。</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环江毛南族自治县思恩镇防保所</w:t>
      </w:r>
      <w:r>
        <w:rPr>
          <w:rFonts w:hint="eastAsia" w:ascii="仿宋" w:hAnsi="仿宋" w:eastAsia="仿宋" w:cs="仿宋"/>
          <w:color w:val="000000" w:themeColor="text1"/>
          <w:sz w:val="32"/>
          <w:szCs w:val="32"/>
          <w14:textFill>
            <w14:solidFill>
              <w14:schemeClr w14:val="tx1"/>
            </w14:solidFill>
          </w14:textFill>
        </w:rPr>
        <w:t>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101.10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rPr>
        <w:t>各项目标都能够很好完成，绩效目标未偏离。</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FF0000"/>
          <w:sz w:val="32"/>
          <w:szCs w:val="32"/>
          <w:lang w:eastAsia="zh-CN"/>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我部门根据年初设定的绩效目标，中央财政基本公共卫生服务项目补助资金项目自评得分为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医药卫生体制改革和事业发展以奖代补项目自评得分为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中央财政基本药物制度补助资金项目自评得分为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中医馆建设</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补助市县乡镇卫生院人员工资补助经费项目项目自评得分为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新冠病毒疫苗接种点耗材经费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0NGI1NGJhZTRhZjA3NmRjYzU2OWZlNjM5Mjc5YzE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10E02"/>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1A12B11"/>
    <w:rsid w:val="020C171D"/>
    <w:rsid w:val="0216715F"/>
    <w:rsid w:val="02E0291A"/>
    <w:rsid w:val="03EF4DB6"/>
    <w:rsid w:val="04D77342"/>
    <w:rsid w:val="04E54546"/>
    <w:rsid w:val="05992762"/>
    <w:rsid w:val="05D77384"/>
    <w:rsid w:val="06A37C3B"/>
    <w:rsid w:val="07B0770E"/>
    <w:rsid w:val="0942143F"/>
    <w:rsid w:val="0ABF23AC"/>
    <w:rsid w:val="0AFA0F4B"/>
    <w:rsid w:val="0B903A81"/>
    <w:rsid w:val="0D100297"/>
    <w:rsid w:val="0D202B45"/>
    <w:rsid w:val="0E6B0C6A"/>
    <w:rsid w:val="0E835B7C"/>
    <w:rsid w:val="0F8D4C87"/>
    <w:rsid w:val="10505FAA"/>
    <w:rsid w:val="105F7E7E"/>
    <w:rsid w:val="11E56B5B"/>
    <w:rsid w:val="125C77AB"/>
    <w:rsid w:val="133575B4"/>
    <w:rsid w:val="14187E26"/>
    <w:rsid w:val="14223A17"/>
    <w:rsid w:val="144C2E34"/>
    <w:rsid w:val="14CB726E"/>
    <w:rsid w:val="15296C4A"/>
    <w:rsid w:val="16481674"/>
    <w:rsid w:val="16682F6B"/>
    <w:rsid w:val="170E4165"/>
    <w:rsid w:val="17327DB0"/>
    <w:rsid w:val="17E92249"/>
    <w:rsid w:val="18D304F1"/>
    <w:rsid w:val="19957CC6"/>
    <w:rsid w:val="19F32577"/>
    <w:rsid w:val="19F45B80"/>
    <w:rsid w:val="1B0C078D"/>
    <w:rsid w:val="1B2B31E2"/>
    <w:rsid w:val="1B4C295A"/>
    <w:rsid w:val="1B973C63"/>
    <w:rsid w:val="1BA1001E"/>
    <w:rsid w:val="1C2041A5"/>
    <w:rsid w:val="1D317259"/>
    <w:rsid w:val="1D493715"/>
    <w:rsid w:val="1D6334B4"/>
    <w:rsid w:val="1E664F5B"/>
    <w:rsid w:val="1EB34BE1"/>
    <w:rsid w:val="1F8D5990"/>
    <w:rsid w:val="1FD54F27"/>
    <w:rsid w:val="215E639F"/>
    <w:rsid w:val="21E534EE"/>
    <w:rsid w:val="21EC3183"/>
    <w:rsid w:val="225E72CD"/>
    <w:rsid w:val="246E2F77"/>
    <w:rsid w:val="254B4E2B"/>
    <w:rsid w:val="264A7700"/>
    <w:rsid w:val="27723BAB"/>
    <w:rsid w:val="283D7C94"/>
    <w:rsid w:val="28AF5453"/>
    <w:rsid w:val="28D70B46"/>
    <w:rsid w:val="29480E03"/>
    <w:rsid w:val="2983634D"/>
    <w:rsid w:val="2A963B0E"/>
    <w:rsid w:val="2B2B081E"/>
    <w:rsid w:val="2BB02055"/>
    <w:rsid w:val="2C575A56"/>
    <w:rsid w:val="2CB177FA"/>
    <w:rsid w:val="2F257714"/>
    <w:rsid w:val="2F3275E5"/>
    <w:rsid w:val="30AA08EF"/>
    <w:rsid w:val="30D23D1C"/>
    <w:rsid w:val="31072FD3"/>
    <w:rsid w:val="31221CF5"/>
    <w:rsid w:val="31400178"/>
    <w:rsid w:val="321E3342"/>
    <w:rsid w:val="32426475"/>
    <w:rsid w:val="327759C8"/>
    <w:rsid w:val="32AA2E28"/>
    <w:rsid w:val="33185FE3"/>
    <w:rsid w:val="339D654F"/>
    <w:rsid w:val="34EE2E36"/>
    <w:rsid w:val="36777241"/>
    <w:rsid w:val="36C556EA"/>
    <w:rsid w:val="38A951DB"/>
    <w:rsid w:val="38B31605"/>
    <w:rsid w:val="39003F4F"/>
    <w:rsid w:val="3C07002B"/>
    <w:rsid w:val="3D0D152A"/>
    <w:rsid w:val="3DF62756"/>
    <w:rsid w:val="3F1B7587"/>
    <w:rsid w:val="3FAE5E95"/>
    <w:rsid w:val="3FCF3ECE"/>
    <w:rsid w:val="40E23A1F"/>
    <w:rsid w:val="410A27E7"/>
    <w:rsid w:val="41E57B4F"/>
    <w:rsid w:val="42DC6F3E"/>
    <w:rsid w:val="42F875A5"/>
    <w:rsid w:val="432F26F6"/>
    <w:rsid w:val="435C016E"/>
    <w:rsid w:val="43655003"/>
    <w:rsid w:val="43880F63"/>
    <w:rsid w:val="441C5A6F"/>
    <w:rsid w:val="44C44FCC"/>
    <w:rsid w:val="44CC7369"/>
    <w:rsid w:val="457F5108"/>
    <w:rsid w:val="46951B6B"/>
    <w:rsid w:val="49A34401"/>
    <w:rsid w:val="49AD13D7"/>
    <w:rsid w:val="49E0144A"/>
    <w:rsid w:val="4A3E30AB"/>
    <w:rsid w:val="4AC14DAC"/>
    <w:rsid w:val="4AD81634"/>
    <w:rsid w:val="4B7B133D"/>
    <w:rsid w:val="4CB053FF"/>
    <w:rsid w:val="4D154C85"/>
    <w:rsid w:val="4EC8553A"/>
    <w:rsid w:val="508F4E24"/>
    <w:rsid w:val="51461E90"/>
    <w:rsid w:val="51463753"/>
    <w:rsid w:val="52553A93"/>
    <w:rsid w:val="533A784C"/>
    <w:rsid w:val="53521F8B"/>
    <w:rsid w:val="53E22F47"/>
    <w:rsid w:val="54522FF8"/>
    <w:rsid w:val="55450629"/>
    <w:rsid w:val="56692963"/>
    <w:rsid w:val="568B0F48"/>
    <w:rsid w:val="570830BB"/>
    <w:rsid w:val="5786217B"/>
    <w:rsid w:val="5811088D"/>
    <w:rsid w:val="59337A15"/>
    <w:rsid w:val="59810274"/>
    <w:rsid w:val="5AA07054"/>
    <w:rsid w:val="5CA96A00"/>
    <w:rsid w:val="5CAE15E3"/>
    <w:rsid w:val="5CC57036"/>
    <w:rsid w:val="5CE22820"/>
    <w:rsid w:val="5CF730BC"/>
    <w:rsid w:val="5D574AA4"/>
    <w:rsid w:val="5E5F0DCE"/>
    <w:rsid w:val="5F47472B"/>
    <w:rsid w:val="5F7679C4"/>
    <w:rsid w:val="5FA40A7B"/>
    <w:rsid w:val="5FD56D29"/>
    <w:rsid w:val="5FEC7F3F"/>
    <w:rsid w:val="60F74BC3"/>
    <w:rsid w:val="6158495D"/>
    <w:rsid w:val="617D3BF8"/>
    <w:rsid w:val="61841F6A"/>
    <w:rsid w:val="61990EEE"/>
    <w:rsid w:val="623007A9"/>
    <w:rsid w:val="637D7558"/>
    <w:rsid w:val="640A64A9"/>
    <w:rsid w:val="644B1A3D"/>
    <w:rsid w:val="644F19AC"/>
    <w:rsid w:val="64560487"/>
    <w:rsid w:val="650937E4"/>
    <w:rsid w:val="65AA4920"/>
    <w:rsid w:val="67694F1E"/>
    <w:rsid w:val="689042C6"/>
    <w:rsid w:val="69597934"/>
    <w:rsid w:val="6AED0C9D"/>
    <w:rsid w:val="6B964DDC"/>
    <w:rsid w:val="6C783074"/>
    <w:rsid w:val="6CF81F7A"/>
    <w:rsid w:val="6D9E65C6"/>
    <w:rsid w:val="6DA04E66"/>
    <w:rsid w:val="6DA81947"/>
    <w:rsid w:val="6EB66DE2"/>
    <w:rsid w:val="6ED3075F"/>
    <w:rsid w:val="6EF35C71"/>
    <w:rsid w:val="6F2A2D4B"/>
    <w:rsid w:val="6F8A0C1E"/>
    <w:rsid w:val="6F944587"/>
    <w:rsid w:val="703F45D4"/>
    <w:rsid w:val="715D6546"/>
    <w:rsid w:val="71BE069E"/>
    <w:rsid w:val="73953409"/>
    <w:rsid w:val="73E069A3"/>
    <w:rsid w:val="74601CAE"/>
    <w:rsid w:val="75A4446B"/>
    <w:rsid w:val="76354A02"/>
    <w:rsid w:val="78104AA8"/>
    <w:rsid w:val="78E257C5"/>
    <w:rsid w:val="79036276"/>
    <w:rsid w:val="794B35BE"/>
    <w:rsid w:val="79A6483B"/>
    <w:rsid w:val="7A102FD2"/>
    <w:rsid w:val="7A3F3813"/>
    <w:rsid w:val="7A6B2394"/>
    <w:rsid w:val="7B0A3A31"/>
    <w:rsid w:val="7B3360ED"/>
    <w:rsid w:val="7B5319F3"/>
    <w:rsid w:val="7B7E10E5"/>
    <w:rsid w:val="7BDF037E"/>
    <w:rsid w:val="7BF50948"/>
    <w:rsid w:val="7C8F18FA"/>
    <w:rsid w:val="7CE66A78"/>
    <w:rsid w:val="7D23564C"/>
    <w:rsid w:val="7D5E062D"/>
    <w:rsid w:val="7DF76CD8"/>
    <w:rsid w:val="7E8A55AA"/>
    <w:rsid w:val="7F695C26"/>
    <w:rsid w:val="7F9D4E73"/>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a:solidFill>
              <a:schemeClr val="accent1"/>
            </a:solidFill>
          </c:spPr>
          <c:explosion val="0"/>
          <c:dPt>
            <c:idx val="0"/>
            <c:bubble3D val="0"/>
            <c:spPr>
              <a:solidFill>
                <a:schemeClr val="accent1"/>
              </a:solidFill>
              <a:ln w="19050">
                <a:solidFill>
                  <a:schemeClr val="lt1"/>
                </a:solidFill>
              </a:ln>
              <a:effectLst/>
            </c:spPr>
          </c:dPt>
          <c:dPt>
            <c:idx val="1"/>
            <c:bubble3D val="0"/>
            <c:spPr>
              <a:solidFill>
                <a:schemeClr val="accent1"/>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686.04</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3201.56</c:v>
                </c:pt>
                <c:pt idx="1">
                  <c:v>139.28</c:v>
                </c:pt>
                <c:pt idx="2">
                  <c:v>108.88</c:v>
                </c:pt>
                <c:pt idx="3">
                  <c:v>1795.03</c:v>
                </c:pt>
                <c:pt idx="4">
                  <c:v>100.43</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Sheet1!$C$2:$C$6</c:f>
              <c:numCache>
                <c:formatCode>General</c:formatCode>
                <c:ptCount val="5"/>
                <c:pt idx="0">
                  <c:v>2701.68</c:v>
                </c:pt>
                <c:pt idx="1">
                  <c:v>136.61</c:v>
                </c:pt>
                <c:pt idx="2">
                  <c:v>106.67</c:v>
                </c:pt>
                <c:pt idx="3">
                  <c:v>1672.2</c:v>
                </c:pt>
                <c:pt idx="4">
                  <c:v>98.52</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2080505</c:v>
                </c:pt>
                <c:pt idx="1">
                  <c:v>2080801</c:v>
                </c:pt>
                <c:pt idx="2">
                  <c:v>2089999</c:v>
                </c:pt>
                <c:pt idx="3">
                  <c:v>208x</c:v>
                </c:pt>
              </c:strCache>
            </c:strRef>
          </c:cat>
          <c:val>
            <c:numRef>
              <c:f>Sheet1!$B$2:$B$5</c:f>
              <c:numCache>
                <c:formatCode>General</c:formatCode>
                <c:ptCount val="4"/>
                <c:pt idx="0">
                  <c:v>131.11</c:v>
                </c:pt>
                <c:pt idx="1">
                  <c:v>3.39</c:v>
                </c:pt>
                <c:pt idx="2">
                  <c:v>2.11</c:v>
                </c:pt>
                <c:pt idx="3">
                  <c:v>136.61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卫生健康支出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2101101</c:v>
                </c:pt>
                <c:pt idx="1">
                  <c:v>2101102</c:v>
                </c:pt>
                <c:pt idx="2">
                  <c:v>2101103</c:v>
                </c:pt>
                <c:pt idx="3">
                  <c:v>210x</c:v>
                </c:pt>
              </c:strCache>
            </c:strRef>
          </c:cat>
          <c:val>
            <c:numRef>
              <c:f>Sheet1!$B$2:$B$5</c:f>
              <c:numCache>
                <c:formatCode>General</c:formatCode>
                <c:ptCount val="4"/>
                <c:pt idx="0">
                  <c:v>27.65</c:v>
                </c:pt>
                <c:pt idx="1">
                  <c:v>29.18</c:v>
                </c:pt>
                <c:pt idx="2">
                  <c:v>49.84</c:v>
                </c:pt>
                <c:pt idx="3">
                  <c:v>106.67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98.52</c:v>
                </c:pt>
                <c:pt idx="1">
                  <c:v>98.52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strCache>
            </c:strRef>
          </c:cat>
          <c:val>
            <c:numRef>
              <c:f>Sheet1!$B$2:$B$14</c:f>
              <c:numCache>
                <c:formatCode>General</c:formatCode>
                <c:ptCount val="13"/>
                <c:pt idx="0">
                  <c:v>356.71</c:v>
                </c:pt>
                <c:pt idx="1">
                  <c:v>162.24</c:v>
                </c:pt>
                <c:pt idx="2">
                  <c:v>100.19</c:v>
                </c:pt>
                <c:pt idx="3">
                  <c:v>24.3</c:v>
                </c:pt>
                <c:pt idx="4">
                  <c:v>238.59</c:v>
                </c:pt>
                <c:pt idx="5">
                  <c:v>131.11</c:v>
                </c:pt>
                <c:pt idx="6">
                  <c:v>0</c:v>
                </c:pt>
                <c:pt idx="7">
                  <c:v>53.35</c:v>
                </c:pt>
                <c:pt idx="8">
                  <c:v>50.92</c:v>
                </c:pt>
                <c:pt idx="9">
                  <c:v>3.75</c:v>
                </c:pt>
                <c:pt idx="10">
                  <c:v>98.52</c:v>
                </c:pt>
                <c:pt idx="11">
                  <c:v>0</c:v>
                </c:pt>
                <c:pt idx="12">
                  <c:v>5.29</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2.64</c:v>
                </c:pt>
                <c:pt idx="1">
                  <c:v>0</c:v>
                </c:pt>
                <c:pt idx="2">
                  <c:v>0</c:v>
                </c:pt>
                <c:pt idx="3">
                  <c:v>0</c:v>
                </c:pt>
                <c:pt idx="4">
                  <c:v>0</c:v>
                </c:pt>
                <c:pt idx="5">
                  <c:v>0</c:v>
                </c:pt>
                <c:pt idx="6">
                  <c:v>0.01</c:v>
                </c:pt>
                <c:pt idx="7">
                  <c:v>0</c:v>
                </c:pt>
                <c:pt idx="8">
                  <c:v>0</c:v>
                </c:pt>
                <c:pt idx="9">
                  <c:v>8</c:v>
                </c:pt>
                <c:pt idx="10">
                  <c:v>0</c:v>
                </c:pt>
                <c:pt idx="11">
                  <c:v>0</c:v>
                </c:pt>
                <c:pt idx="12">
                  <c:v>0</c:v>
                </c:pt>
                <c:pt idx="13">
                  <c:v>0.18</c:v>
                </c:pt>
                <c:pt idx="14">
                  <c:v>5.27</c:v>
                </c:pt>
                <c:pt idx="15">
                  <c:v>0</c:v>
                </c:pt>
                <c:pt idx="16">
                  <c:v>0</c:v>
                </c:pt>
                <c:pt idx="17">
                  <c:v>0</c:v>
                </c:pt>
                <c:pt idx="18">
                  <c:v>0</c:v>
                </c:pt>
                <c:pt idx="19">
                  <c:v>0.2</c:v>
                </c:pt>
                <c:pt idx="20">
                  <c:v>0</c:v>
                </c:pt>
                <c:pt idx="21">
                  <c:v>16.9</c:v>
                </c:pt>
                <c:pt idx="22">
                  <c:v>0</c:v>
                </c:pt>
                <c:pt idx="23">
                  <c:v>0</c:v>
                </c:pt>
                <c:pt idx="24">
                  <c:v>0</c:v>
                </c:pt>
                <c:pt idx="25">
                  <c:v>0</c:v>
                </c:pt>
                <c:pt idx="26">
                  <c:v>0.05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15.22</c:v>
                </c:pt>
                <c:pt idx="1">
                  <c:v>0.76</c:v>
                </c:pt>
                <c:pt idx="2">
                  <c:v>0</c:v>
                </c:pt>
                <c:pt idx="3">
                  <c:v>0</c:v>
                </c:pt>
                <c:pt idx="4">
                  <c:v>3.75</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2</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2023-11-27T00:39:18Z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38C0426B714F4C2A8629F1402CCA66BE_13</vt:lpwstr>
  </property>
</Properties>
</file>