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lang w:val="en-US" w:eastAsia="zh-CN"/>
        </w:rPr>
        <w:t>环江毛南族自治县卫生计生监督所</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val="en-US" w:eastAsia="zh-CN"/>
        </w:rPr>
        <w:t>卫生监督所</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val="en-US" w:eastAsia="zh-CN"/>
        </w:rPr>
        <w:t>卫生监督所</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val="en-US" w:eastAsia="zh-CN"/>
        </w:rPr>
        <w:t>卫生监督所</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sz w:val="32"/>
          <w:u w:color="auto"/>
          <w:lang w:val="en-US" w:eastAsia="zh-CN"/>
        </w:rPr>
        <w:t>卫生监督所</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widowControl/>
        <w:wordWrap w:val="0"/>
        <w:autoSpaceDN w:val="0"/>
        <w:spacing w:line="58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根据卫生部《关于卫生监督体系建设的若干规定》规定，各级卫生监督机构在同级卫生行政部门]领导下承担卫生监督工作任务，主要职责为：</w:t>
      </w:r>
    </w:p>
    <w:p>
      <w:pPr>
        <w:widowControl/>
        <w:numPr>
          <w:ilvl w:val="0"/>
          <w:numId w:val="1"/>
        </w:numPr>
        <w:wordWrap w:val="0"/>
        <w:autoSpaceDN w:val="0"/>
        <w:spacing w:line="580" w:lineRule="exact"/>
        <w:ind w:firstLine="720" w:firstLineChars="225"/>
        <w:jc w:val="left"/>
        <w:rPr>
          <w:rFonts w:hint="eastAsia" w:ascii="仿宋" w:hAnsi="仿宋" w:eastAsia="仿宋" w:cs="仿宋"/>
          <w:sz w:val="32"/>
          <w:szCs w:val="32"/>
        </w:rPr>
      </w:pPr>
      <w:r>
        <w:rPr>
          <w:rFonts w:hint="eastAsia" w:ascii="仿宋" w:hAnsi="仿宋" w:eastAsia="仿宋" w:cs="仿宋"/>
          <w:sz w:val="32"/>
          <w:szCs w:val="32"/>
        </w:rPr>
        <w:t>生行政许可</w:t>
      </w:r>
      <w:r>
        <w:rPr>
          <w:rFonts w:hint="eastAsia" w:ascii="仿宋" w:hAnsi="仿宋" w:eastAsia="仿宋" w:cs="仿宋"/>
          <w:sz w:val="32"/>
          <w:szCs w:val="32"/>
        </w:rPr>
        <w:br w:type="textWrapping"/>
      </w:r>
      <w:r>
        <w:rPr>
          <w:rFonts w:hint="eastAsia" w:ascii="仿宋" w:hAnsi="仿宋" w:eastAsia="仿宋" w:cs="仿宋"/>
          <w:sz w:val="32"/>
          <w:szCs w:val="32"/>
        </w:rPr>
        <w:t>承办餐饮业及集体食堂的卫生条件的卫生行政许可：承办公共场所卫生条件的卫生行政许可：承办供水单位卫生条件的卫生行政许可：卫生行政部门交办的其他行政许可事项。</w:t>
      </w:r>
      <w:r>
        <w:rPr>
          <w:rFonts w:hint="eastAsia" w:ascii="仿宋" w:hAnsi="仿宋" w:eastAsia="仿宋" w:cs="仿宋"/>
          <w:sz w:val="32"/>
          <w:szCs w:val="32"/>
        </w:rPr>
        <w:br w:type="textWrapping"/>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rPr>
        <w:t>）公共卫生监督</w:t>
      </w:r>
      <w:r>
        <w:rPr>
          <w:rFonts w:hint="eastAsia" w:ascii="仿宋" w:hAnsi="仿宋" w:eastAsia="仿宋" w:cs="仿宋"/>
          <w:sz w:val="32"/>
          <w:szCs w:val="32"/>
        </w:rPr>
        <w:br w:type="textWrapping"/>
      </w:r>
      <w:r>
        <w:rPr>
          <w:rFonts w:hint="eastAsia" w:ascii="仿宋" w:hAnsi="仿宋" w:eastAsia="仿宋" w:cs="仿宋"/>
          <w:sz w:val="32"/>
          <w:szCs w:val="32"/>
        </w:rPr>
        <w:t>对餐饮业及集体食堂的卫生条件、卫生防护设施、生产经营活动及直接从事食品生产经营活动人员的健康管理进行卫生监督检査,査处违法行为；对化妆品、消毒产品、生活饮用水、涉及饮用水卫生安全产品及其他健康相关产品的卫生及其生产经营活动进行卫生监督检查，査处违法行为；对公共场所的卫生条件及其从业人员的健康管理进行卫生监督检查，查处违法行为：对用人单位开展职业健康监护情况进行卫生监督检查，査处违法行为：对建设项目执行职业病危害评价制度情况进行卫生监督检，査处违法行为。</w:t>
      </w:r>
    </w:p>
    <w:p>
      <w:pPr>
        <w:widowControl/>
        <w:numPr>
          <w:ilvl w:val="0"/>
          <w:numId w:val="0"/>
        </w:numPr>
        <w:wordWrap w:val="0"/>
        <w:autoSpaceDN w:val="0"/>
        <w:spacing w:line="58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（三）医疗卫生监督</w:t>
      </w:r>
    </w:p>
    <w:p>
      <w:pPr>
        <w:widowControl/>
        <w:numPr>
          <w:ilvl w:val="0"/>
          <w:numId w:val="0"/>
        </w:numPr>
        <w:wordWrap w:val="0"/>
        <w:autoSpaceDN w:val="0"/>
        <w:spacing w:line="580" w:lineRule="exact"/>
        <w:jc w:val="left"/>
        <w:rPr>
          <w:rFonts w:hint="eastAsia" w:ascii="仿宋" w:hAnsi="仿宋" w:eastAsia="仿宋" w:cs="仿宋"/>
          <w:sz w:val="32"/>
          <w:szCs w:val="32"/>
          <w:lang w:val="en-US" w:eastAsia="zh-CN"/>
        </w:rPr>
      </w:pPr>
      <w:r>
        <w:rPr>
          <w:rFonts w:hint="eastAsia" w:ascii="仿宋" w:hAnsi="仿宋" w:eastAsia="仿宋" w:cs="仿宋"/>
          <w:sz w:val="32"/>
          <w:szCs w:val="32"/>
        </w:rPr>
        <w:t>对医疗机构的执行资格、职业范围及其医务人员的职业资格、执业注册进行监督检查，规范医疗服务行为，打击非法行医;对医疗机构的传染病疫情报告、疫情控制措施、消毒隔离制度执行情况和医疗废物处置情况进行监督检查,查处违法行为;对采供血机构的采供血活动、传染病疫情报告和医疗废物处置情况进行监督检查</w:t>
      </w:r>
      <w:r>
        <w:rPr>
          <w:rFonts w:hint="eastAsia" w:ascii="仿宋" w:hAnsi="仿宋" w:eastAsia="仿宋" w:cs="仿宋"/>
          <w:sz w:val="32"/>
          <w:szCs w:val="32"/>
          <w:lang w:eastAsia="zh-CN"/>
        </w:rPr>
        <w:t>。</w:t>
      </w:r>
      <w:r>
        <w:rPr>
          <w:rFonts w:hint="eastAsia" w:ascii="仿宋" w:hAnsi="仿宋" w:eastAsia="仿宋" w:cs="仿宋"/>
          <w:sz w:val="32"/>
          <w:szCs w:val="32"/>
        </w:rPr>
        <w:t>查处违法行为。负责派出机构的管理;负责辖区内卫生监督信息的收集、核实、上报;负责受理对违法行为的投诉、举报;开展卫生法律法规宣传教育;承办主管局及上级业务机关指定或交办的.卫对违法行为的投诉、举报。对违法行为的投诉、举报;开展卫生法律法规宣传教育;承办主管局及上级业务机关指定或交办的卫生监督事项</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30"/>
        <w:jc w:val="left"/>
        <w:rPr>
          <w:rFonts w:hint="default" w:ascii="黑体" w:hAnsi="黑体" w:eastAsia="仿宋" w:cs="黑体"/>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w:t>
      </w:r>
      <w:r>
        <w:rPr>
          <w:rFonts w:hint="eastAsia" w:ascii="仿宋" w:hAnsi="仿宋" w:eastAsia="仿宋"/>
          <w:sz w:val="32"/>
          <w:szCs w:val="32"/>
          <w:lang w:val="en-US" w:eastAsia="zh-CN"/>
        </w:rPr>
        <w:t>卫生监督所</w:t>
      </w:r>
      <w:r>
        <w:rPr>
          <w:rFonts w:hint="eastAsia" w:ascii="仿宋" w:hAnsi="仿宋" w:eastAsia="仿宋"/>
          <w:sz w:val="32"/>
          <w:szCs w:val="32"/>
        </w:rPr>
        <w:t>部门</w:t>
      </w:r>
      <w:r>
        <w:rPr>
          <w:rFonts w:hint="eastAsia" w:ascii="仿宋" w:hAnsi="仿宋" w:eastAsia="仿宋"/>
          <w:sz w:val="32"/>
          <w:szCs w:val="32"/>
          <w:lang w:val="en-US" w:eastAsia="zh-CN"/>
        </w:rPr>
        <w:t>决算</w:t>
      </w:r>
      <w:r>
        <w:rPr>
          <w:rFonts w:hint="eastAsia" w:ascii="仿宋" w:hAnsi="仿宋" w:eastAsia="仿宋"/>
          <w:sz w:val="32"/>
          <w:szCs w:val="32"/>
        </w:rPr>
        <w:t>共</w:t>
      </w:r>
      <w:r>
        <w:rPr>
          <w:rFonts w:hint="eastAsia" w:ascii="仿宋" w:hAnsi="仿宋" w:eastAsia="仿宋"/>
          <w:sz w:val="32"/>
          <w:szCs w:val="32"/>
          <w:lang w:val="en-US" w:eastAsia="zh-CN"/>
        </w:rPr>
        <w:t>1</w:t>
      </w:r>
      <w:r>
        <w:rPr>
          <w:rFonts w:hint="eastAsia" w:ascii="仿宋" w:hAnsi="仿宋" w:eastAsia="仿宋"/>
          <w:sz w:val="32"/>
          <w:szCs w:val="32"/>
        </w:rPr>
        <w:t>个单位。</w:t>
      </w:r>
      <w:r>
        <w:rPr>
          <w:rFonts w:hint="eastAsia" w:ascii="仿宋" w:hAnsi="仿宋" w:eastAsia="仿宋"/>
          <w:sz w:val="32"/>
          <w:szCs w:val="32"/>
          <w:lang w:val="en-US" w:eastAsia="zh-CN"/>
        </w:rPr>
        <w:t>卫生监督所为参公单位</w:t>
      </w:r>
    </w:p>
    <w:p>
      <w:pPr>
        <w:ind w:firstLine="640" w:firstLineChars="200"/>
        <w:jc w:val="left"/>
        <w:rPr>
          <w:rFonts w:hint="eastAsia" w:ascii="仿宋" w:hAnsi="仿宋" w:eastAsia="仿宋" w:cs="仿宋"/>
          <w:color w:val="FF0000"/>
          <w:sz w:val="32"/>
          <w:szCs w:val="32"/>
        </w:rPr>
      </w:pP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both"/>
        <w:rPr>
          <w:rFonts w:hint="default" w:ascii="黑体" w:hAnsi="黑体" w:eastAsia="黑体" w:cs="黑体"/>
          <w:sz w:val="32"/>
          <w:szCs w:val="32"/>
          <w:highlight w:val="none"/>
          <w:lang w:val="en-US" w:eastAsia="zh-CN"/>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val="en-US" w:eastAsia="zh-CN"/>
        </w:rPr>
        <w:t>监督所</w:t>
      </w:r>
      <w:r>
        <w:rPr>
          <w:rFonts w:hint="eastAsia" w:ascii="黑体" w:hAnsi="黑体" w:eastAsia="黑体" w:cs="黑体"/>
          <w:sz w:val="32"/>
          <w:szCs w:val="32"/>
          <w:highlight w:val="none"/>
        </w:rPr>
        <w:t xml:space="preserve"> 2022年度部门决算报表</w:t>
      </w:r>
    </w:p>
    <w:tbl>
      <w:tblPr>
        <w:tblStyle w:val="7"/>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eastAsia="宋体" w:cs="Arial"/>
                <w:color w:val="000000"/>
                <w:sz w:val="20"/>
                <w:szCs w:val="20"/>
                <w:highlight w:val="none"/>
                <w:lang w:val="en-US"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环江毛南族自治县卫生计生监督所</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145.45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10.99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109.22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8.25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17.01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145.53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145.47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145.53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145.53</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7"/>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环江毛南族自治县卫生计生监督所</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145.53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145.45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i w:val="0"/>
                <w:iCs w:val="0"/>
                <w:color w:val="000000"/>
                <w:kern w:val="0"/>
                <w:sz w:val="22"/>
                <w:szCs w:val="22"/>
                <w:u w:val="none"/>
                <w:lang w:val="en-US" w:eastAsia="zh-CN" w:bidi="ar"/>
              </w:rPr>
              <w:t>0.08</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10.99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10.99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10.99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10.99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10.99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10.99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210</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卫生健康支出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109.27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109.20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0.08</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21004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公共卫生</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109.27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109.20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0.08</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2100402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卫生监督机构</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95.07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95.00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0.08</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2100408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11.20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11.20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2100409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8.25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8.25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8.25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17.01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17.01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17.01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17.01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17.01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17.01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环江毛南族自治县卫生计生监督所</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145.47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113.17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32.30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10.99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10.99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10.99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10.99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10.99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10.99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210</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卫生健康支出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109.22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76.92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32.30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21004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公共卫生</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109.22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76.92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32.30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2100402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卫生监督机构</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95.02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76.92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18.10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2100408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11.20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11.20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2100409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8.25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8.25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8.25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8.25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8.25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8.25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17.01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17.01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17.01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17.01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17.01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17.01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7"/>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环江毛南族自治县卫生计生监督所</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145.45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10.99</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10.99</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109.20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109.20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8.25</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8.25</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17.01</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17.01</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145.45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145.45</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145.45</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13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145.45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108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145.45</w:t>
            </w:r>
          </w:p>
        </w:tc>
        <w:tc>
          <w:tcPr>
            <w:tcW w:w="1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145.45</w:t>
            </w:r>
          </w:p>
        </w:tc>
        <w:tc>
          <w:tcPr>
            <w:tcW w:w="180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89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环江毛南族自治县卫生计生监督所</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145.45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113.15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32.30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10.99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10.99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10.99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10.99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109.20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76.90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32.30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公共卫生</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109.20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76.90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32.30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2100402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卫生监督机构</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95.00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76.90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18.10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2100408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11.20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11.20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2100409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8.25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8.25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8.25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17.01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17.01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17.01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17.01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17.01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17.01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7"/>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环江毛南族自治县卫生计生监督所</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108.69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34.23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22.47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25.86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11.73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0.38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0.91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4.83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0.12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0.85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8.25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110.75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2.41</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7"/>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环江毛南族自治县卫生计生监督所</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 xml:space="preserve">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7"/>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环江毛南族自治县卫生计生监督所</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r>
        <w:rPr>
          <w:rFonts w:hint="eastAsia" w:ascii="宋体" w:hAnsi="宋体" w:eastAsia="宋体" w:cs="宋体"/>
          <w:color w:val="000000"/>
          <w:kern w:val="0"/>
          <w:sz w:val="22"/>
          <w:szCs w:val="22"/>
          <w:highlight w:val="none"/>
          <w:lang w:bidi="ar"/>
        </w:rPr>
        <w:br w:type="page"/>
      </w:r>
    </w:p>
    <w:tbl>
      <w:tblPr>
        <w:tblStyle w:val="7"/>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环江毛南族自治县卫生计生监督所</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0.25</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0.25</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0.25</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0.00</w:t>
            </w:r>
          </w:p>
        </w:tc>
        <w:tc>
          <w:tcPr>
            <w:tcW w:w="107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highlight w:val="none"/>
              </w:rPr>
            </w:pPr>
            <w:r>
              <w:rPr>
                <w:rFonts w:hint="eastAsia" w:ascii="宋体" w:hAnsi="宋体" w:eastAsia="宋体" w:cs="宋体"/>
                <w:i w:val="0"/>
                <w:iCs w:val="0"/>
                <w:color w:val="000000"/>
                <w:kern w:val="0"/>
                <w:sz w:val="22"/>
                <w:szCs w:val="22"/>
                <w:u w:val="none"/>
                <w:lang w:val="en-US" w:eastAsia="zh-CN" w:bidi="ar"/>
              </w:rPr>
              <w:t>0.25</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val="en-US" w:eastAsia="zh-CN"/>
        </w:rPr>
        <w:t>监督所</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145.45</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增加10.25</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上涨7.58</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lang w:val="en-US" w:eastAsia="zh-CN"/>
        </w:rPr>
        <w:t>145.45</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kern w:val="0"/>
          <w:sz w:val="32"/>
          <w:szCs w:val="32"/>
          <w:lang w:eastAsia="zh-CN"/>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lang w:val="en-US" w:eastAsia="zh-CN"/>
        </w:rPr>
        <w:t>145.45</w:t>
      </w:r>
      <w:r>
        <w:rPr>
          <w:rFonts w:hint="eastAsia" w:ascii="仿宋" w:hAnsi="仿宋" w:eastAsia="仿宋" w:cs="仿宋"/>
          <w:kern w:val="2"/>
          <w:sz w:val="32"/>
          <w:szCs w:val="32"/>
          <w:highlight w:val="none"/>
          <w:lang w:val="en-US" w:eastAsia="zh-CN" w:bidi="ar"/>
        </w:rPr>
        <w:t>万元，本级财政当年拨付的资金。较2021年度决算数</w:t>
      </w:r>
      <w:r>
        <w:rPr>
          <w:rFonts w:hint="eastAsia" w:ascii="仿宋" w:hAnsi="仿宋" w:eastAsia="仿宋" w:cs="仿宋"/>
          <w:sz w:val="32"/>
          <w:u w:color="auto"/>
          <w:lang w:val="en-US" w:eastAsia="zh-CN"/>
        </w:rPr>
        <w:t>增加10.21</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u w:color="auto"/>
          <w:lang w:val="en-US" w:eastAsia="zh-CN"/>
        </w:rPr>
        <w:t>增长7.55</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疫情投入增加，卫生基建项目财政拨款增加</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主要原因：本单位没有</w:t>
      </w:r>
      <w:r>
        <w:rPr>
          <w:rFonts w:hint="eastAsia" w:ascii="仿宋" w:hAnsi="仿宋" w:eastAsia="仿宋" w:cs="仿宋"/>
          <w:kern w:val="2"/>
          <w:sz w:val="32"/>
          <w:szCs w:val="32"/>
          <w:highlight w:val="none"/>
          <w:lang w:val="en-US" w:eastAsia="zh-CN" w:bidi="ar"/>
        </w:rPr>
        <w:t>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w:t>
      </w:r>
      <w:r>
        <w:rPr>
          <w:rFonts w:hint="eastAsia" w:ascii="仿宋" w:hAnsi="仿宋" w:eastAsia="仿宋" w:cs="仿宋"/>
          <w:kern w:val="2"/>
          <w:sz w:val="32"/>
          <w:szCs w:val="32"/>
          <w:highlight w:val="none"/>
          <w:lang w:val="en-US" w:eastAsia="zh-CN" w:bidi="ar"/>
        </w:rPr>
        <w:t>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0.00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0.08</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万元,为预算单位在“财政拨款收入”“事业收入”“经营收入”之外取得的收入。较2021年度决算数增加</w:t>
      </w:r>
      <w:r>
        <w:rPr>
          <w:rFonts w:hint="eastAsia" w:ascii="仿宋" w:hAnsi="仿宋" w:eastAsia="仿宋" w:cs="仿宋"/>
          <w:sz w:val="32"/>
          <w:u w:color="auto"/>
          <w:lang w:val="en-US" w:eastAsia="zh-CN"/>
        </w:rPr>
        <w:t>0.04</w:t>
      </w:r>
      <w:r>
        <w:rPr>
          <w:rFonts w:hint="eastAsia" w:ascii="仿宋" w:hAnsi="仿宋" w:eastAsia="仿宋" w:cs="仿宋"/>
          <w:kern w:val="2"/>
          <w:sz w:val="32"/>
          <w:szCs w:val="32"/>
          <w:highlight w:val="none"/>
          <w:lang w:val="en-US" w:eastAsia="zh-CN" w:bidi="ar"/>
        </w:rPr>
        <w:t>万元，上涨50%。</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0.00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lang w:val="en-US" w:eastAsia="zh-CN"/>
        </w:rPr>
        <w:t>145.47</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145.47</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highlight w:val="none"/>
          <w:lang w:val="en-US" w:eastAsia="zh-CN"/>
        </w:rPr>
        <w:t>增加</w:t>
      </w:r>
      <w:r>
        <w:rPr>
          <w:rFonts w:hint="eastAsia" w:ascii="仿宋" w:hAnsi="仿宋" w:eastAsia="仿宋" w:cs="仿宋"/>
          <w:sz w:val="32"/>
          <w:u w:color="auto"/>
          <w:lang w:val="en-US" w:eastAsia="zh-CN"/>
        </w:rPr>
        <w:t>2.43</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上涨1.7</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bidi="ar"/>
        </w:rPr>
      </w:pPr>
      <w:r>
        <w:rPr>
          <w:rFonts w:hint="eastAsia" w:ascii="仿宋" w:hAnsi="仿宋" w:eastAsia="仿宋" w:cs="仿宋"/>
          <w:sz w:val="32"/>
          <w:u w:color="auto"/>
          <w:lang w:val="en-US" w:eastAsia="zh-CN"/>
        </w:rPr>
        <w:t>1</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10.99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单位养老等其他社保支出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bidi="ar"/>
        </w:rPr>
        <w:t xml:space="preserve">无变化。          </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u w:color="auto"/>
          <w:lang w:val="en-US" w:eastAsia="zh-CN"/>
        </w:rPr>
        <w:t>2</w:t>
      </w:r>
      <w:r>
        <w:rPr>
          <w:rFonts w:ascii="仿宋" w:hAnsi="仿宋" w:eastAsia="仿宋" w:cs="仿宋"/>
          <w:sz w:val="32"/>
          <w:u w:color="auto"/>
        </w:rPr>
        <w:t>.</w:t>
      </w:r>
      <w:r>
        <w:rPr>
          <w:rFonts w:hint="eastAsia" w:ascii="仿宋" w:hAnsi="仿宋" w:eastAsia="仿宋" w:cs="仿宋"/>
          <w:sz w:val="32"/>
          <w:szCs w:val="32"/>
          <w:highlight w:val="none"/>
          <w:lang w:bidi="ar"/>
        </w:rPr>
        <w:t>卫生健康支出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210</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109.22</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eastAsia="仿宋_GB2312" w:cs="仿宋_GB2312"/>
          <w:kern w:val="0"/>
          <w:sz w:val="32"/>
          <w:szCs w:val="32"/>
        </w:rPr>
        <w:t>一是医疗卫生机构按国家规定发放的在职人员工资津补贴及离退休人员工</w:t>
      </w:r>
      <w:r>
        <w:rPr>
          <w:rFonts w:hint="eastAsia" w:ascii="仿宋_GB2312" w:eastAsia="仿宋_GB2312" w:cs="仿宋_GB2312"/>
          <w:kern w:val="0"/>
          <w:sz w:val="32"/>
          <w:szCs w:val="32"/>
          <w:lang w:eastAsia="zh-CN"/>
        </w:rPr>
        <w:t>资</w:t>
      </w:r>
      <w:r>
        <w:rPr>
          <w:rFonts w:hint="eastAsia" w:ascii="仿宋_GB2312" w:eastAsia="仿宋_GB2312" w:cs="仿宋_GB2312"/>
          <w:kern w:val="0"/>
          <w:sz w:val="32"/>
          <w:szCs w:val="32"/>
        </w:rPr>
        <w:t>方面的支出；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rPr>
        <w:t>增加</w:t>
      </w:r>
      <w:r>
        <w:rPr>
          <w:rFonts w:hint="eastAsia" w:ascii="仿宋" w:hAnsi="仿宋" w:eastAsia="仿宋" w:cs="仿宋"/>
          <w:sz w:val="32"/>
          <w:szCs w:val="32"/>
          <w:highlight w:val="none"/>
          <w:lang w:val="en-US" w:eastAsia="zh-CN" w:bidi="ar"/>
        </w:rPr>
        <w:t>14.26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上涨</w:t>
      </w:r>
      <w:r>
        <w:rPr>
          <w:rFonts w:hint="eastAsia" w:ascii="仿宋" w:hAnsi="仿宋" w:eastAsia="仿宋" w:cs="仿宋"/>
          <w:sz w:val="32"/>
          <w:szCs w:val="32"/>
          <w:highlight w:val="none"/>
          <w:lang w:val="en-US" w:eastAsia="zh-CN" w:bidi="ar"/>
        </w:rPr>
        <w:t>15</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lang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rPr>
      </w:pPr>
      <w:r>
        <w:rPr>
          <w:rFonts w:hint="eastAsia" w:ascii="仿宋" w:hAnsi="仿宋" w:eastAsia="仿宋" w:cs="仿宋"/>
          <w:sz w:val="32"/>
          <w:u w:color="auto"/>
          <w:lang w:val="en-US" w:eastAsia="zh-CN"/>
        </w:rPr>
        <w:t>3</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8.25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住房改革支出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bidi="ar"/>
        </w:rPr>
        <w:t>增加0.01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上涨</w:t>
      </w:r>
      <w:r>
        <w:rPr>
          <w:rFonts w:hint="eastAsia" w:ascii="仿宋" w:hAnsi="仿宋" w:eastAsia="仿宋" w:cs="仿宋"/>
          <w:sz w:val="32"/>
          <w:szCs w:val="32"/>
          <w:highlight w:val="none"/>
          <w:lang w:val="en-US" w:eastAsia="zh-CN" w:bidi="ar"/>
        </w:rPr>
        <w:t>0.12</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bidi="ar"/>
        </w:rPr>
      </w:pPr>
      <w:r>
        <w:rPr>
          <w:rFonts w:hint="eastAsia" w:ascii="仿宋" w:hAnsi="仿宋" w:eastAsia="仿宋" w:cs="仿宋"/>
          <w:sz w:val="32"/>
          <w:szCs w:val="32"/>
          <w:highlight w:val="none"/>
          <w:lang w:val="en-US" w:eastAsia="zh-CN"/>
        </w:rPr>
        <w:t>4.</w:t>
      </w:r>
      <w:r>
        <w:rPr>
          <w:rFonts w:hint="eastAsia" w:ascii="仿宋_GB2312" w:eastAsia="仿宋_GB2312" w:cs="仿宋_GB2312"/>
          <w:kern w:val="0"/>
          <w:sz w:val="32"/>
          <w:szCs w:val="32"/>
          <w:lang w:val="en-US" w:eastAsia="zh-CN"/>
        </w:rPr>
        <w:t>其他支出17.01万元，</w:t>
      </w:r>
      <w:r>
        <w:rPr>
          <w:rFonts w:hint="eastAsia" w:ascii="仿宋_GB2312" w:eastAsia="仿宋_GB2312" w:cs="仿宋_GB2312"/>
          <w:kern w:val="0"/>
          <w:sz w:val="32"/>
          <w:szCs w:val="32"/>
        </w:rPr>
        <w:t>主要是政府绩效考评奖支出</w:t>
      </w:r>
    </w:p>
    <w:p>
      <w:pPr>
        <w:keepNext w:val="0"/>
        <w:keepLines w:val="0"/>
        <w:widowControl w:val="0"/>
        <w:suppressLineNumbers w:val="0"/>
        <w:spacing w:before="0" w:beforeAutospacing="0" w:after="0" w:afterAutospacing="0"/>
        <w:ind w:left="0" w:right="0" w:firstLine="620" w:firstLineChars="200"/>
        <w:jc w:val="left"/>
        <w:rPr>
          <w:rFonts w:hint="default" w:ascii="仿宋" w:hAnsi="仿宋" w:eastAsia="仿宋" w:cs="仿宋"/>
          <w:sz w:val="32"/>
          <w:szCs w:val="32"/>
          <w:highlight w:val="none"/>
          <w:lang w:val="en-US" w:eastAsia="zh-CN"/>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w:t>
      </w:r>
    </w:p>
    <w:p>
      <w:pPr>
        <w:keepNext w:val="0"/>
        <w:keepLines w:val="0"/>
        <w:widowControl w:val="0"/>
        <w:suppressLineNumbers w:val="0"/>
        <w:spacing w:before="0" w:beforeAutospacing="0" w:after="0" w:afterAutospacing="0"/>
        <w:ind w:left="0" w:right="0" w:firstLine="620" w:firstLineChars="200"/>
        <w:jc w:val="left"/>
        <w:rPr>
          <w:rFonts w:hint="default" w:ascii="仿宋" w:hAnsi="仿宋" w:eastAsia="仿宋_GB2312" w:cs="仿宋"/>
          <w:sz w:val="32"/>
          <w:szCs w:val="32"/>
          <w:highlight w:val="none"/>
          <w:lang w:val="en-US"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auto"/>
          <w:kern w:val="2"/>
          <w:sz w:val="32"/>
          <w:szCs w:val="32"/>
          <w:highlight w:val="none"/>
          <w:lang w:val="en-US" w:eastAsia="zh-CN" w:bidi="ar"/>
        </w:rPr>
        <w:t>本单位没有财政拨款结余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sz w:val="32"/>
          <w:szCs w:val="32"/>
          <w:highlight w:val="none"/>
        </w:rPr>
        <w:t>年末结转和结余</w:t>
      </w:r>
      <w:r>
        <w:rPr>
          <w:rFonts w:hint="eastAsia" w:ascii="仿宋" w:hAnsi="仿宋" w:eastAsia="仿宋" w:cs="仿宋"/>
          <w:sz w:val="32"/>
          <w:u w:color="auto"/>
          <w:lang w:val="en-US" w:eastAsia="zh-CN"/>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0.00</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0.00</w:t>
      </w:r>
      <w:r>
        <w:rPr>
          <w:rFonts w:ascii="仿宋" w:hAnsi="仿宋" w:eastAsia="仿宋" w:cs="仿宋"/>
          <w:sz w:val="32"/>
          <w:u w:color="auto"/>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both"/>
        <w:rPr>
          <w:rFonts w:ascii="仿宋" w:hAnsi="仿宋" w:eastAsia="仿宋" w:cs="仿宋"/>
          <w:sz w:val="32"/>
          <w:szCs w:val="32"/>
          <w:highlight w:val="none"/>
        </w:r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卫生监督所</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145.45</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增加2.41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增加</w:t>
      </w:r>
      <w:r>
        <w:rPr>
          <w:rFonts w:hint="eastAsia" w:ascii="仿宋" w:hAnsi="仿宋" w:eastAsia="仿宋" w:cs="仿宋"/>
          <w:sz w:val="32"/>
          <w:u w:color="auto"/>
          <w:lang w:val="en-US" w:eastAsia="zh-CN"/>
        </w:rPr>
        <w:t>1.7</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lang w:val="en-US" w:eastAsia="zh-CN"/>
        </w:rPr>
        <w:t>113.15</w:t>
      </w:r>
      <w:r>
        <w:rPr>
          <w:rFonts w:hint="eastAsia" w:ascii="仿宋" w:hAnsi="仿宋" w:eastAsia="仿宋" w:cs="仿宋"/>
          <w:sz w:val="32"/>
          <w:szCs w:val="32"/>
          <w:highlight w:val="none"/>
        </w:rPr>
        <w:t>万元，项目支出</w:t>
      </w:r>
      <w:r>
        <w:rPr>
          <w:rFonts w:hint="eastAsia" w:ascii="仿宋" w:hAnsi="仿宋" w:eastAsia="仿宋" w:cs="仿宋"/>
          <w:sz w:val="32"/>
          <w:u w:color="auto"/>
          <w:lang w:val="en-US" w:eastAsia="zh-CN"/>
        </w:rPr>
        <w:t>32.30</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val="en-US" w:eastAsia="zh-CN"/>
        </w:rPr>
        <w:t>卫生监督所</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u w:color="auto"/>
          <w:lang w:val="en-US" w:eastAsia="zh-CN"/>
        </w:rPr>
        <w:t>99.59</w:t>
      </w:r>
      <w:r>
        <w:rPr>
          <w:rFonts w:hint="eastAsia" w:ascii="仿宋" w:hAnsi="仿宋" w:eastAsia="仿宋" w:cs="仿宋"/>
          <w:sz w:val="32"/>
          <w:szCs w:val="32"/>
          <w:highlight w:val="none"/>
        </w:rPr>
        <w:t>万元，支出决算为</w:t>
      </w:r>
      <w:r>
        <w:rPr>
          <w:rFonts w:hint="eastAsia" w:ascii="仿宋" w:hAnsi="仿宋" w:eastAsia="仿宋" w:cs="仿宋"/>
          <w:sz w:val="32"/>
          <w:u w:color="auto"/>
          <w:lang w:val="en-US" w:eastAsia="zh-CN"/>
        </w:rPr>
        <w:t>145.45</w:t>
      </w:r>
      <w:r>
        <w:rPr>
          <w:rFonts w:hint="eastAsia" w:ascii="仿宋" w:hAnsi="仿宋" w:eastAsia="仿宋" w:cs="仿宋"/>
          <w:sz w:val="32"/>
          <w:szCs w:val="32"/>
          <w:highlight w:val="none"/>
        </w:rPr>
        <w:t>万元，完</w:t>
      </w:r>
      <w:r>
        <w:rPr>
          <w:rFonts w:hint="eastAsia" w:ascii="仿宋_GB2312" w:hAnsi="仿宋_GB2312" w:eastAsia="仿宋_GB2312" w:cs="仿宋_GB2312"/>
          <w:bCs/>
          <w:kern w:val="0"/>
          <w:sz w:val="32"/>
          <w:szCs w:val="32"/>
          <w:lang w:val="en-US" w:eastAsia="zh-CN"/>
        </w:rPr>
        <w:t>超过</w:t>
      </w:r>
      <w:r>
        <w:rPr>
          <w:rFonts w:hint="eastAsia" w:ascii="仿宋_GB2312" w:hAnsi="仿宋_GB2312" w:eastAsia="仿宋_GB2312" w:cs="仿宋_GB2312"/>
          <w:bCs/>
          <w:kern w:val="0"/>
          <w:sz w:val="32"/>
          <w:szCs w:val="32"/>
        </w:rPr>
        <w:t>年初预算的</w:t>
      </w:r>
      <w:r>
        <w:rPr>
          <w:rFonts w:hint="eastAsia" w:ascii="仿宋_GB2312" w:hAnsi="仿宋_GB2312" w:eastAsia="仿宋_GB2312" w:cs="仿宋_GB2312"/>
          <w:bCs/>
          <w:kern w:val="0"/>
          <w:sz w:val="32"/>
          <w:szCs w:val="32"/>
          <w:lang w:val="en-US" w:eastAsia="zh-CN"/>
        </w:rPr>
        <w:t>146</w:t>
      </w:r>
      <w:r>
        <w:rPr>
          <w:rFonts w:hint="eastAsia" w:ascii="仿宋_GB2312" w:hAnsi="仿宋_GB2312" w:eastAsia="仿宋_GB2312" w:cs="仿宋_GB2312"/>
          <w:bCs/>
          <w:kern w:val="0"/>
          <w:sz w:val="32"/>
          <w:szCs w:val="32"/>
        </w:rPr>
        <w:t>%</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11.13</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10.99</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99</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原因是：年初养老基数调减</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208</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11.13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10.99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养老等社保支出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FF0000"/>
                <w:sz w:val="18"/>
                <w:szCs w:val="18"/>
                <w:highlight w:val="none"/>
                <w:lang w:val="en-US" w:eastAsia="zh-CN"/>
              </w:rPr>
            </w:pPr>
            <w:r>
              <w:rPr>
                <w:rFonts w:hint="eastAsia" w:ascii="仿宋" w:hAnsi="仿宋" w:eastAsia="仿宋"/>
                <w:color w:val="000000" w:themeColor="text1"/>
                <w:sz w:val="18"/>
                <w:szCs w:val="18"/>
                <w:highlight w:val="none"/>
                <w:lang w:val="en-US" w:eastAsia="zh-CN"/>
                <w14:textFill>
                  <w14:solidFill>
                    <w14:schemeClr w14:val="tx1"/>
                  </w14:solidFill>
                </w14:textFill>
              </w:rPr>
              <w:t>年初养老基数调减</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11.13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10.99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养老等社保支出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FF0000"/>
                <w:sz w:val="18"/>
                <w:szCs w:val="18"/>
                <w:highlight w:val="none"/>
                <w:lang w:val="en-US" w:eastAsia="zh-CN"/>
              </w:rPr>
            </w:pPr>
            <w:r>
              <w:rPr>
                <w:rFonts w:hint="eastAsia" w:ascii="仿宋" w:hAnsi="仿宋" w:eastAsia="仿宋"/>
                <w:color w:val="000000" w:themeColor="text1"/>
                <w:sz w:val="18"/>
                <w:szCs w:val="18"/>
                <w:highlight w:val="none"/>
                <w:lang w:val="en-US" w:eastAsia="zh-CN"/>
                <w14:textFill>
                  <w14:solidFill>
                    <w14:schemeClr w14:val="tx1"/>
                  </w14:solidFill>
                </w14:textFill>
              </w:rPr>
              <w:t>年初养老基数调减</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18"/>
                <w:szCs w:val="18"/>
                <w:highlight w:val="none"/>
                <w:u w:val="none"/>
                <w:lang w:val="en-US" w:eastAsia="zh-CN" w:bidi="ar-SA"/>
              </w:rPr>
            </w:pP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p>
        </w:tc>
      </w:tr>
    </w:tbl>
    <w:p>
      <w:pPr>
        <w:jc w:val="both"/>
        <w:rPr>
          <w:rFonts w:ascii="仿宋" w:hAnsi="仿宋" w:eastAsia="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卫生健康支出</w:t>
      </w:r>
      <w:r>
        <w:rPr>
          <w:rFonts w:ascii="仿宋" w:hAnsi="仿宋" w:eastAsia="仿宋"/>
          <w:sz w:val="32"/>
          <w:u w:color="auto"/>
        </w:rPr>
        <w:t>（210</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78.72</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109.22</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139</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决算支出包含上级专项支出，年初无上级专项预算。</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2100402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 xml:space="preserve">  卫生监督机构</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78.72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95.02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99.75%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员经费及日常公用经费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auto"/>
                <w:sz w:val="18"/>
                <w:szCs w:val="18"/>
                <w:highlight w:val="none"/>
                <w:lang w:val="en-US" w:eastAsia="zh-CN"/>
              </w:rPr>
            </w:pPr>
            <w:r>
              <w:rPr>
                <w:rFonts w:hint="eastAsia" w:ascii="仿宋" w:hAnsi="仿宋" w:eastAsia="仿宋" w:cs="仿宋"/>
                <w:color w:val="auto"/>
                <w:kern w:val="2"/>
                <w:sz w:val="18"/>
                <w:szCs w:val="18"/>
                <w:highlight w:val="none"/>
                <w:lang w:val="en-US" w:eastAsia="zh-CN" w:bidi="ar"/>
              </w:rPr>
              <w:t>决算支出包含上级专项支出，年初无上级专项预算</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2100408</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 xml:space="preserve">  基本公共卫生服务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11.20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国家双随机项目经费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auto"/>
                <w:highlight w:val="none"/>
                <w:lang w:val="en-US" w:eastAsia="zh-CN"/>
              </w:rPr>
            </w:pPr>
            <w:r>
              <w:rPr>
                <w:rFonts w:hint="eastAsia" w:ascii="仿宋" w:hAnsi="仿宋" w:eastAsia="仿宋" w:cs="仿宋"/>
                <w:color w:val="auto"/>
                <w:kern w:val="2"/>
                <w:sz w:val="18"/>
                <w:szCs w:val="18"/>
                <w:highlight w:val="none"/>
                <w:lang w:val="en-US" w:eastAsia="zh-CN" w:bidi="ar"/>
              </w:rPr>
              <w:t>决算支出包含上级专项支出，年初无上级专项预算</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2100409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 xml:space="preserve">  重大公共卫生服务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水质、食品等安全监测经费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auto"/>
                <w:highlight w:val="none"/>
                <w:lang w:val="en-US" w:eastAsia="zh-CN"/>
              </w:rPr>
            </w:pPr>
            <w:r>
              <w:rPr>
                <w:rFonts w:hint="eastAsia" w:ascii="仿宋" w:hAnsi="仿宋" w:eastAsia="仿宋" w:cs="仿宋"/>
                <w:color w:val="auto"/>
                <w:kern w:val="2"/>
                <w:sz w:val="18"/>
                <w:szCs w:val="18"/>
                <w:highlight w:val="none"/>
                <w:lang w:val="en-US" w:eastAsia="zh-CN" w:bidi="ar"/>
              </w:rPr>
              <w:t>决算支出包含上级专项支出，年初无上级专项预算</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78.72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109.22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各类卫生项目支出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auto"/>
                <w:sz w:val="18"/>
                <w:szCs w:val="18"/>
                <w:highlight w:val="none"/>
                <w:lang w:val="en-US" w:eastAsia="zh-CN"/>
              </w:rPr>
            </w:pPr>
            <w:r>
              <w:rPr>
                <w:rFonts w:hint="eastAsia" w:ascii="仿宋" w:hAnsi="仿宋" w:eastAsia="仿宋" w:cs="仿宋"/>
                <w:color w:val="auto"/>
                <w:kern w:val="2"/>
                <w:sz w:val="18"/>
                <w:szCs w:val="18"/>
                <w:highlight w:val="none"/>
                <w:lang w:val="en-US" w:eastAsia="zh-CN" w:bidi="ar"/>
              </w:rPr>
              <w:t>决算支出包含上级专项支出，年初无上级专项预算</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8.35</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8.25</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99</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auto"/>
          <w:sz w:val="32"/>
          <w:szCs w:val="32"/>
          <w:highlight w:val="none"/>
          <w:lang w:val="en-US" w:eastAsia="zh-CN"/>
        </w:rPr>
        <w:t>年初公积金基数调减</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8.35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8.25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支付在职人员住房公积金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olor w:val="auto"/>
                <w:sz w:val="18"/>
                <w:szCs w:val="18"/>
                <w:highlight w:val="none"/>
                <w:lang w:val="en-US" w:eastAsia="zh-CN"/>
              </w:rPr>
              <w:t>年初公积金基数调减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8.35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8.25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支付在职人员住房公积金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olor w:val="auto"/>
                <w:sz w:val="18"/>
                <w:szCs w:val="18"/>
                <w:highlight w:val="none"/>
                <w:lang w:val="en-US" w:eastAsia="zh-CN"/>
              </w:rPr>
              <w:t>年初公积金基数调减</w:t>
            </w:r>
          </w:p>
        </w:tc>
      </w:tr>
    </w:tbl>
    <w:p>
      <w:pPr>
        <w:jc w:val="left"/>
        <w:rPr>
          <w:rFonts w:hint="eastAsia" w:ascii="仿宋" w:hAnsi="仿宋" w:eastAsia="仿宋"/>
          <w:sz w:val="32"/>
          <w:szCs w:val="32"/>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监督所</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113.16</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110.75</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2.41</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autoSpaceDE w:val="0"/>
        <w:autoSpaceDN w:val="0"/>
        <w:adjustRightInd w:val="0"/>
        <w:spacing w:line="600" w:lineRule="exact"/>
        <w:ind w:firstLine="640" w:firstLineChars="200"/>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一</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108.69</w:t>
      </w:r>
      <w:r>
        <w:rPr>
          <w:rFonts w:ascii="仿宋" w:hAnsi="仿宋" w:eastAsia="仿宋" w:cs="仿宋"/>
          <w:sz w:val="32"/>
          <w:u w:color="auto"/>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超额完成</w:t>
      </w:r>
      <w:r>
        <w:rPr>
          <w:rFonts w:hint="default" w:ascii="仿宋_GB2312" w:hAnsi="微软雅黑" w:eastAsia="仿宋_GB2312" w:cs="仿宋_GB2312"/>
          <w:i w:val="0"/>
          <w:iCs w:val="0"/>
          <w:caps w:val="0"/>
          <w:color w:val="000000"/>
          <w:spacing w:val="0"/>
          <w:sz w:val="31"/>
          <w:szCs w:val="31"/>
          <w:highlight w:val="none"/>
          <w:shd w:val="clear" w:color="auto" w:fill="FFFFFF"/>
        </w:rPr>
        <w:t>年初预算的</w:t>
      </w:r>
      <w:r>
        <w:rPr>
          <w:rFonts w:hint="eastAsia" w:ascii="仿宋" w:hAnsi="仿宋" w:eastAsia="仿宋" w:cs="仿宋"/>
          <w:sz w:val="32"/>
          <w:szCs w:val="32"/>
          <w:highlight w:val="none"/>
          <w:lang w:val="en-US" w:eastAsia="zh-CN"/>
        </w:rPr>
        <w:t>36</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bCs/>
          <w:kern w:val="0"/>
          <w:sz w:val="32"/>
          <w:szCs w:val="32"/>
          <w:lang w:eastAsia="zh-CN"/>
        </w:rPr>
        <w:t>主要是工资提高所致</w:t>
      </w:r>
      <w:r>
        <w:rPr>
          <w:rFonts w:hint="eastAsia" w:ascii="仿宋_GB2312" w:hAnsi="仿宋_GB2312" w:eastAsia="仿宋_GB2312" w:cs="仿宋_GB2312"/>
          <w:bCs/>
          <w:kern w:val="0"/>
          <w:sz w:val="32"/>
          <w:szCs w:val="32"/>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34.32万元，30102津贴补贴22.47万元，30103奖金0.00万元，30106伙食补助费1.2万元，30107绩效工资25.86万元，30108机关事业单位基本养老保险缴费11.73万元，30110职工基本医疗保险缴费4.83万元，30111公务员医疗补助缴费0.00万元，30112其他社会保障缴费0.12万元，30113住房公积金8.25万元，30199其他工资福利支出0.00万元。</w:t>
      </w:r>
    </w:p>
    <w:p>
      <w:pPr>
        <w:autoSpaceDE w:val="0"/>
        <w:autoSpaceDN w:val="0"/>
        <w:adjustRightInd w:val="0"/>
        <w:spacing w:line="600" w:lineRule="exact"/>
        <w:ind w:firstLine="640" w:firstLineChars="200"/>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二</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2.14</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25</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 xml:space="preserve">      </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bCs/>
          <w:kern w:val="0"/>
          <w:sz w:val="32"/>
          <w:szCs w:val="32"/>
          <w:lang w:val="en-US" w:eastAsia="zh-CN"/>
        </w:rPr>
        <w:t>每年均做工会经费预算，但决算时不在本单位反应工会经费支出情况。</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0.02万元，30202印刷费0.01万元，30205水费0.04万元，30206电费0.38万元，30207邮电费0.91万元，30211差旅费0.85万元，30215会议费0.00万元，30216培训费0.00万元，30217公务接待费0.05万元，30226劳务费0.00万元，30228工会经费0.00万元，30299其他商品和服务支出0.08万元。</w:t>
      </w:r>
    </w:p>
    <w:p>
      <w:pPr>
        <w:jc w:val="center"/>
        <w:rPr>
          <w:rFonts w:hint="eastAsia" w:ascii="仿宋" w:hAnsi="仿宋" w:eastAsia="仿宋" w:cs="仿宋"/>
          <w:sz w:val="32"/>
          <w:szCs w:val="32"/>
          <w:highlight w:val="none"/>
        </w:rPr>
      </w:pPr>
    </w:p>
    <w:p>
      <w:pPr>
        <w:keepNext w:val="0"/>
        <w:keepLines w:val="0"/>
        <w:widowControl w:val="0"/>
        <w:numPr>
          <w:numId w:val="0"/>
        </w:numPr>
        <w:suppressLineNumbers w:val="0"/>
        <w:spacing w:before="0" w:beforeAutospacing="0" w:after="0" w:afterAutospacing="0"/>
        <w:ind w:right="0" w:right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三</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2.06</w:t>
      </w:r>
      <w:r>
        <w:rPr>
          <w:rFonts w:ascii="仿宋" w:hAnsi="仿宋" w:eastAsia="仿宋" w:cs="仿宋"/>
          <w:sz w:val="32"/>
          <w:u w:color="auto"/>
        </w:rPr>
        <w:t>万元，</w:t>
      </w:r>
      <w:r>
        <w:rPr>
          <w:rFonts w:hint="eastAsia" w:ascii="仿宋" w:hAnsi="仿宋" w:eastAsia="仿宋" w:cs="仿宋"/>
          <w:sz w:val="32"/>
          <w:u w:color="auto"/>
          <w:lang w:val="en-US" w:eastAsia="zh-CN"/>
        </w:rPr>
        <w:t>超额</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3%</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bCs/>
          <w:kern w:val="0"/>
          <w:sz w:val="32"/>
          <w:szCs w:val="32"/>
          <w:lang w:eastAsia="zh-CN"/>
        </w:rPr>
        <w:t>差异原因为退休人员生活补助不在年初预算反应</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30301离休费0.00万元，30302退休费0.00万元，30305生活补助2万元，30399其他对个人和家庭的补助0.07万元</w:t>
      </w:r>
    </w:p>
    <w:p>
      <w:pPr>
        <w:keepNext w:val="0"/>
        <w:keepLines w:val="0"/>
        <w:widowControl w:val="0"/>
        <w:numPr>
          <w:numId w:val="0"/>
        </w:numPr>
        <w:suppressLineNumbers w:val="0"/>
        <w:spacing w:before="0" w:beforeAutospacing="0" w:after="0" w:afterAutospacing="0"/>
        <w:ind w:right="0" w:right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四</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主要原因是：本单位本年度没有债务利息费用支出。</w:t>
      </w:r>
    </w:p>
    <w:p>
      <w:pPr>
        <w:keepNext w:val="0"/>
        <w:keepLines w:val="0"/>
        <w:widowControl w:val="0"/>
        <w:numPr>
          <w:numId w:val="0"/>
        </w:numPr>
        <w:suppressLineNumbers w:val="0"/>
        <w:spacing w:before="0" w:beforeAutospacing="0" w:after="0" w:afterAutospacing="0"/>
        <w:ind w:right="0" w:right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五</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主要原因是：本单位本年度没有资本性支出。</w:t>
      </w:r>
    </w:p>
    <w:p>
      <w:pPr>
        <w:keepNext w:val="0"/>
        <w:keepLines w:val="0"/>
        <w:widowControl w:val="0"/>
        <w:numPr>
          <w:numId w:val="0"/>
        </w:numPr>
        <w:suppressLineNumbers w:val="0"/>
        <w:spacing w:before="0" w:beforeAutospacing="0" w:after="0" w:afterAutospacing="0"/>
        <w:ind w:right="0" w:rightChars="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六</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主要原因是：本单位本年度没有其他支出。</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监督所</w:t>
      </w: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监督所</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lang w:val="en-US" w:eastAsia="zh-CN"/>
        </w:rPr>
        <w:t>监督所</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监督所</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监督所</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_GB2312" w:cs="仿宋"/>
          <w:color w:val="auto"/>
          <w:sz w:val="32"/>
          <w:szCs w:val="32"/>
          <w:highlight w:val="none"/>
          <w:lang w:eastAsia="zh-CN"/>
        </w:rPr>
      </w:pPr>
      <w:bookmarkStart w:id="4" w:name="PO_part3A5B1C1DiffReason1"/>
      <w:r>
        <w:rPr>
          <w:rFonts w:hint="eastAsia" w:ascii="仿宋_GB2312" w:hAnsi="Times New Roman" w:eastAsia="仿宋_GB2312" w:cs="Times New Roman"/>
          <w:color w:val="auto"/>
          <w:sz w:val="32"/>
          <w:szCs w:val="32"/>
          <w:lang w:val="en-US" w:eastAsia="zh-CN"/>
        </w:rPr>
        <w:t>监督所</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0.00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主要原因是：本部门没有“三公经费”支出</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bookmarkStart w:id="5" w:name="PO_part3A6B2IncReason1"/>
      <w:r>
        <w:rPr>
          <w:rFonts w:hint="eastAsia" w:ascii="仿宋" w:hAnsi="仿宋" w:eastAsia="仿宋" w:cs="仿宋"/>
          <w:color w:val="auto"/>
          <w:sz w:val="32"/>
          <w:szCs w:val="32"/>
        </w:rPr>
        <w:t>本部门无公务用车购置</w:t>
      </w:r>
      <w:bookmarkEnd w:id="5"/>
      <w:r>
        <w:rPr>
          <w:rFonts w:hint="eastAsia" w:ascii="仿宋" w:hAnsi="仿宋" w:eastAsia="仿宋" w:cs="仿宋"/>
          <w:color w:val="auto"/>
          <w:sz w:val="32"/>
          <w:szCs w:val="32"/>
          <w:lang w:eastAsia="zh-CN"/>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万元。2022年，</w:t>
      </w:r>
      <w:r>
        <w:rPr>
          <w:rFonts w:hint="eastAsia" w:ascii="仿宋" w:hAnsi="仿宋" w:eastAsia="仿宋" w:cs="仿宋"/>
          <w:sz w:val="32"/>
          <w:szCs w:val="32"/>
          <w:highlight w:val="none"/>
          <w:lang w:val="en-US" w:eastAsia="zh-CN"/>
        </w:rPr>
        <w:t>监督所</w:t>
      </w:r>
      <w:r>
        <w:rPr>
          <w:rFonts w:hint="eastAsia" w:ascii="仿宋" w:hAnsi="仿宋" w:eastAsia="仿宋" w:cs="仿宋"/>
          <w:sz w:val="32"/>
          <w:szCs w:val="32"/>
          <w:highlight w:val="none"/>
        </w:rPr>
        <w:t>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0.00</w:t>
      </w:r>
      <w:r>
        <w:rPr>
          <w:rFonts w:hint="eastAsia" w:ascii="仿宋" w:hAnsi="仿宋" w:eastAsia="仿宋" w:cs="仿宋"/>
          <w:color w:val="auto"/>
          <w:sz w:val="32"/>
          <w:szCs w:val="32"/>
          <w:highlight w:val="none"/>
        </w:rPr>
        <w:t xml:space="preserve"> 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0.00</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主要原因是：本部门没有公务接待费支出。</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减少120.7</w:t>
      </w:r>
      <w:r>
        <w:rPr>
          <w:rFonts w:hint="eastAsia" w:ascii="仿宋" w:hAnsi="仿宋" w:eastAsia="仿宋" w:cs="仿宋"/>
          <w:sz w:val="32"/>
          <w:szCs w:val="32"/>
          <w:highlight w:val="none"/>
        </w:rPr>
        <w:t>万元，</w:t>
      </w:r>
      <w:r>
        <w:rPr>
          <w:rFonts w:ascii="仿宋" w:hAnsi="仿宋" w:eastAsia="仿宋" w:cs="仿宋"/>
          <w:sz w:val="32"/>
          <w:szCs w:val="32"/>
          <w:highlight w:val="none"/>
        </w:rPr>
        <w:t>下降100%</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w:t>
      </w:r>
      <w:r>
        <w:rPr>
          <w:rFonts w:hint="eastAsia" w:ascii="仿宋" w:hAnsi="仿宋" w:eastAsia="仿宋" w:cs="仿宋"/>
          <w:color w:val="auto"/>
          <w:sz w:val="32"/>
          <w:szCs w:val="32"/>
          <w:highlight w:val="none"/>
          <w:lang w:val="en-US" w:eastAsia="zh-CN"/>
        </w:rPr>
        <w:t>本部门无机关运行经费支出。</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本部门无政府采购支出。</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keepNext w:val="0"/>
        <w:keepLines w:val="0"/>
        <w:pageBreakBefore w:val="0"/>
        <w:widowControl/>
        <w:kinsoku/>
        <w:wordWrap/>
        <w:overflowPunct/>
        <w:topLinePunct w:val="0"/>
        <w:bidi w:val="0"/>
        <w:snapToGrid/>
        <w:spacing w:line="560" w:lineRule="exact"/>
        <w:ind w:firstLine="640"/>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根据财政预算管理要求，我部门组织对</w:t>
      </w:r>
      <w:r>
        <w:rPr>
          <w:rFonts w:hint="eastAsia" w:ascii="Times New Roman" w:hAnsi="Times New Roman" w:eastAsia="仿宋_GB2312" w:cs="Times New Roman"/>
          <w:b w:val="0"/>
          <w:bCs w:val="0"/>
          <w:kern w:val="0"/>
          <w:sz w:val="32"/>
          <w:szCs w:val="32"/>
          <w:lang w:eastAsia="zh-CN"/>
        </w:rPr>
        <w:t>2022</w:t>
      </w:r>
      <w:r>
        <w:rPr>
          <w:rFonts w:hint="default" w:ascii="Times New Roman" w:hAnsi="Times New Roman" w:eastAsia="仿宋_GB2312" w:cs="Times New Roman"/>
          <w:b w:val="0"/>
          <w:bCs w:val="0"/>
          <w:kern w:val="0"/>
          <w:sz w:val="32"/>
          <w:szCs w:val="32"/>
        </w:rPr>
        <w:t>年度一般公共预算项目支出全面开展绩效自评。</w:t>
      </w:r>
    </w:p>
    <w:p>
      <w:pPr>
        <w:keepNext w:val="0"/>
        <w:keepLines w:val="0"/>
        <w:pageBreakBefore w:val="0"/>
        <w:widowControl/>
        <w:kinsoku/>
        <w:wordWrap/>
        <w:overflowPunct/>
        <w:topLinePunct w:val="0"/>
        <w:bidi w:val="0"/>
        <w:snapToGrid/>
        <w:spacing w:line="560" w:lineRule="exact"/>
        <w:ind w:firstLine="640"/>
        <w:textAlignment w:val="auto"/>
        <w:rPr>
          <w:rFonts w:hint="default"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val="0"/>
          <w:bCs w:val="0"/>
          <w:kern w:val="0"/>
          <w:sz w:val="32"/>
          <w:szCs w:val="32"/>
          <w:lang w:eastAsia="zh-CN"/>
        </w:rPr>
        <w:t>（</w:t>
      </w:r>
      <w:r>
        <w:rPr>
          <w:rFonts w:hint="eastAsia" w:ascii="Times New Roman" w:hAnsi="Times New Roman" w:eastAsia="仿宋_GB2312" w:cs="Times New Roman"/>
          <w:b w:val="0"/>
          <w:bCs w:val="0"/>
          <w:kern w:val="0"/>
          <w:sz w:val="32"/>
          <w:szCs w:val="32"/>
          <w:lang w:val="en-US" w:eastAsia="zh-CN"/>
        </w:rPr>
        <w:t>一</w:t>
      </w:r>
      <w:r>
        <w:rPr>
          <w:rFonts w:hint="eastAsia" w:ascii="Times New Roman" w:hAnsi="Times New Roman" w:eastAsia="仿宋_GB2312" w:cs="Times New Roman"/>
          <w:b w:val="0"/>
          <w:bCs w:val="0"/>
          <w:kern w:val="0"/>
          <w:sz w:val="32"/>
          <w:szCs w:val="32"/>
          <w:lang w:eastAsia="zh-CN"/>
        </w:rPr>
        <w:t>）</w:t>
      </w:r>
      <w:r>
        <w:rPr>
          <w:rFonts w:hint="eastAsia" w:ascii="Times New Roman" w:hAnsi="Times New Roman" w:eastAsia="仿宋_GB2312" w:cs="Times New Roman"/>
          <w:b w:val="0"/>
          <w:bCs w:val="0"/>
          <w:kern w:val="0"/>
          <w:sz w:val="32"/>
          <w:szCs w:val="32"/>
          <w:lang w:val="en-US" w:eastAsia="zh-CN"/>
        </w:rPr>
        <w:t>预算基本情况</w:t>
      </w:r>
    </w:p>
    <w:p>
      <w:pPr>
        <w:keepNext w:val="0"/>
        <w:keepLines w:val="0"/>
        <w:pageBreakBefore w:val="0"/>
        <w:widowControl/>
        <w:kinsoku/>
        <w:wordWrap/>
        <w:overflowPunct/>
        <w:topLinePunct w:val="0"/>
        <w:bidi w:val="0"/>
        <w:snapToGrid/>
        <w:spacing w:line="560" w:lineRule="exact"/>
        <w:ind w:firstLine="640"/>
        <w:textAlignment w:val="auto"/>
        <w:rPr>
          <w:rFonts w:hint="default" w:ascii="Times New Roman" w:hAnsi="Times New Roman" w:eastAsia="仿宋_GB2312" w:cs="Times New Roman"/>
          <w:b w:val="0"/>
          <w:bCs w:val="0"/>
          <w:kern w:val="0"/>
          <w:sz w:val="32"/>
          <w:szCs w:val="32"/>
        </w:rPr>
      </w:pPr>
      <w:r>
        <w:rPr>
          <w:rFonts w:hint="eastAsia" w:ascii="仿宋_GB2312" w:hAnsi="仿宋_GB2312" w:eastAsia="仿宋_GB2312" w:cs="仿宋_GB2312"/>
          <w:i w:val="0"/>
          <w:iCs w:val="0"/>
          <w:caps w:val="0"/>
          <w:color w:val="333333"/>
          <w:spacing w:val="0"/>
          <w:sz w:val="32"/>
          <w:szCs w:val="32"/>
        </w:rPr>
        <w:t>年初部门预算</w:t>
      </w:r>
      <w:r>
        <w:rPr>
          <w:rFonts w:hint="eastAsia" w:ascii="仿宋_GB2312" w:hAnsi="仿宋_GB2312" w:eastAsia="仿宋_GB2312" w:cs="仿宋_GB2312"/>
          <w:i w:val="0"/>
          <w:iCs w:val="0"/>
          <w:caps w:val="0"/>
          <w:color w:val="333333"/>
          <w:spacing w:val="0"/>
          <w:sz w:val="32"/>
          <w:szCs w:val="32"/>
          <w:lang w:eastAsia="zh-CN"/>
        </w:rPr>
        <w:t>安排</w:t>
      </w:r>
      <w:r>
        <w:rPr>
          <w:rFonts w:hint="eastAsia" w:ascii="仿宋_GB2312" w:hAnsi="仿宋_GB2312" w:eastAsia="仿宋_GB2312" w:cs="仿宋_GB2312"/>
          <w:i w:val="0"/>
          <w:iCs w:val="0"/>
          <w:caps w:val="0"/>
          <w:color w:val="333333"/>
          <w:spacing w:val="0"/>
          <w:sz w:val="32"/>
          <w:szCs w:val="32"/>
        </w:rPr>
        <w:t>情况</w:t>
      </w:r>
      <w:r>
        <w:rPr>
          <w:rFonts w:hint="eastAsia" w:ascii="仿宋_GB2312" w:hAnsi="仿宋_GB2312" w:eastAsia="仿宋_GB2312" w:cs="仿宋_GB2312"/>
          <w:i w:val="0"/>
          <w:iCs w:val="0"/>
          <w:caps w:val="0"/>
          <w:color w:val="333333"/>
          <w:spacing w:val="0"/>
          <w:sz w:val="32"/>
          <w:szCs w:val="32"/>
          <w:lang w:eastAsia="zh-CN"/>
        </w:rPr>
        <w:t>：预算</w:t>
      </w:r>
      <w:r>
        <w:rPr>
          <w:rFonts w:hint="eastAsia" w:ascii="仿宋_GB2312" w:hAnsi="仿宋_GB2312" w:eastAsia="仿宋_GB2312" w:cs="仿宋_GB2312"/>
          <w:i w:val="0"/>
          <w:iCs w:val="0"/>
          <w:caps w:val="0"/>
          <w:color w:val="333333"/>
          <w:spacing w:val="0"/>
          <w:sz w:val="32"/>
          <w:szCs w:val="32"/>
        </w:rPr>
        <w:t>资金全部来自一般公共预算财政拨款，年初预算</w:t>
      </w:r>
      <w:r>
        <w:rPr>
          <w:rFonts w:hint="eastAsia" w:ascii="仿宋_GB2312" w:hAnsi="仿宋_GB2312" w:eastAsia="仿宋_GB2312" w:cs="仿宋_GB2312"/>
          <w:i w:val="0"/>
          <w:iCs w:val="0"/>
          <w:caps w:val="0"/>
          <w:color w:val="333333"/>
          <w:spacing w:val="0"/>
          <w:sz w:val="32"/>
          <w:szCs w:val="32"/>
          <w:lang w:eastAsia="zh-CN"/>
        </w:rPr>
        <w:t>经费</w:t>
      </w:r>
      <w:r>
        <w:rPr>
          <w:rFonts w:hint="eastAsia" w:ascii="仿宋_GB2312" w:hAnsi="仿宋_GB2312" w:eastAsia="仿宋_GB2312" w:cs="仿宋_GB2312"/>
          <w:i w:val="0"/>
          <w:iCs w:val="0"/>
          <w:caps w:val="0"/>
          <w:color w:val="333333"/>
          <w:spacing w:val="0"/>
          <w:sz w:val="32"/>
          <w:szCs w:val="32"/>
          <w:lang w:val="en-US" w:eastAsia="zh-CN"/>
        </w:rPr>
        <w:t>99.59</w:t>
      </w:r>
      <w:r>
        <w:rPr>
          <w:rFonts w:hint="eastAsia" w:ascii="仿宋_GB2312" w:hAnsi="仿宋_GB2312" w:eastAsia="仿宋_GB2312" w:cs="仿宋_GB2312"/>
          <w:i w:val="0"/>
          <w:iCs w:val="0"/>
          <w:caps w:val="0"/>
          <w:color w:val="333333"/>
          <w:spacing w:val="0"/>
          <w:sz w:val="32"/>
          <w:szCs w:val="32"/>
        </w:rPr>
        <w:t>万元</w:t>
      </w:r>
      <w:r>
        <w:rPr>
          <w:rFonts w:hint="eastAsia" w:ascii="仿宋_GB2312" w:hAnsi="仿宋_GB2312" w:eastAsia="仿宋_GB2312" w:cs="仿宋_GB2312"/>
          <w:i w:val="0"/>
          <w:iCs w:val="0"/>
          <w:caps w:val="0"/>
          <w:color w:val="333333"/>
          <w:spacing w:val="0"/>
          <w:sz w:val="32"/>
          <w:szCs w:val="32"/>
          <w:lang w:eastAsia="zh-CN"/>
        </w:rPr>
        <w:t>，其中：</w:t>
      </w:r>
      <w:r>
        <w:rPr>
          <w:rFonts w:hint="eastAsia" w:ascii="仿宋_GB2312" w:hAnsi="仿宋_GB2312" w:eastAsia="仿宋_GB2312" w:cs="仿宋_GB2312"/>
          <w:i w:val="0"/>
          <w:iCs w:val="0"/>
          <w:caps w:val="0"/>
          <w:color w:val="333333"/>
          <w:spacing w:val="0"/>
          <w:sz w:val="32"/>
          <w:szCs w:val="32"/>
        </w:rPr>
        <w:t>基本支出</w:t>
      </w:r>
      <w:r>
        <w:rPr>
          <w:rFonts w:hint="eastAsia" w:ascii="仿宋_GB2312" w:hAnsi="仿宋_GB2312" w:eastAsia="仿宋_GB2312" w:cs="仿宋_GB2312"/>
          <w:i w:val="0"/>
          <w:iCs w:val="0"/>
          <w:caps w:val="0"/>
          <w:color w:val="333333"/>
          <w:spacing w:val="0"/>
          <w:sz w:val="32"/>
          <w:szCs w:val="32"/>
          <w:lang w:val="en-US" w:eastAsia="zh-CN"/>
        </w:rPr>
        <w:t>91.59</w:t>
      </w:r>
      <w:r>
        <w:rPr>
          <w:rFonts w:hint="eastAsia" w:ascii="仿宋_GB2312" w:hAnsi="仿宋_GB2312" w:eastAsia="仿宋_GB2312" w:cs="仿宋_GB2312"/>
          <w:i w:val="0"/>
          <w:iCs w:val="0"/>
          <w:caps w:val="0"/>
          <w:color w:val="333333"/>
          <w:spacing w:val="0"/>
          <w:sz w:val="32"/>
          <w:szCs w:val="32"/>
        </w:rPr>
        <w:t>万元</w:t>
      </w:r>
      <w:r>
        <w:rPr>
          <w:rFonts w:hint="eastAsia" w:ascii="仿宋_GB2312" w:hAnsi="仿宋_GB2312" w:eastAsia="仿宋_GB2312" w:cs="仿宋_GB2312"/>
          <w:i w:val="0"/>
          <w:iCs w:val="0"/>
          <w:caps w:val="0"/>
          <w:color w:val="333333"/>
          <w:spacing w:val="0"/>
          <w:sz w:val="32"/>
          <w:szCs w:val="32"/>
          <w:lang w:eastAsia="zh-CN"/>
        </w:rPr>
        <w:t>，项目支出</w:t>
      </w:r>
      <w:r>
        <w:rPr>
          <w:rFonts w:hint="eastAsia" w:ascii="仿宋_GB2312" w:hAnsi="仿宋_GB2312" w:eastAsia="仿宋_GB2312" w:cs="仿宋_GB2312"/>
          <w:i w:val="0"/>
          <w:iCs w:val="0"/>
          <w:caps w:val="0"/>
          <w:color w:val="333333"/>
          <w:spacing w:val="0"/>
          <w:sz w:val="32"/>
          <w:szCs w:val="32"/>
          <w:lang w:val="en-US" w:eastAsia="zh-CN"/>
        </w:rPr>
        <w:t>8万元</w:t>
      </w:r>
      <w:r>
        <w:rPr>
          <w:rFonts w:hint="eastAsia" w:ascii="仿宋_GB2312" w:hAnsi="仿宋_GB2312" w:eastAsia="仿宋_GB2312" w:cs="仿宋_GB2312"/>
          <w:i w:val="0"/>
          <w:iCs w:val="0"/>
          <w:caps w:val="0"/>
          <w:color w:val="333333"/>
          <w:spacing w:val="0"/>
          <w:sz w:val="32"/>
          <w:szCs w:val="32"/>
        </w:rPr>
        <w:t>）</w:t>
      </w:r>
      <w:r>
        <w:rPr>
          <w:rFonts w:hint="default" w:ascii="Times New Roman" w:hAnsi="Times New Roman" w:eastAsia="仿宋_GB2312" w:cs="Times New Roman"/>
          <w:b w:val="0"/>
          <w:bCs w:val="0"/>
          <w:kern w:val="0"/>
          <w:sz w:val="32"/>
          <w:szCs w:val="32"/>
        </w:rPr>
        <w:t>，</w:t>
      </w:r>
    </w:p>
    <w:p>
      <w:pPr>
        <w:keepNext w:val="0"/>
        <w:keepLines w:val="0"/>
        <w:pageBreakBefore w:val="0"/>
        <w:widowControl/>
        <w:kinsoku/>
        <w:wordWrap/>
        <w:overflowPunct/>
        <w:topLinePunct w:val="0"/>
        <w:bidi w:val="0"/>
        <w:snapToGrid/>
        <w:spacing w:line="560" w:lineRule="exact"/>
        <w:ind w:firstLine="640"/>
        <w:textAlignment w:val="auto"/>
        <w:rPr>
          <w:rFonts w:hint="default" w:ascii="Times New Roman" w:hAnsi="Times New Roman" w:eastAsia="仿宋_GB2312" w:cs="Times New Roman"/>
          <w:b w:val="0"/>
          <w:bCs w:val="0"/>
          <w:kern w:val="0"/>
          <w:sz w:val="32"/>
          <w:szCs w:val="32"/>
          <w:lang w:val="en-US" w:eastAsia="zh-CN"/>
        </w:rPr>
      </w:pPr>
      <w:r>
        <w:rPr>
          <w:rFonts w:hint="eastAsia" w:ascii="Times New Roman" w:hAnsi="Times New Roman" w:eastAsia="仿宋_GB2312" w:cs="Times New Roman"/>
          <w:b w:val="0"/>
          <w:bCs w:val="0"/>
          <w:kern w:val="0"/>
          <w:sz w:val="32"/>
          <w:szCs w:val="32"/>
          <w:lang w:val="en-US" w:eastAsia="zh-CN"/>
        </w:rPr>
        <w:t>（二）项目支出执行情况</w:t>
      </w:r>
    </w:p>
    <w:p>
      <w:pPr>
        <w:keepNext w:val="0"/>
        <w:keepLines w:val="0"/>
        <w:pageBreakBefore w:val="0"/>
        <w:widowControl/>
        <w:kinsoku/>
        <w:wordWrap/>
        <w:overflowPunct/>
        <w:topLinePunct w:val="0"/>
        <w:bidi w:val="0"/>
        <w:snapToGrid/>
        <w:spacing w:line="560" w:lineRule="exact"/>
        <w:ind w:firstLine="640"/>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 xml:space="preserve">一级项目 </w:t>
      </w:r>
      <w:r>
        <w:rPr>
          <w:rFonts w:hint="eastAsia" w:ascii="Times New Roman" w:hAnsi="Times New Roman" w:eastAsia="仿宋_GB2312" w:cs="Times New Roman"/>
          <w:b w:val="0"/>
          <w:bCs w:val="0"/>
          <w:kern w:val="0"/>
          <w:sz w:val="32"/>
          <w:szCs w:val="32"/>
          <w:lang w:val="en-US" w:eastAsia="zh-CN"/>
        </w:rPr>
        <w:t>4</w:t>
      </w:r>
      <w:r>
        <w:rPr>
          <w:rFonts w:hint="default" w:ascii="Times New Roman" w:hAnsi="Times New Roman" w:eastAsia="仿宋_GB2312" w:cs="Times New Roman"/>
          <w:b w:val="0"/>
          <w:bCs w:val="0"/>
          <w:kern w:val="0"/>
          <w:sz w:val="32"/>
          <w:szCs w:val="32"/>
        </w:rPr>
        <w:t xml:space="preserve"> 个，二级项目 </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 xml:space="preserve"> 个，共涉及资金</w:t>
      </w:r>
      <w:r>
        <w:rPr>
          <w:rFonts w:hint="eastAsia" w:ascii="仿宋_GB2312" w:hAnsi="仿宋_GB2312" w:eastAsia="仿宋_GB2312" w:cs="仿宋_GB2312"/>
          <w:sz w:val="32"/>
          <w:szCs w:val="32"/>
          <w:lang w:eastAsia="zh-CN"/>
        </w:rPr>
        <w:t>年初</w:t>
      </w:r>
      <w:r>
        <w:rPr>
          <w:rFonts w:hint="eastAsia" w:ascii="仿宋_GB2312" w:hAnsi="仿宋_GB2312" w:eastAsia="仿宋_GB2312" w:cs="仿宋_GB2312"/>
          <w:sz w:val="32"/>
          <w:szCs w:val="32"/>
          <w:lang w:val="en-US" w:eastAsia="zh-CN"/>
        </w:rPr>
        <w:t>预算8万元</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年中预算</w:t>
      </w:r>
      <w:r>
        <w:rPr>
          <w:rFonts w:hint="eastAsia" w:ascii="仿宋_GB2312" w:hAnsi="仿宋_GB2312" w:eastAsia="仿宋_GB2312" w:cs="仿宋_GB2312"/>
          <w:i w:val="0"/>
          <w:iCs w:val="0"/>
          <w:caps w:val="0"/>
          <w:color w:val="333333"/>
          <w:spacing w:val="0"/>
          <w:sz w:val="32"/>
          <w:szCs w:val="32"/>
          <w:lang w:eastAsia="zh-CN"/>
        </w:rPr>
        <w:t>调整数</w:t>
      </w:r>
      <w:r>
        <w:rPr>
          <w:rFonts w:hint="eastAsia" w:ascii="仿宋_GB2312" w:hAnsi="仿宋_GB2312" w:eastAsia="仿宋_GB2312" w:cs="仿宋_GB2312"/>
          <w:i w:val="0"/>
          <w:iCs w:val="0"/>
          <w:caps w:val="0"/>
          <w:color w:val="auto"/>
          <w:spacing w:val="0"/>
          <w:sz w:val="32"/>
          <w:szCs w:val="32"/>
          <w:lang w:val="en-US" w:eastAsia="zh-CN"/>
        </w:rPr>
        <w:t>8.45</w:t>
      </w:r>
      <w:r>
        <w:rPr>
          <w:rFonts w:hint="eastAsia" w:ascii="仿宋_GB2312" w:hAnsi="仿宋_GB2312" w:eastAsia="仿宋_GB2312" w:cs="仿宋_GB2312"/>
          <w:i w:val="0"/>
          <w:iCs w:val="0"/>
          <w:caps w:val="0"/>
          <w:color w:val="auto"/>
          <w:spacing w:val="0"/>
          <w:sz w:val="32"/>
          <w:szCs w:val="32"/>
        </w:rPr>
        <w:t>万元</w:t>
      </w:r>
      <w:r>
        <w:rPr>
          <w:rFonts w:hint="eastAsia" w:ascii="仿宋_GB2312" w:hAnsi="仿宋_GB2312" w:eastAsia="仿宋_GB2312" w:cs="仿宋_GB2312"/>
          <w:i w:val="0"/>
          <w:iCs w:val="0"/>
          <w:caps w:val="0"/>
          <w:color w:val="auto"/>
          <w:spacing w:val="0"/>
          <w:sz w:val="32"/>
          <w:szCs w:val="32"/>
          <w:lang w:eastAsia="zh-CN"/>
        </w:rPr>
        <w:t>，调整后预算数</w:t>
      </w:r>
      <w:r>
        <w:rPr>
          <w:rFonts w:hint="eastAsia" w:ascii="仿宋_GB2312" w:hAnsi="仿宋_GB2312" w:eastAsia="仿宋_GB2312" w:cs="仿宋_GB2312"/>
          <w:i w:val="0"/>
          <w:iCs w:val="0"/>
          <w:caps w:val="0"/>
          <w:color w:val="auto"/>
          <w:spacing w:val="0"/>
          <w:sz w:val="32"/>
          <w:szCs w:val="32"/>
          <w:lang w:val="en-US" w:eastAsia="zh-CN"/>
        </w:rPr>
        <w:t>16.45万元，全年执行数16.45</w:t>
      </w:r>
      <w:r>
        <w:rPr>
          <w:rFonts w:hint="eastAsia" w:ascii="仿宋_GB2312" w:hAnsi="仿宋_GB2312" w:eastAsia="仿宋_GB2312" w:cs="仿宋_GB2312"/>
          <w:i w:val="0"/>
          <w:iCs w:val="0"/>
          <w:caps w:val="0"/>
          <w:color w:val="333333"/>
          <w:spacing w:val="0"/>
          <w:sz w:val="32"/>
          <w:szCs w:val="32"/>
          <w:lang w:val="en-US" w:eastAsia="zh-CN"/>
        </w:rPr>
        <w:t>万元，平均预算执行率100%</w:t>
      </w:r>
      <w:r>
        <w:rPr>
          <w:rFonts w:hint="default" w:ascii="Times New Roman" w:hAnsi="Times New Roman" w:eastAsia="仿宋_GB2312" w:cs="Times New Roman"/>
          <w:b w:val="0"/>
          <w:bCs w:val="0"/>
          <w:kern w:val="0"/>
          <w:sz w:val="32"/>
          <w:szCs w:val="32"/>
        </w:rPr>
        <w:t xml:space="preserve"> 万元，占一般公共预算项目支出总额的</w:t>
      </w:r>
      <w:r>
        <w:rPr>
          <w:rFonts w:hint="eastAsia" w:ascii="Times New Roman" w:hAnsi="Times New Roman" w:eastAsia="仿宋_GB2312" w:cs="Times New Roman"/>
          <w:b w:val="0"/>
          <w:bCs w:val="0"/>
          <w:kern w:val="0"/>
          <w:sz w:val="32"/>
          <w:szCs w:val="32"/>
          <w:lang w:val="en-US" w:eastAsia="zh-CN"/>
        </w:rPr>
        <w:t>100</w:t>
      </w:r>
      <w:r>
        <w:rPr>
          <w:rFonts w:hint="default" w:ascii="Times New Roman" w:hAnsi="Times New Roman" w:eastAsia="仿宋_GB2312" w:cs="Times New Roman"/>
          <w:b w:val="0"/>
          <w:bCs w:val="0"/>
          <w:kern w:val="0"/>
          <w:sz w:val="32"/>
          <w:szCs w:val="32"/>
        </w:rPr>
        <w:t xml:space="preserve"> %。</w:t>
      </w:r>
    </w:p>
    <w:p>
      <w:pPr>
        <w:keepNext w:val="0"/>
        <w:keepLines w:val="0"/>
        <w:pageBreakBefore w:val="0"/>
        <w:widowControl/>
        <w:kinsoku/>
        <w:wordWrap/>
        <w:overflowPunct/>
        <w:topLinePunct w:val="0"/>
        <w:bidi w:val="0"/>
        <w:snapToGrid/>
        <w:spacing w:line="560" w:lineRule="exact"/>
        <w:ind w:firstLine="640"/>
        <w:textAlignment w:val="auto"/>
        <w:rPr>
          <w:rFonts w:hint="eastAsia" w:ascii="华文仿宋" w:hAnsi="华文仿宋" w:eastAsia="华文仿宋" w:cs="华文仿宋"/>
          <w:b w:val="0"/>
          <w:bCs w:val="0"/>
          <w:kern w:val="0"/>
          <w:sz w:val="32"/>
          <w:szCs w:val="32"/>
          <w:lang w:val="en-US" w:eastAsia="zh-CN"/>
        </w:rPr>
      </w:pPr>
      <w:r>
        <w:rPr>
          <w:rFonts w:hint="eastAsia" w:ascii="华文仿宋" w:hAnsi="华文仿宋" w:eastAsia="华文仿宋" w:cs="华文仿宋"/>
          <w:b w:val="0"/>
          <w:bCs w:val="0"/>
          <w:kern w:val="0"/>
          <w:sz w:val="32"/>
          <w:szCs w:val="32"/>
          <w:lang w:val="en-US" w:eastAsia="zh-CN"/>
        </w:rPr>
        <w:t>2.</w:t>
      </w:r>
      <w:r>
        <w:rPr>
          <w:rFonts w:hint="eastAsia" w:ascii="华文仿宋" w:hAnsi="华文仿宋" w:eastAsia="华文仿宋" w:cs="华文仿宋"/>
          <w:sz w:val="32"/>
          <w:szCs w:val="32"/>
        </w:rPr>
        <w:t>自评工作开展情况</w:t>
      </w:r>
    </w:p>
    <w:p>
      <w:pPr>
        <w:keepNext w:val="0"/>
        <w:keepLines w:val="0"/>
        <w:pageBreakBefore w:val="0"/>
        <w:widowControl/>
        <w:kinsoku/>
        <w:wordWrap/>
        <w:overflowPunct/>
        <w:topLinePunct w:val="0"/>
        <w:bidi w:val="0"/>
        <w:snapToGrid/>
        <w:spacing w:line="560" w:lineRule="exact"/>
        <w:ind w:firstLine="640"/>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组织对</w:t>
      </w:r>
      <w:r>
        <w:rPr>
          <w:rFonts w:hint="eastAsia" w:ascii="Times New Roman" w:hAnsi="Times New Roman" w:eastAsia="仿宋_GB2312" w:cs="Times New Roman"/>
          <w:b w:val="0"/>
          <w:bCs w:val="0"/>
          <w:kern w:val="0"/>
          <w:sz w:val="32"/>
          <w:szCs w:val="32"/>
          <w:lang w:eastAsia="zh-CN"/>
        </w:rPr>
        <w:t>2022</w:t>
      </w:r>
      <w:r>
        <w:rPr>
          <w:rFonts w:hint="default" w:ascii="Times New Roman" w:hAnsi="Times New Roman" w:eastAsia="仿宋_GB2312" w:cs="Times New Roman"/>
          <w:b w:val="0"/>
          <w:bCs w:val="0"/>
          <w:kern w:val="0"/>
          <w:sz w:val="32"/>
          <w:szCs w:val="32"/>
        </w:rPr>
        <w:t>年度</w:t>
      </w:r>
      <w:r>
        <w:rPr>
          <w:rFonts w:hint="eastAsia" w:ascii="Times New Roman" w:hAnsi="Times New Roman" w:eastAsia="仿宋_GB2312" w:cs="Times New Roman"/>
          <w:b w:val="0"/>
          <w:bCs w:val="0"/>
          <w:kern w:val="0"/>
          <w:sz w:val="32"/>
          <w:szCs w:val="32"/>
          <w:lang w:val="en-US" w:eastAsia="zh-CN"/>
        </w:rPr>
        <w:t>公共卫生监督项目</w:t>
      </w:r>
      <w:r>
        <w:rPr>
          <w:rFonts w:hint="default" w:ascii="Times New Roman" w:hAnsi="Times New Roman" w:eastAsia="仿宋_GB2312" w:cs="Times New Roman"/>
          <w:b w:val="0"/>
          <w:bCs w:val="0"/>
          <w:kern w:val="0"/>
          <w:sz w:val="32"/>
          <w:szCs w:val="32"/>
        </w:rPr>
        <w:t xml:space="preserve">等 </w:t>
      </w:r>
      <w:r>
        <w:rPr>
          <w:rFonts w:hint="eastAsia" w:ascii="Times New Roman" w:hAnsi="Times New Roman" w:eastAsia="仿宋_GB2312" w:cs="Times New Roman"/>
          <w:b w:val="0"/>
          <w:bCs w:val="0"/>
          <w:kern w:val="0"/>
          <w:sz w:val="32"/>
          <w:szCs w:val="32"/>
          <w:lang w:val="en-US" w:eastAsia="zh-CN"/>
        </w:rPr>
        <w:t>4</w:t>
      </w:r>
      <w:r>
        <w:rPr>
          <w:rFonts w:hint="default" w:ascii="Times New Roman" w:hAnsi="Times New Roman" w:eastAsia="仿宋_GB2312" w:cs="Times New Roman"/>
          <w:b w:val="0"/>
          <w:bCs w:val="0"/>
          <w:kern w:val="0"/>
          <w:sz w:val="32"/>
          <w:szCs w:val="32"/>
        </w:rPr>
        <w:t xml:space="preserve">个政府性基金预算项目支出开展绩效自评，共涉及资金 </w:t>
      </w:r>
      <w:r>
        <w:rPr>
          <w:rFonts w:hint="eastAsia" w:ascii="Times New Roman" w:hAnsi="Times New Roman" w:eastAsia="仿宋_GB2312" w:cs="Times New Roman"/>
          <w:b w:val="0"/>
          <w:bCs w:val="0"/>
          <w:kern w:val="0"/>
          <w:sz w:val="32"/>
          <w:szCs w:val="32"/>
          <w:lang w:val="en-US" w:eastAsia="zh-CN"/>
        </w:rPr>
        <w:t>16.45</w:t>
      </w:r>
      <w:r>
        <w:rPr>
          <w:rFonts w:hint="default" w:ascii="Times New Roman" w:hAnsi="Times New Roman" w:eastAsia="仿宋_GB2312" w:cs="Times New Roman"/>
          <w:b w:val="0"/>
          <w:bCs w:val="0"/>
          <w:kern w:val="0"/>
          <w:sz w:val="32"/>
          <w:szCs w:val="32"/>
        </w:rPr>
        <w:t xml:space="preserve"> 万元，占政府性基金预算项目支出总额的</w:t>
      </w:r>
      <w:r>
        <w:rPr>
          <w:rFonts w:hint="eastAsia" w:ascii="Times New Roman" w:hAnsi="Times New Roman" w:eastAsia="仿宋_GB2312" w:cs="Times New Roman"/>
          <w:b w:val="0"/>
          <w:bCs w:val="0"/>
          <w:kern w:val="0"/>
          <w:sz w:val="32"/>
          <w:szCs w:val="32"/>
          <w:lang w:val="en-US" w:eastAsia="zh-CN"/>
        </w:rPr>
        <w:t>100</w:t>
      </w:r>
      <w:r>
        <w:rPr>
          <w:rFonts w:hint="default" w:ascii="Times New Roman" w:hAnsi="Times New Roman" w:eastAsia="仿宋_GB2312" w:cs="Times New Roman"/>
          <w:b w:val="0"/>
          <w:bCs w:val="0"/>
          <w:kern w:val="0"/>
          <w:sz w:val="32"/>
          <w:szCs w:val="32"/>
        </w:rPr>
        <w:t xml:space="preserve"> %。</w:t>
      </w:r>
    </w:p>
    <w:p>
      <w:pPr>
        <w:keepNext w:val="0"/>
        <w:keepLines w:val="0"/>
        <w:pageBreakBefore w:val="0"/>
        <w:widowControl/>
        <w:kinsoku/>
        <w:wordWrap/>
        <w:overflowPunct/>
        <w:topLinePunct w:val="0"/>
        <w:bidi w:val="0"/>
        <w:snapToGrid/>
        <w:spacing w:line="560" w:lineRule="exact"/>
        <w:ind w:firstLine="640"/>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组织对</w:t>
      </w:r>
      <w:r>
        <w:rPr>
          <w:rFonts w:hint="eastAsia" w:ascii="Times New Roman" w:hAnsi="Times New Roman" w:eastAsia="仿宋_GB2312" w:cs="Times New Roman"/>
          <w:b w:val="0"/>
          <w:bCs w:val="0"/>
          <w:kern w:val="0"/>
          <w:sz w:val="32"/>
          <w:szCs w:val="32"/>
          <w:lang w:eastAsia="zh-CN"/>
        </w:rPr>
        <w:t>2022</w:t>
      </w:r>
      <w:r>
        <w:rPr>
          <w:rFonts w:hint="default" w:ascii="Times New Roman" w:hAnsi="Times New Roman" w:eastAsia="仿宋_GB2312" w:cs="Times New Roman"/>
          <w:b w:val="0"/>
          <w:bCs w:val="0"/>
          <w:kern w:val="0"/>
          <w:sz w:val="32"/>
          <w:szCs w:val="32"/>
        </w:rPr>
        <w:t>年度</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 xml:space="preserve">等个国有资本经营预算项目支出开展绩效自评，共涉及资金  </w:t>
      </w:r>
      <w:r>
        <w:rPr>
          <w:rFonts w:hint="eastAsia" w:ascii="Times New Roman" w:hAnsi="Times New Roman" w:eastAsia="仿宋_GB2312" w:cs="Times New Roman"/>
          <w:b w:val="0"/>
          <w:bCs w:val="0"/>
          <w:kern w:val="0"/>
          <w:sz w:val="32"/>
          <w:szCs w:val="32"/>
          <w:lang w:val="en-US" w:eastAsia="zh-CN"/>
        </w:rPr>
        <w:t>0.00</w:t>
      </w:r>
      <w:r>
        <w:rPr>
          <w:rFonts w:hint="default" w:ascii="Times New Roman" w:hAnsi="Times New Roman" w:eastAsia="仿宋_GB2312" w:cs="Times New Roman"/>
          <w:b w:val="0"/>
          <w:bCs w:val="0"/>
          <w:kern w:val="0"/>
          <w:sz w:val="32"/>
          <w:szCs w:val="32"/>
        </w:rPr>
        <w:t xml:space="preserve">万元，占国有资本经营预算项目支出总额的 </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 xml:space="preserve"> %</w:t>
      </w:r>
    </w:p>
    <w:p>
      <w:pPr>
        <w:keepNext w:val="0"/>
        <w:keepLines w:val="0"/>
        <w:pageBreakBefore w:val="0"/>
        <w:widowControl/>
        <w:kinsoku/>
        <w:wordWrap/>
        <w:overflowPunct/>
        <w:topLinePunct w:val="0"/>
        <w:bidi w:val="0"/>
        <w:snapToGrid/>
        <w:spacing w:line="560" w:lineRule="exact"/>
        <w:ind w:firstLine="640"/>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组织对</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个项目进行了部门评价，涉及一般公共预算支出</w:t>
      </w:r>
      <w:r>
        <w:rPr>
          <w:rFonts w:hint="eastAsia" w:ascii="Times New Roman" w:hAnsi="Times New Roman" w:eastAsia="仿宋_GB2312" w:cs="Times New Roman"/>
          <w:b w:val="0"/>
          <w:bCs w:val="0"/>
          <w:kern w:val="0"/>
          <w:sz w:val="32"/>
          <w:szCs w:val="32"/>
          <w:lang w:val="en-US" w:eastAsia="zh-CN"/>
        </w:rPr>
        <w:t>0.00</w:t>
      </w:r>
      <w:r>
        <w:rPr>
          <w:rFonts w:hint="default" w:ascii="Times New Roman" w:hAnsi="Times New Roman" w:eastAsia="仿宋_GB2312" w:cs="Times New Roman"/>
          <w:b w:val="0"/>
          <w:bCs w:val="0"/>
          <w:kern w:val="0"/>
          <w:sz w:val="32"/>
          <w:szCs w:val="32"/>
        </w:rPr>
        <w:t>万元，政府性基金预算支出</w:t>
      </w:r>
      <w:r>
        <w:rPr>
          <w:rFonts w:hint="eastAsia" w:ascii="Times New Roman" w:hAnsi="Times New Roman" w:eastAsia="仿宋_GB2312" w:cs="Times New Roman"/>
          <w:b w:val="0"/>
          <w:bCs w:val="0"/>
          <w:kern w:val="0"/>
          <w:sz w:val="32"/>
          <w:szCs w:val="32"/>
          <w:lang w:val="en-US" w:eastAsia="zh-CN"/>
        </w:rPr>
        <w:t>0.00</w:t>
      </w:r>
      <w:r>
        <w:rPr>
          <w:rFonts w:hint="default" w:ascii="Times New Roman" w:hAnsi="Times New Roman" w:eastAsia="仿宋_GB2312" w:cs="Times New Roman"/>
          <w:b w:val="0"/>
          <w:bCs w:val="0"/>
          <w:kern w:val="0"/>
          <w:sz w:val="32"/>
          <w:szCs w:val="32"/>
        </w:rPr>
        <w:t xml:space="preserve">万元，国有资本经营预算支出 </w:t>
      </w:r>
      <w:r>
        <w:rPr>
          <w:rFonts w:hint="eastAsia" w:ascii="Times New Roman" w:hAnsi="Times New Roman" w:eastAsia="仿宋_GB2312" w:cs="Times New Roman"/>
          <w:b w:val="0"/>
          <w:bCs w:val="0"/>
          <w:kern w:val="0"/>
          <w:sz w:val="32"/>
          <w:szCs w:val="32"/>
          <w:lang w:val="en-US" w:eastAsia="zh-CN"/>
        </w:rPr>
        <w:t>0.00</w:t>
      </w:r>
      <w:r>
        <w:rPr>
          <w:rFonts w:hint="default" w:ascii="Times New Roman" w:hAnsi="Times New Roman" w:eastAsia="仿宋_GB2312" w:cs="Times New Roman"/>
          <w:b w:val="0"/>
          <w:bCs w:val="0"/>
          <w:kern w:val="0"/>
          <w:sz w:val="32"/>
          <w:szCs w:val="32"/>
        </w:rPr>
        <w:t>万元。</w:t>
      </w:r>
    </w:p>
    <w:p>
      <w:pPr>
        <w:keepNext w:val="0"/>
        <w:keepLines w:val="0"/>
        <w:pageBreakBefore w:val="0"/>
        <w:widowControl/>
        <w:kinsoku/>
        <w:wordWrap/>
        <w:overflowPunct/>
        <w:topLinePunct w:val="0"/>
        <w:bidi w:val="0"/>
        <w:snapToGrid/>
        <w:spacing w:line="560" w:lineRule="exact"/>
        <w:ind w:firstLine="640"/>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kern w:val="0"/>
          <w:sz w:val="32"/>
          <w:szCs w:val="32"/>
        </w:rPr>
        <w:t>组织对</w:t>
      </w:r>
      <w:r>
        <w:rPr>
          <w:rFonts w:hint="eastAsia" w:ascii="Times New Roman" w:hAnsi="Times New Roman" w:eastAsia="仿宋_GB2312" w:cs="Times New Roman"/>
          <w:b w:val="0"/>
          <w:bCs w:val="0"/>
          <w:kern w:val="0"/>
          <w:sz w:val="32"/>
          <w:szCs w:val="32"/>
          <w:lang w:val="en-US" w:eastAsia="zh-CN"/>
        </w:rPr>
        <w:t>0</w:t>
      </w:r>
      <w:r>
        <w:rPr>
          <w:rFonts w:hint="default" w:ascii="Times New Roman" w:hAnsi="Times New Roman" w:eastAsia="仿宋_GB2312" w:cs="Times New Roman"/>
          <w:b w:val="0"/>
          <w:bCs w:val="0"/>
          <w:kern w:val="0"/>
          <w:sz w:val="32"/>
          <w:szCs w:val="32"/>
        </w:rPr>
        <w:t xml:space="preserve">个部门（单位）开展整体支出绩效评价试点，涉及一般公共预算支出  </w:t>
      </w:r>
      <w:r>
        <w:rPr>
          <w:rFonts w:hint="eastAsia" w:ascii="Times New Roman" w:hAnsi="Times New Roman" w:eastAsia="仿宋_GB2312" w:cs="Times New Roman"/>
          <w:b w:val="0"/>
          <w:bCs w:val="0"/>
          <w:kern w:val="0"/>
          <w:sz w:val="32"/>
          <w:szCs w:val="32"/>
          <w:lang w:val="en-US" w:eastAsia="zh-CN"/>
        </w:rPr>
        <w:t>0.00</w:t>
      </w:r>
      <w:r>
        <w:rPr>
          <w:rFonts w:hint="default" w:ascii="Times New Roman" w:hAnsi="Times New Roman" w:eastAsia="仿宋_GB2312" w:cs="Times New Roman"/>
          <w:b w:val="0"/>
          <w:bCs w:val="0"/>
          <w:kern w:val="0"/>
          <w:sz w:val="32"/>
          <w:szCs w:val="32"/>
        </w:rPr>
        <w:t xml:space="preserve"> 万元，政府性基金预算支出      万元。</w:t>
      </w:r>
    </w:p>
    <w:p>
      <w:pPr>
        <w:keepNext w:val="0"/>
        <w:keepLines w:val="0"/>
        <w:pageBreakBefore w:val="0"/>
        <w:widowControl/>
        <w:kinsoku/>
        <w:wordWrap/>
        <w:overflowPunct/>
        <w:topLinePunct w:val="0"/>
        <w:bidi w:val="0"/>
        <w:snapToGrid/>
        <w:spacing w:line="560" w:lineRule="exact"/>
        <w:ind w:firstLine="640"/>
        <w:textAlignment w:val="auto"/>
        <w:rPr>
          <w:rFonts w:hint="default"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val="en-US" w:eastAsia="zh-CN"/>
        </w:rPr>
        <w:t>3</w:t>
      </w:r>
      <w:r>
        <w:rPr>
          <w:rFonts w:hint="default" w:ascii="Times New Roman" w:hAnsi="Times New Roman" w:eastAsia="仿宋_GB2312" w:cs="Times New Roman"/>
          <w:b/>
          <w:bCs/>
          <w:kern w:val="0"/>
          <w:sz w:val="32"/>
          <w:szCs w:val="32"/>
        </w:rPr>
        <w:t>.部门决算中项目绩效自评结果。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20" w:lineRule="atLeast"/>
        <w:ind w:right="0" w:rightChars="0" w:firstLine="640" w:firstLineChars="200"/>
        <w:jc w:val="both"/>
        <w:textAlignment w:val="auto"/>
        <w:rPr>
          <w:rFonts w:hint="eastAsia" w:ascii="仿宋_GB2312" w:hAnsi="仿宋_GB2312" w:eastAsia="仿宋_GB2312" w:cs="Times New Roman"/>
          <w:kern w:val="2"/>
          <w:sz w:val="32"/>
          <w:szCs w:val="32"/>
          <w:lang w:val="en-US" w:eastAsia="zh-CN" w:bidi="ar-SA"/>
        </w:rPr>
      </w:pPr>
      <w:r>
        <w:rPr>
          <w:rFonts w:hint="default" w:ascii="Times New Roman" w:hAnsi="Times New Roman" w:eastAsia="仿宋_GB2312" w:cs="Times New Roman"/>
          <w:b w:val="0"/>
          <w:bCs w:val="0"/>
          <w:kern w:val="0"/>
          <w:sz w:val="32"/>
          <w:szCs w:val="32"/>
        </w:rPr>
        <w:t>我部门根据年初设定的绩效目标，</w:t>
      </w:r>
      <w:r>
        <w:rPr>
          <w:rFonts w:hint="eastAsia" w:ascii="Times New Roman" w:hAnsi="Times New Roman" w:eastAsia="仿宋_GB2312" w:cs="Times New Roman"/>
          <w:b w:val="0"/>
          <w:bCs w:val="0"/>
          <w:kern w:val="0"/>
          <w:sz w:val="32"/>
          <w:szCs w:val="32"/>
          <w:lang w:val="en-US" w:eastAsia="zh-CN"/>
        </w:rPr>
        <w:t>有</w:t>
      </w:r>
      <w:r>
        <w:rPr>
          <w:rFonts w:hint="default" w:ascii="Times New Roman" w:hAnsi="Times New Roman" w:eastAsia="仿宋_GB2312" w:cs="Times New Roman"/>
          <w:b w:val="0"/>
          <w:bCs w:val="0"/>
          <w:kern w:val="0"/>
          <w:sz w:val="32"/>
          <w:szCs w:val="32"/>
        </w:rPr>
        <w:t>公共卫生监督项目</w:t>
      </w:r>
      <w:r>
        <w:rPr>
          <w:rFonts w:hint="eastAsia" w:ascii="Times New Roman" w:hAnsi="Times New Roman" w:eastAsia="仿宋_GB2312" w:cs="Times New Roman"/>
          <w:b w:val="0"/>
          <w:bCs w:val="0"/>
          <w:kern w:val="0"/>
          <w:sz w:val="32"/>
          <w:szCs w:val="32"/>
          <w:lang w:eastAsia="zh-CN"/>
        </w:rPr>
        <w:t>、机关失业单位伙食补助费、政府购买人员经费、奖励性补贴</w:t>
      </w:r>
      <w:r>
        <w:rPr>
          <w:rFonts w:hint="eastAsia" w:ascii="Times New Roman" w:hAnsi="Times New Roman" w:eastAsia="仿宋_GB2312" w:cs="Times New Roman"/>
          <w:b w:val="0"/>
          <w:bCs w:val="0"/>
          <w:kern w:val="0"/>
          <w:sz w:val="32"/>
          <w:szCs w:val="32"/>
          <w:lang w:val="en-US" w:eastAsia="zh-CN"/>
        </w:rPr>
        <w:t>4</w:t>
      </w:r>
      <w:r>
        <w:rPr>
          <w:rFonts w:hint="default" w:ascii="Times New Roman" w:hAnsi="Times New Roman" w:eastAsia="仿宋_GB2312" w:cs="Times New Roman"/>
          <w:b w:val="0"/>
          <w:bCs w:val="0"/>
          <w:kern w:val="0"/>
          <w:sz w:val="32"/>
          <w:szCs w:val="32"/>
        </w:rPr>
        <w:t>项目自评，</w:t>
      </w:r>
      <w:r>
        <w:rPr>
          <w:rFonts w:hint="eastAsia" w:ascii="Times New Roman" w:hAnsi="Times New Roman" w:eastAsia="仿宋_GB2312" w:cs="Times New Roman"/>
          <w:b w:val="0"/>
          <w:bCs w:val="0"/>
          <w:kern w:val="0"/>
          <w:sz w:val="32"/>
          <w:szCs w:val="32"/>
          <w:lang w:val="en-US" w:eastAsia="zh-CN"/>
        </w:rPr>
        <w:t>未发现问题。</w:t>
      </w:r>
      <w:r>
        <w:rPr>
          <w:rFonts w:hint="eastAsia" w:ascii="仿宋_GB2312" w:hAnsi="仿宋_GB2312" w:eastAsia="仿宋_GB2312" w:cs="Times New Roman"/>
          <w:kern w:val="2"/>
          <w:sz w:val="32"/>
          <w:szCs w:val="32"/>
          <w:lang w:val="en-US" w:eastAsia="zh-CN" w:bidi="ar-SA"/>
        </w:rPr>
        <w:t>项目支出绩效自评结果：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20" w:lineRule="atLeast"/>
        <w:ind w:right="0" w:rightChars="0" w:firstLine="640" w:firstLineChars="200"/>
        <w:jc w:val="both"/>
        <w:textAlignment w:val="auto"/>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（1）项目自评得分情况项目4个项目平均分100分。</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420" w:lineRule="atLeast"/>
        <w:ind w:right="0" w:rightChars="0" w:firstLine="640" w:firstLineChars="200"/>
        <w:jc w:val="both"/>
        <w:textAlignment w:val="auto"/>
        <w:rPr>
          <w:rFonts w:hint="default" w:ascii="Times New Roman" w:hAnsi="Times New Roman" w:eastAsia="仿宋_GB2312" w:cs="Times New Roman"/>
          <w:b w:val="0"/>
          <w:bCs w:val="0"/>
          <w:kern w:val="0"/>
          <w:sz w:val="32"/>
          <w:szCs w:val="32"/>
        </w:rPr>
      </w:pPr>
      <w:r>
        <w:rPr>
          <w:rFonts w:hint="eastAsia" w:ascii="仿宋_GB2312" w:hAnsi="仿宋_GB2312" w:eastAsia="仿宋_GB2312" w:cs="Times New Roman"/>
          <w:kern w:val="2"/>
          <w:sz w:val="32"/>
          <w:szCs w:val="32"/>
          <w:lang w:val="en-US" w:eastAsia="zh-CN" w:bidi="ar-SA"/>
        </w:rPr>
        <w:t>（2）项目评分等级分布情况：4个项目自评为“一等”等级。</w:t>
      </w:r>
    </w:p>
    <w:p>
      <w:pPr>
        <w:keepNext w:val="0"/>
        <w:keepLines w:val="0"/>
        <w:pageBreakBefore w:val="0"/>
        <w:widowControl/>
        <w:kinsoku/>
        <w:wordWrap/>
        <w:overflowPunct/>
        <w:topLinePunct w:val="0"/>
        <w:bidi w:val="0"/>
        <w:snapToGrid/>
        <w:spacing w:line="560" w:lineRule="exact"/>
        <w:ind w:firstLine="640"/>
        <w:textAlignment w:val="auto"/>
        <w:rPr>
          <w:rFonts w:hint="default" w:ascii="Times New Roman" w:hAnsi="Times New Roman" w:eastAsia="仿宋_GB2312" w:cs="Times New Roman"/>
          <w:b w:val="0"/>
          <w:bCs w:val="0"/>
          <w:color w:val="FF0000"/>
          <w:kern w:val="0"/>
          <w:sz w:val="32"/>
          <w:szCs w:val="32"/>
          <w:u w:val="single"/>
        </w:rPr>
      </w:pPr>
      <w:r>
        <w:rPr>
          <w:rFonts w:hint="eastAsia" w:ascii="Times New Roman" w:hAnsi="Times New Roman" w:eastAsia="仿宋_GB2312" w:cs="Times New Roman"/>
          <w:b w:val="0"/>
          <w:bCs w:val="0"/>
          <w:kern w:val="0"/>
          <w:sz w:val="32"/>
          <w:szCs w:val="32"/>
          <w:lang w:val="en-US" w:eastAsia="zh-CN"/>
        </w:rPr>
        <w:t>监督所</w:t>
      </w:r>
      <w:r>
        <w:rPr>
          <w:rFonts w:hint="default" w:ascii="Times New Roman" w:hAnsi="Times New Roman" w:eastAsia="仿宋_GB2312" w:cs="Times New Roman"/>
          <w:b w:val="0"/>
          <w:bCs w:val="0"/>
          <w:kern w:val="0"/>
          <w:sz w:val="32"/>
          <w:szCs w:val="32"/>
        </w:rPr>
        <w:t>项目绩效自评综述：</w:t>
      </w:r>
      <w:r>
        <w:rPr>
          <w:rFonts w:hint="eastAsia" w:ascii="仿宋_GB2312" w:hAnsi="仿宋_GB2312" w:eastAsia="仿宋_GB2312" w:cs="仿宋_GB2312"/>
          <w:sz w:val="32"/>
          <w:szCs w:val="32"/>
        </w:rPr>
        <w:t>自评结果</w:t>
      </w:r>
      <w:r>
        <w:rPr>
          <w:rFonts w:hint="eastAsia" w:ascii="仿宋_GB2312" w:hAnsi="仿宋_GB2312" w:eastAsia="仿宋_GB2312" w:cs="仿宋_GB2312"/>
          <w:sz w:val="32"/>
          <w:szCs w:val="32"/>
          <w:lang w:eastAsia="zh-CN"/>
        </w:rPr>
        <w:t>拟</w:t>
      </w:r>
      <w:r>
        <w:rPr>
          <w:rFonts w:hint="eastAsia" w:ascii="仿宋_GB2312" w:hAnsi="仿宋_GB2312" w:eastAsia="仿宋_GB2312" w:cs="仿宋_GB2312"/>
          <w:sz w:val="32"/>
          <w:szCs w:val="32"/>
        </w:rPr>
        <w:t>应用</w:t>
      </w:r>
      <w:r>
        <w:rPr>
          <w:rFonts w:hint="eastAsia" w:ascii="仿宋_GB2312" w:hAnsi="仿宋_GB2312" w:eastAsia="仿宋_GB2312" w:cs="仿宋_GB2312"/>
          <w:sz w:val="32"/>
          <w:szCs w:val="32"/>
          <w:lang w:eastAsia="zh-CN"/>
        </w:rPr>
        <w:t>情况</w:t>
      </w:r>
      <w:r>
        <w:rPr>
          <w:rFonts w:hint="eastAsia" w:ascii="仿宋_GB2312" w:hAnsi="仿宋_GB2312" w:eastAsia="仿宋_GB2312" w:cs="Times New Roman"/>
          <w:sz w:val="32"/>
          <w:szCs w:val="32"/>
        </w:rPr>
        <w:t>。</w:t>
      </w:r>
      <w:r>
        <w:rPr>
          <w:rFonts w:hint="eastAsia" w:ascii="仿宋_GB2312" w:hAnsi="仿宋_GB2312" w:eastAsia="仿宋_GB2312" w:cs="仿宋_GB2312"/>
          <w:i w:val="0"/>
          <w:iCs w:val="0"/>
          <w:caps w:val="0"/>
          <w:color w:val="333333"/>
          <w:spacing w:val="0"/>
          <w:sz w:val="32"/>
          <w:szCs w:val="32"/>
        </w:rPr>
        <w:t>通过这次自评，进一步提高了我</w:t>
      </w:r>
      <w:r>
        <w:rPr>
          <w:rFonts w:hint="eastAsia" w:ascii="仿宋_GB2312" w:hAnsi="仿宋_GB2312" w:eastAsia="仿宋_GB2312" w:cs="仿宋_GB2312"/>
          <w:i w:val="0"/>
          <w:iCs w:val="0"/>
          <w:caps w:val="0"/>
          <w:color w:val="333333"/>
          <w:spacing w:val="0"/>
          <w:sz w:val="32"/>
          <w:szCs w:val="32"/>
          <w:lang w:eastAsia="zh-CN"/>
        </w:rPr>
        <w:t>单位</w:t>
      </w:r>
      <w:r>
        <w:rPr>
          <w:rFonts w:hint="eastAsia" w:ascii="仿宋_GB2312" w:hAnsi="仿宋_GB2312" w:eastAsia="仿宋_GB2312" w:cs="仿宋_GB2312"/>
          <w:i w:val="0"/>
          <w:iCs w:val="0"/>
          <w:caps w:val="0"/>
          <w:color w:val="333333"/>
          <w:spacing w:val="0"/>
          <w:sz w:val="32"/>
          <w:szCs w:val="32"/>
        </w:rPr>
        <w:t>的绩效管理水平，更加认识到了绩效管理对部门综合管理提升的重要性，自评结果将用于</w:t>
      </w:r>
      <w:r>
        <w:rPr>
          <w:rFonts w:hint="default" w:ascii="Times New Roman" w:hAnsi="Times New Roman" w:eastAsia="微软雅黑" w:cs="Times New Roman"/>
          <w:i w:val="0"/>
          <w:iCs w:val="0"/>
          <w:caps w:val="0"/>
          <w:color w:val="333333"/>
          <w:spacing w:val="0"/>
          <w:sz w:val="32"/>
          <w:szCs w:val="32"/>
        </w:rPr>
        <w:t>202</w:t>
      </w:r>
      <w:r>
        <w:rPr>
          <w:rFonts w:hint="eastAsia" w:ascii="Times New Roman" w:hAnsi="Times New Roman" w:eastAsia="微软雅黑" w:cs="Times New Roman"/>
          <w:i w:val="0"/>
          <w:iCs w:val="0"/>
          <w:caps w:val="0"/>
          <w:color w:val="333333"/>
          <w:spacing w:val="0"/>
          <w:sz w:val="32"/>
          <w:szCs w:val="32"/>
          <w:lang w:val="en-US" w:eastAsia="zh-CN"/>
        </w:rPr>
        <w:t>2</w:t>
      </w:r>
      <w:r>
        <w:rPr>
          <w:rFonts w:hint="eastAsia" w:ascii="仿宋_GB2312" w:hAnsi="仿宋_GB2312" w:eastAsia="仿宋_GB2312" w:cs="仿宋_GB2312"/>
          <w:i w:val="0"/>
          <w:iCs w:val="0"/>
          <w:caps w:val="0"/>
          <w:color w:val="333333"/>
          <w:spacing w:val="0"/>
          <w:sz w:val="32"/>
          <w:szCs w:val="32"/>
        </w:rPr>
        <w:t>年及以后年度编制部门预算的重要参考和日常管理的标靶，吸取经验，改进工作</w:t>
      </w:r>
      <w:r>
        <w:rPr>
          <w:rFonts w:hint="eastAsia" w:ascii="仿宋_GB2312" w:hAnsi="仿宋_GB2312" w:eastAsia="仿宋_GB2312" w:cs="仿宋_GB2312"/>
          <w:i w:val="0"/>
          <w:iCs w:val="0"/>
          <w:caps w:val="0"/>
          <w:color w:val="333333"/>
          <w:spacing w:val="0"/>
          <w:sz w:val="32"/>
          <w:szCs w:val="32"/>
          <w:lang w:eastAsia="zh-CN"/>
        </w:rPr>
        <w:t>方法</w:t>
      </w:r>
      <w:r>
        <w:rPr>
          <w:rFonts w:hint="eastAsia" w:ascii="仿宋_GB2312" w:hAnsi="仿宋_GB2312" w:eastAsia="仿宋_GB2312" w:cs="仿宋_GB2312"/>
          <w:i w:val="0"/>
          <w:iCs w:val="0"/>
          <w:caps w:val="0"/>
          <w:color w:val="333333"/>
          <w:spacing w:val="0"/>
          <w:sz w:val="32"/>
          <w:szCs w:val="32"/>
        </w:rPr>
        <w:t>，让工作与绩效目标匹配，让成果与工作推进互动。</w:t>
      </w:r>
    </w:p>
    <w:p>
      <w:pPr>
        <w:ind w:firstLine="1600" w:firstLineChars="500"/>
        <w:jc w:val="left"/>
        <w:rPr>
          <w:rFonts w:hint="eastAsia" w:ascii="仿宋" w:hAnsi="仿宋" w:eastAsia="仿宋" w:cs="仿宋"/>
          <w:color w:val="auto"/>
          <w:sz w:val="32"/>
          <w:szCs w:val="32"/>
        </w:rPr>
      </w:pPr>
    </w:p>
    <w:p>
      <w:pPr>
        <w:jc w:val="left"/>
        <w:rPr>
          <w:rFonts w:hint="eastAsia" w:ascii="仿宋" w:hAnsi="仿宋" w:eastAsia="仿宋" w:cs="仿宋"/>
          <w:color w:val="auto"/>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rPr>
          <w:rFonts w:hint="eastAsia" w:ascii="仿宋_GB2312" w:eastAsia="仿宋_GB2312"/>
          <w:sz w:val="32"/>
          <w:szCs w:val="32"/>
        </w:rPr>
      </w:pPr>
      <w:r>
        <w:rPr>
          <w:rFonts w:hint="eastAsia" w:ascii="仿宋_GB2312" w:eastAsia="仿宋_GB2312"/>
          <w:sz w:val="32"/>
          <w:szCs w:val="32"/>
        </w:rPr>
        <w:t>一、财政拨款收入：指</w:t>
      </w:r>
      <w:r>
        <w:rPr>
          <w:rFonts w:hint="eastAsia" w:ascii="仿宋_GB2312" w:eastAsia="仿宋_GB2312"/>
          <w:sz w:val="32"/>
          <w:szCs w:val="32"/>
          <w:lang w:val="en-US" w:eastAsia="zh-CN"/>
        </w:rPr>
        <w:t>环江县本</w:t>
      </w:r>
      <w:bookmarkStart w:id="6" w:name="_GoBack"/>
      <w:bookmarkEnd w:id="6"/>
      <w:r>
        <w:rPr>
          <w:rFonts w:hint="eastAsia" w:ascii="仿宋_GB2312" w:eastAsia="仿宋_GB2312"/>
          <w:sz w:val="32"/>
          <w:szCs w:val="32"/>
          <w:lang w:eastAsia="zh-CN"/>
        </w:rPr>
        <w:t>级</w:t>
      </w:r>
      <w:r>
        <w:rPr>
          <w:rFonts w:hint="eastAsia" w:ascii="仿宋_GB2312" w:eastAsia="仿宋_GB2312"/>
          <w:sz w:val="32"/>
          <w:szCs w:val="32"/>
        </w:rPr>
        <w:t>财政部门当年拨付</w:t>
      </w:r>
      <w:r>
        <w:rPr>
          <w:rFonts w:hint="eastAsia" w:ascii="仿宋_GB2312" w:eastAsia="仿宋_GB2312"/>
          <w:sz w:val="32"/>
          <w:szCs w:val="32"/>
          <w:lang w:eastAsia="zh-CN"/>
        </w:rPr>
        <w:t>给医疗卫生单位</w:t>
      </w:r>
      <w:r>
        <w:rPr>
          <w:rFonts w:hint="eastAsia" w:ascii="仿宋_GB2312" w:eastAsia="仿宋_GB2312"/>
          <w:sz w:val="32"/>
          <w:szCs w:val="32"/>
        </w:rPr>
        <w:t xml:space="preserve">的资金。 </w:t>
      </w:r>
    </w:p>
    <w:p>
      <w:pPr>
        <w:ind w:firstLine="640" w:firstLineChars="200"/>
        <w:rPr>
          <w:rFonts w:hint="eastAsia" w:ascii="仿宋_GB2312" w:eastAsia="仿宋_GB2312"/>
          <w:sz w:val="32"/>
          <w:szCs w:val="32"/>
        </w:rPr>
      </w:pPr>
      <w:r>
        <w:rPr>
          <w:rFonts w:hint="eastAsia" w:ascii="仿宋_GB2312" w:eastAsia="仿宋_GB2312"/>
          <w:sz w:val="32"/>
          <w:szCs w:val="32"/>
        </w:rPr>
        <w:t>二、事业收入：指</w:t>
      </w:r>
      <w:r>
        <w:rPr>
          <w:rFonts w:hint="eastAsia" w:ascii="仿宋_GB2312" w:eastAsia="仿宋_GB2312"/>
          <w:sz w:val="32"/>
          <w:szCs w:val="32"/>
          <w:lang w:eastAsia="zh-CN"/>
        </w:rPr>
        <w:t>医疗卫生</w:t>
      </w:r>
      <w:r>
        <w:rPr>
          <w:rFonts w:hint="eastAsia" w:ascii="仿宋_GB2312" w:eastAsia="仿宋_GB2312"/>
          <w:sz w:val="32"/>
          <w:szCs w:val="32"/>
        </w:rPr>
        <w:t>单位开展</w:t>
      </w:r>
      <w:r>
        <w:rPr>
          <w:rFonts w:hint="eastAsia" w:ascii="仿宋_GB2312" w:eastAsia="仿宋_GB2312"/>
          <w:sz w:val="32"/>
          <w:szCs w:val="32"/>
          <w:lang w:eastAsia="zh-CN"/>
        </w:rPr>
        <w:t>医疗卫生</w:t>
      </w:r>
      <w:r>
        <w:rPr>
          <w:rFonts w:hint="eastAsia" w:ascii="仿宋_GB2312" w:eastAsia="仿宋_GB2312"/>
          <w:sz w:val="32"/>
          <w:szCs w:val="32"/>
        </w:rPr>
        <w:t>业务活动及所取得的收入。</w:t>
      </w:r>
    </w:p>
    <w:p>
      <w:pPr>
        <w:ind w:firstLine="640"/>
        <w:rPr>
          <w:rFonts w:hint="eastAsia" w:ascii="仿宋_GB2312" w:eastAsia="仿宋_GB2312"/>
          <w:sz w:val="32"/>
          <w:szCs w:val="32"/>
        </w:rPr>
      </w:pPr>
      <w:r>
        <w:rPr>
          <w:rFonts w:hint="eastAsia" w:ascii="仿宋_GB2312" w:eastAsia="仿宋_GB2312"/>
          <w:sz w:val="32"/>
          <w:szCs w:val="32"/>
          <w:lang w:eastAsia="zh-CN"/>
        </w:rPr>
        <w:t>三</w:t>
      </w:r>
      <w:r>
        <w:rPr>
          <w:rFonts w:hint="eastAsia" w:ascii="仿宋_GB2312" w:eastAsia="仿宋_GB2312"/>
          <w:sz w:val="32"/>
          <w:szCs w:val="32"/>
        </w:rPr>
        <w:t>、其他收入：指</w:t>
      </w:r>
      <w:r>
        <w:rPr>
          <w:rFonts w:hint="eastAsia" w:ascii="仿宋_GB2312" w:eastAsia="仿宋_GB2312"/>
          <w:sz w:val="32"/>
          <w:szCs w:val="32"/>
          <w:lang w:eastAsia="zh-CN"/>
        </w:rPr>
        <w:t>各医疗卫生单位的利息及废旧处理等</w:t>
      </w:r>
      <w:r>
        <w:rPr>
          <w:rFonts w:hint="eastAsia" w:ascii="仿宋_GB2312" w:eastAsia="仿宋_GB2312"/>
          <w:sz w:val="32"/>
          <w:szCs w:val="32"/>
        </w:rPr>
        <w:t>收入。</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四</w:t>
      </w:r>
      <w:r>
        <w:rPr>
          <w:rFonts w:hint="eastAsia" w:ascii="仿宋_GB2312" w:eastAsia="仿宋_GB2312"/>
          <w:sz w:val="32"/>
          <w:szCs w:val="32"/>
        </w:rPr>
        <w:t>、用事业基金弥补收支差额指</w:t>
      </w:r>
      <w:r>
        <w:rPr>
          <w:rFonts w:hint="eastAsia" w:ascii="仿宋_GB2312" w:eastAsia="仿宋_GB2312"/>
          <w:sz w:val="32"/>
          <w:szCs w:val="32"/>
          <w:lang w:eastAsia="zh-CN"/>
        </w:rPr>
        <w:t>部分医疗</w:t>
      </w:r>
      <w:r>
        <w:rPr>
          <w:rFonts w:hint="eastAsia" w:ascii="仿宋_GB2312" w:eastAsia="仿宋_GB2312"/>
          <w:sz w:val="32"/>
          <w:szCs w:val="32"/>
        </w:rPr>
        <w:t>单位在当年的</w:t>
      </w:r>
      <w:r>
        <w:rPr>
          <w:rFonts w:hint="eastAsia" w:ascii="仿宋_GB2312" w:eastAsia="仿宋_GB2312"/>
          <w:sz w:val="32"/>
          <w:szCs w:val="32"/>
          <w:lang w:eastAsia="zh-CN"/>
        </w:rPr>
        <w:t>部分医疗单业务支出大于收入的情况下</w:t>
      </w:r>
      <w:r>
        <w:rPr>
          <w:rFonts w:hint="eastAsia" w:ascii="仿宋_GB2312" w:eastAsia="仿宋_GB2312"/>
          <w:sz w:val="32"/>
          <w:szCs w:val="32"/>
        </w:rPr>
        <w:t>，使用以前年度积累的事业</w:t>
      </w:r>
      <w:r>
        <w:rPr>
          <w:rFonts w:hint="eastAsia" w:ascii="仿宋_GB2312" w:eastAsia="仿宋_GB2312"/>
          <w:sz w:val="32"/>
          <w:szCs w:val="32"/>
          <w:lang w:eastAsia="zh-CN"/>
        </w:rPr>
        <w:t>发展</w:t>
      </w:r>
      <w:r>
        <w:rPr>
          <w:rFonts w:hint="eastAsia" w:ascii="仿宋_GB2312" w:eastAsia="仿宋_GB2312"/>
          <w:sz w:val="32"/>
          <w:szCs w:val="32"/>
        </w:rPr>
        <w:t xml:space="preserve">基金（按国家规定提取、用于弥补以后年度收支差额的基金）弥补本年度收支缺口的资金。 </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五</w:t>
      </w:r>
      <w:r>
        <w:rPr>
          <w:rFonts w:hint="eastAsia" w:ascii="仿宋_GB2312" w:eastAsia="仿宋_GB2312"/>
          <w:sz w:val="32"/>
          <w:szCs w:val="32"/>
        </w:rPr>
        <w:t>、年初结转和结余：指以前年度</w:t>
      </w:r>
      <w:r>
        <w:rPr>
          <w:rFonts w:hint="eastAsia" w:ascii="仿宋_GB2312" w:eastAsia="仿宋_GB2312"/>
          <w:sz w:val="32"/>
          <w:szCs w:val="32"/>
          <w:lang w:eastAsia="zh-CN"/>
        </w:rPr>
        <w:t>项目</w:t>
      </w:r>
      <w:r>
        <w:rPr>
          <w:rFonts w:hint="eastAsia" w:ascii="仿宋_GB2312" w:eastAsia="仿宋_GB2312"/>
          <w:sz w:val="32"/>
          <w:szCs w:val="32"/>
        </w:rPr>
        <w:t xml:space="preserve">尚未完成、结转到本年按有关规定继续使用的资金。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六</w:t>
      </w:r>
      <w:r>
        <w:rPr>
          <w:rFonts w:hint="eastAsia" w:ascii="仿宋_GB2312" w:eastAsia="仿宋_GB2312"/>
          <w:sz w:val="32"/>
          <w:szCs w:val="32"/>
        </w:rPr>
        <w:t>、结余分配：指</w:t>
      </w:r>
      <w:r>
        <w:rPr>
          <w:rFonts w:hint="eastAsia" w:ascii="仿宋_GB2312" w:eastAsia="仿宋_GB2312" w:cs="仿宋_GB2312"/>
          <w:kern w:val="0"/>
          <w:sz w:val="32"/>
          <w:szCs w:val="32"/>
          <w:lang w:eastAsia="zh-CN"/>
        </w:rPr>
        <w:t>医疗</w:t>
      </w:r>
      <w:r>
        <w:rPr>
          <w:rFonts w:hint="eastAsia" w:ascii="仿宋_GB2312" w:eastAsia="仿宋_GB2312" w:cs="仿宋_GB2312"/>
          <w:kern w:val="0"/>
          <w:sz w:val="32"/>
          <w:szCs w:val="32"/>
        </w:rPr>
        <w:t>单位</w:t>
      </w:r>
      <w:r>
        <w:rPr>
          <w:rFonts w:hint="eastAsia" w:ascii="仿宋_GB2312" w:eastAsia="仿宋_GB2312" w:cs="仿宋_GB2312"/>
          <w:kern w:val="0"/>
          <w:sz w:val="32"/>
          <w:szCs w:val="32"/>
          <w:lang w:eastAsia="zh-CN"/>
        </w:rPr>
        <w:t>实现业务收支结余后，</w:t>
      </w:r>
      <w:r>
        <w:rPr>
          <w:rFonts w:hint="eastAsia" w:ascii="仿宋_GB2312" w:eastAsia="仿宋_GB2312" w:cs="仿宋_GB2312"/>
          <w:kern w:val="0"/>
          <w:sz w:val="32"/>
          <w:szCs w:val="32"/>
        </w:rPr>
        <w:t>按规定提取的职工福利基金、</w:t>
      </w:r>
      <w:r>
        <w:rPr>
          <w:rFonts w:hint="eastAsia" w:ascii="仿宋_GB2312" w:eastAsia="仿宋_GB2312" w:cs="仿宋_GB2312"/>
          <w:kern w:val="0"/>
          <w:sz w:val="32"/>
          <w:szCs w:val="32"/>
          <w:lang w:eastAsia="zh-CN"/>
        </w:rPr>
        <w:t>奖励基金及</w:t>
      </w:r>
      <w:r>
        <w:rPr>
          <w:rFonts w:hint="eastAsia" w:ascii="仿宋_GB2312" w:eastAsia="仿宋_GB2312" w:cs="仿宋_GB2312"/>
          <w:kern w:val="0"/>
          <w:sz w:val="32"/>
          <w:szCs w:val="32"/>
        </w:rPr>
        <w:t>事业</w:t>
      </w:r>
      <w:r>
        <w:rPr>
          <w:rFonts w:hint="eastAsia" w:ascii="仿宋_GB2312" w:eastAsia="仿宋_GB2312" w:cs="仿宋_GB2312"/>
          <w:kern w:val="0"/>
          <w:sz w:val="32"/>
          <w:szCs w:val="32"/>
          <w:lang w:eastAsia="zh-CN"/>
        </w:rPr>
        <w:t>发展</w:t>
      </w:r>
      <w:r>
        <w:rPr>
          <w:rFonts w:hint="eastAsia" w:ascii="仿宋_GB2312" w:eastAsia="仿宋_GB2312" w:cs="仿宋_GB2312"/>
          <w:kern w:val="0"/>
          <w:sz w:val="32"/>
          <w:szCs w:val="32"/>
        </w:rPr>
        <w:t>基金等。</w:t>
      </w: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 xml:space="preserve">、年末结转和结余：指本年度或以前年度预算安排、因客观条件发生变化无法按原计划实施，需要延迟到以后年度按有关规定继续使用的资金。 </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八</w:t>
      </w:r>
      <w:r>
        <w:rPr>
          <w:rFonts w:hint="eastAsia" w:ascii="仿宋_GB2312" w:eastAsia="仿宋_GB2312"/>
          <w:sz w:val="32"/>
          <w:szCs w:val="32"/>
        </w:rPr>
        <w:t xml:space="preserve">、基本支出：指为保障机构正常运转、完成日常工作任务而发生的人员支出和公用支出。 </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九</w:t>
      </w:r>
      <w:r>
        <w:rPr>
          <w:rFonts w:hint="eastAsia" w:ascii="仿宋_GB2312" w:eastAsia="仿宋_GB2312"/>
          <w:sz w:val="32"/>
          <w:szCs w:val="32"/>
        </w:rPr>
        <w:t xml:space="preserve">、项目支出：指在基本支出之外为完成特定行政任务和事业发展目标所发生的支出。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十、“三公”经费：纳入财政预决算管理的“三公”经费，是指财政拨款安排的公务用车运行费和公务接待费。其中，公务用车运行费反映单位公务用车燃料费、维修费、过路过桥费、保险费等支出；公务接待费反映单位按规定开支的各类公务接待支出。 </w:t>
      </w:r>
    </w:p>
    <w:p>
      <w:pPr>
        <w:ind w:firstLine="640" w:firstLineChars="200"/>
        <w:rPr>
          <w:rFonts w:hint="eastAsia" w:ascii="仿宋_GB2312" w:eastAsia="仿宋_GB2312"/>
          <w:sz w:val="32"/>
          <w:szCs w:val="32"/>
        </w:rPr>
      </w:pPr>
      <w:r>
        <w:rPr>
          <w:rFonts w:hint="eastAsia" w:ascii="仿宋_GB2312" w:eastAsia="仿宋_GB2312"/>
          <w:sz w:val="32"/>
          <w:szCs w:val="32"/>
        </w:rPr>
        <w:t>十</w:t>
      </w:r>
      <w:r>
        <w:rPr>
          <w:rFonts w:hint="eastAsia" w:ascii="仿宋_GB2312" w:eastAsia="仿宋_GB2312"/>
          <w:sz w:val="32"/>
          <w:szCs w:val="32"/>
          <w:lang w:eastAsia="zh-CN"/>
        </w:rPr>
        <w:t>一</w:t>
      </w:r>
      <w:r>
        <w:rPr>
          <w:rFonts w:hint="eastAsia" w:ascii="仿宋_GB2312" w:eastAsia="仿宋_GB2312"/>
          <w:sz w:val="32"/>
          <w:szCs w:val="32"/>
        </w:rPr>
        <w:t>、机关运行经费：为保障</w:t>
      </w:r>
      <w:r>
        <w:rPr>
          <w:rFonts w:hint="eastAsia" w:ascii="仿宋_GB2312" w:eastAsia="仿宋_GB2312"/>
          <w:sz w:val="32"/>
          <w:szCs w:val="32"/>
          <w:lang w:eastAsia="zh-CN"/>
        </w:rPr>
        <w:t>委本级</w:t>
      </w:r>
      <w:r>
        <w:rPr>
          <w:rFonts w:hint="eastAsia" w:ascii="仿宋_GB2312" w:eastAsia="仿宋_GB2312"/>
          <w:sz w:val="32"/>
          <w:szCs w:val="32"/>
        </w:rPr>
        <w:t>行政单位（含</w:t>
      </w:r>
      <w:r>
        <w:rPr>
          <w:rFonts w:hint="eastAsia" w:ascii="仿宋_GB2312" w:eastAsia="仿宋_GB2312"/>
          <w:sz w:val="32"/>
          <w:szCs w:val="32"/>
          <w:lang w:eastAsia="zh-CN"/>
        </w:rPr>
        <w:t>红十字会、计生协会</w:t>
      </w:r>
      <w:r>
        <w:rPr>
          <w:rFonts w:hint="eastAsia" w:ascii="仿宋_GB2312" w:eastAsia="仿宋_GB2312"/>
          <w:sz w:val="32"/>
          <w:szCs w:val="32"/>
        </w:rPr>
        <w:t>参公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kern w:val="0"/>
          <w:sz w:val="32"/>
          <w:szCs w:val="32"/>
        </w:rPr>
      </w:pP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AB387F00"/>
    <w:multiLevelType w:val="singleLevel"/>
    <w:tmpl w:val="AB387F0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xMmQ3YmZkMjQxNDllNTVhMWMwNDVjNWFiN2M1Y2I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17B5879"/>
    <w:rsid w:val="020C171D"/>
    <w:rsid w:val="0216715F"/>
    <w:rsid w:val="02DA4383"/>
    <w:rsid w:val="02E0291A"/>
    <w:rsid w:val="04E54546"/>
    <w:rsid w:val="05992762"/>
    <w:rsid w:val="07B0770E"/>
    <w:rsid w:val="0942143F"/>
    <w:rsid w:val="0D100297"/>
    <w:rsid w:val="0D202B45"/>
    <w:rsid w:val="0F8D4C87"/>
    <w:rsid w:val="10505FAA"/>
    <w:rsid w:val="105F7E7E"/>
    <w:rsid w:val="11E56B5B"/>
    <w:rsid w:val="125C77AB"/>
    <w:rsid w:val="14CB726E"/>
    <w:rsid w:val="16D246F4"/>
    <w:rsid w:val="170E4165"/>
    <w:rsid w:val="17E92249"/>
    <w:rsid w:val="18D304F1"/>
    <w:rsid w:val="19F32577"/>
    <w:rsid w:val="19F45B80"/>
    <w:rsid w:val="1B0C078D"/>
    <w:rsid w:val="1B2B31E2"/>
    <w:rsid w:val="1B4C295A"/>
    <w:rsid w:val="1B973C63"/>
    <w:rsid w:val="1BA1001E"/>
    <w:rsid w:val="1BDA4B30"/>
    <w:rsid w:val="1D317259"/>
    <w:rsid w:val="1D6334B4"/>
    <w:rsid w:val="1E664F5B"/>
    <w:rsid w:val="1EB34BE1"/>
    <w:rsid w:val="215E639F"/>
    <w:rsid w:val="21EC3183"/>
    <w:rsid w:val="225E72CD"/>
    <w:rsid w:val="246E2F77"/>
    <w:rsid w:val="254B4E2B"/>
    <w:rsid w:val="25ED29DD"/>
    <w:rsid w:val="270701A2"/>
    <w:rsid w:val="283D7C94"/>
    <w:rsid w:val="29480E03"/>
    <w:rsid w:val="2983634D"/>
    <w:rsid w:val="2B94580C"/>
    <w:rsid w:val="2BB02055"/>
    <w:rsid w:val="2C575A56"/>
    <w:rsid w:val="2C6C4635"/>
    <w:rsid w:val="2F257714"/>
    <w:rsid w:val="2F3275E5"/>
    <w:rsid w:val="2FE14FBC"/>
    <w:rsid w:val="30AA08EF"/>
    <w:rsid w:val="30D23D1C"/>
    <w:rsid w:val="31221CF5"/>
    <w:rsid w:val="31400178"/>
    <w:rsid w:val="321E3342"/>
    <w:rsid w:val="327759C8"/>
    <w:rsid w:val="33185FE3"/>
    <w:rsid w:val="34EE2E36"/>
    <w:rsid w:val="36777241"/>
    <w:rsid w:val="38A951DB"/>
    <w:rsid w:val="38B31605"/>
    <w:rsid w:val="39003F4F"/>
    <w:rsid w:val="3B7245D1"/>
    <w:rsid w:val="3C07002B"/>
    <w:rsid w:val="3D0D152A"/>
    <w:rsid w:val="3D154FE4"/>
    <w:rsid w:val="3DF62756"/>
    <w:rsid w:val="3ED05B44"/>
    <w:rsid w:val="3F1B7587"/>
    <w:rsid w:val="3F7E653D"/>
    <w:rsid w:val="3F7F43CC"/>
    <w:rsid w:val="3FA55575"/>
    <w:rsid w:val="40730E06"/>
    <w:rsid w:val="408549C2"/>
    <w:rsid w:val="41E57B4F"/>
    <w:rsid w:val="432F26F6"/>
    <w:rsid w:val="43880F63"/>
    <w:rsid w:val="441C5A6F"/>
    <w:rsid w:val="44C44FCC"/>
    <w:rsid w:val="44CC7369"/>
    <w:rsid w:val="457F5108"/>
    <w:rsid w:val="46951B6B"/>
    <w:rsid w:val="49A34401"/>
    <w:rsid w:val="4A3E30AB"/>
    <w:rsid w:val="4AC14DAC"/>
    <w:rsid w:val="4D154C85"/>
    <w:rsid w:val="4EC8553A"/>
    <w:rsid w:val="508F4E24"/>
    <w:rsid w:val="51461E90"/>
    <w:rsid w:val="51463753"/>
    <w:rsid w:val="52553A93"/>
    <w:rsid w:val="53521F8B"/>
    <w:rsid w:val="53E22F47"/>
    <w:rsid w:val="54522FF8"/>
    <w:rsid w:val="55450629"/>
    <w:rsid w:val="56692963"/>
    <w:rsid w:val="568B0F48"/>
    <w:rsid w:val="5786217B"/>
    <w:rsid w:val="59337A15"/>
    <w:rsid w:val="59447871"/>
    <w:rsid w:val="59810274"/>
    <w:rsid w:val="5CA96A00"/>
    <w:rsid w:val="5CF730BC"/>
    <w:rsid w:val="5E5F0DCE"/>
    <w:rsid w:val="5FA40A7B"/>
    <w:rsid w:val="5FD56D29"/>
    <w:rsid w:val="5FEC7F3F"/>
    <w:rsid w:val="60F74BC3"/>
    <w:rsid w:val="617D3BF8"/>
    <w:rsid w:val="61841F6A"/>
    <w:rsid w:val="623007A9"/>
    <w:rsid w:val="637D7558"/>
    <w:rsid w:val="644F19AC"/>
    <w:rsid w:val="65AA4920"/>
    <w:rsid w:val="67694F1E"/>
    <w:rsid w:val="69597934"/>
    <w:rsid w:val="6B964DDC"/>
    <w:rsid w:val="6C783074"/>
    <w:rsid w:val="6D145DE6"/>
    <w:rsid w:val="6D9E65C6"/>
    <w:rsid w:val="6DA81947"/>
    <w:rsid w:val="6EB66DE2"/>
    <w:rsid w:val="6ED3075F"/>
    <w:rsid w:val="6F2A2D4B"/>
    <w:rsid w:val="6F8A0C1E"/>
    <w:rsid w:val="703F45D4"/>
    <w:rsid w:val="715D6546"/>
    <w:rsid w:val="71BE069E"/>
    <w:rsid w:val="73953409"/>
    <w:rsid w:val="73E069A3"/>
    <w:rsid w:val="76295F09"/>
    <w:rsid w:val="78104AA8"/>
    <w:rsid w:val="78E257C5"/>
    <w:rsid w:val="794B35BE"/>
    <w:rsid w:val="7B0A3A31"/>
    <w:rsid w:val="7B3360ED"/>
    <w:rsid w:val="7B3560B5"/>
    <w:rsid w:val="7B5319F3"/>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2">
    <w:name w:val="heading 3"/>
    <w:basedOn w:val="1"/>
    <w:next w:val="1"/>
    <w:qFormat/>
    <w:uiPriority w:val="0"/>
    <w:pPr>
      <w:keepNext/>
      <w:keepLines/>
      <w:autoSpaceDE/>
      <w:autoSpaceDN/>
      <w:adjustRightInd/>
      <w:snapToGrid/>
      <w:spacing w:line="360" w:lineRule="auto"/>
      <w:ind w:firstLine="600" w:firstLineChars="200"/>
      <w:outlineLvl w:val="2"/>
    </w:pPr>
    <w:rPr>
      <w:rFonts w:ascii="Times New Roman" w:hAnsi="仿宋" w:eastAsia="黑体" w:cs="Times New Roman"/>
      <w:bCs/>
      <w:spacing w:val="0"/>
      <w:kern w:val="0"/>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3</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2023-11-24T09:29:04Z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1559F73865AE4B6597E0A202DAC472A6_13</vt:lpwstr>
  </property>
</Properties>
</file>