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eastAsia="zh-CN"/>
        </w:rPr>
      </w:pPr>
      <w:r>
        <w:rPr>
          <w:rFonts w:hint="eastAsia" w:ascii="黑体" w:hAnsi="黑体" w:eastAsia="黑体" w:cs="黑体"/>
          <w:b/>
          <w:bCs/>
          <w:sz w:val="52"/>
          <w:szCs w:val="52"/>
          <w:highlight w:val="none"/>
          <w:lang w:val="en-US" w:eastAsia="zh-CN"/>
        </w:rPr>
        <w:t>环江毛南族自治县</w:t>
      </w:r>
      <w:r>
        <w:rPr>
          <w:rFonts w:hint="eastAsia" w:ascii="黑体" w:hAnsi="黑体" w:eastAsia="黑体" w:cs="黑体"/>
          <w:b/>
          <w:bCs/>
          <w:sz w:val="52"/>
          <w:szCs w:val="52"/>
          <w:highlight w:val="none"/>
          <w:lang w:eastAsia="zh-CN"/>
        </w:rPr>
        <w:t>卫生健康局</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卫生健康局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根据《环江毛南族自治县人民政府办公室关于印发环江毛南族自治县卫生和计划生育委员会主要职责内设机构和人员编制规定的通知》（环政办发[2015]168号）文件规定，本部门主要职责是： </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贯彻落实党和国家、自治区、河池市和自治县关于卫生和计划生育、中医药民族医药事业发展的法律法规和方针政策。起草卫生和计划生育、中医药民族医药事业发展的规范性文件草案，拟定自治县卫生和计划生育规划和政策措施。配合推进全县医药卫生体制改革，负责统筹规划全县卫生和计划生育服务资源配置，负责全县卫生和计划生育规划的编制和实施。</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2.负责制定全县疾病预防控制规划、免疫规划、严重危害人民健康的公共卫生问题的干预措施并组织实施，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3.负责制定职责范围内的职业卫生、放射卫生、环境卫生、学校卫生、公共场所卫生、饮用水卫生管理规范、标准和政策措施，组织开展相关监测、调查、评估和监督，负责传染病防治等工作。组织开展食品安全风险监测和风险评估，组织开展食品安全重大事故流行病学调查处置。</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4.负责组织拟订并实施基层卫生和计划生育服务、妇幼卫生发展规划和政策措施，推进基层卫生和计划生育、妇幼卫生服务体系建设，推进基本公共卫生和计划生育服务均等化，完善基层运行新机制和乡村医生管理制度。</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5.负责制定全县医疗机构和医疗服务全行业管理办法并监督实施。组织实施国家、自治区和河池市制定的医疗机构及其医疗服务、医疗技术、医疗质量、医疗安全以及采供血机构管理的规范和标准，会同有关部门组织实施卫生专业技术人员准入制度，组织实施卫生专业技术执业规则和服务规范，建立医疗服务评价和监督管理体系。</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6.负责组织推进公立医院改革，建立公益性为导向的绩效考核和评价运行机制，建设和谐医患关系，提出医疗服务和药品价格政策的建议。</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7.组织实施国家药物政策和基本药物制度，提出基本药物目录内药品生产的鼓励扶持政策和基本药物价格政策的建议。</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8.贯彻落实国家计划生育政策，组织实施促进出生人口性别平衡的政策措施，组织监测计划生育发展动态，提出发布计划生育安全预警预报信息建议。落实计划生育技术服务管理和监督工作。组织实施优生优育和提高出生人口素质的政策措施，推动实施计划生育健康促进计划，降低出生缺陷人口数量。</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9.组织建立计划生育利益导向、计划生育特殊困难家庭扶助和促进计划生育家庭发展等机制。负责协调推进有关部门、群众团体履行计划生育工作相关职责，建立与经济社会政策的衔接机制，提出稳定低生育水平政策措施。</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10.制定流动人口计划生育服务管理制度并组织落实，推动建立流动人口卫生和计划生育信息共享和公共服务工作机制。</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11.组织拟订全县卫生和计划生育人才发展规划，指导卫生和计划生育人才队伍建设。加强全科医生等急需紧缺专业人才培养，建立完善住院医师和专科医师规范化培训制度并指导实施。</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12.组织拟订全县卫生和计划生育科技发展规划，组织实施卫生和计划生育相关科研项目。组织实施毕业后医学教育和继续医学教育。</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13.指导全县卫生和计划生育工作，完善综合监督执法体系，规范执法行为，监督检查法律法规和政策措施的落实，组织查处重大违法行为。组织实施人口和计划生育目标管理责任制的考评工作。落实计划生育一票否决制。</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14.负责卫生和计划生育宣传、健康教育和健康促进等工作。组织指导卫生和计划生育涉外工作的交流与合作。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15.负责拟订全县卫生和计划生育信息化发展规划，负责组织指导全县卫生和计划生育信息化建设，做好信息平台建设与运行维护管理，依法组织实施统计调查，做好全县人口基础信息库建设。</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16.指导制定中医药民族医药中长期发展规划，并纳入卫生和计划生育事业发展总体规划和战略目标。</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17.协调有关部门对全县艾滋病实施防控和干预，控制艾滋病的发生和蔓延。</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18.负责全县保健对象的医疗保健工作和有关部门干部医疗管理工作，负责重要会议和重大活动的医疗卫生保障工作。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19.承担自治县爱国卫生运动委员会、自治县艾滋病防治工作委员会、自治县初级卫生保健工作委员会的日常工作。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20.承担老龄服务工作。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21.承办自治县人民政府交办的其他事项。</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600" w:lineRule="exact"/>
        <w:ind w:firstLine="640" w:firstLineChars="200"/>
        <w:rPr>
          <w:rFonts w:hint="default" w:ascii="黑体" w:hAnsi="黑体" w:eastAsia="黑体" w:cs="黑体"/>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22</w:t>
      </w:r>
      <w:r>
        <w:rPr>
          <w:rFonts w:hint="eastAsia" w:ascii="仿宋_GB2312" w:hAnsi="Calibri" w:eastAsia="仿宋_GB2312" w:cs="Times New Roman"/>
          <w:sz w:val="32"/>
          <w:szCs w:val="32"/>
        </w:rPr>
        <w:t>年部门决算共</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个，</w:t>
      </w:r>
      <w:r>
        <w:rPr>
          <w:rFonts w:hint="eastAsia" w:ascii="仿宋_GB2312" w:hAnsi="Calibri" w:eastAsia="仿宋_GB2312" w:cs="Times New Roman"/>
          <w:sz w:val="32"/>
          <w:szCs w:val="32"/>
          <w:lang w:eastAsia="zh-CN"/>
        </w:rPr>
        <w:t>为</w:t>
      </w:r>
      <w:r>
        <w:rPr>
          <w:rFonts w:hint="eastAsia" w:ascii="仿宋_GB2312" w:hAnsi="Calibri" w:eastAsia="仿宋_GB2312" w:cs="Times New Roman"/>
          <w:sz w:val="32"/>
          <w:szCs w:val="32"/>
        </w:rPr>
        <w:t>卫</w:t>
      </w:r>
      <w:r>
        <w:rPr>
          <w:rFonts w:hint="eastAsia" w:ascii="仿宋_GB2312" w:hAnsi="Calibri" w:eastAsia="仿宋_GB2312" w:cs="Times New Roman"/>
          <w:sz w:val="32"/>
          <w:szCs w:val="32"/>
          <w:lang w:eastAsia="zh-CN"/>
        </w:rPr>
        <w:t>健局</w:t>
      </w:r>
      <w:r>
        <w:rPr>
          <w:rFonts w:hint="eastAsia" w:ascii="仿宋_GB2312" w:hAnsi="Calibri" w:eastAsia="仿宋_GB2312" w:cs="Times New Roman"/>
          <w:sz w:val="32"/>
          <w:szCs w:val="32"/>
        </w:rPr>
        <w:t>本级行政单位</w:t>
      </w:r>
      <w:r>
        <w:rPr>
          <w:rFonts w:hint="eastAsia" w:ascii="仿宋_GB2312" w:hAnsi="Calibri" w:eastAsia="仿宋_GB2312" w:cs="Times New Roman"/>
          <w:sz w:val="32"/>
          <w:szCs w:val="32"/>
          <w:lang w:eastAsia="zh-CN"/>
        </w:rPr>
        <w:t>。按照部门决算编报要求，单独编制本部门决算。</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rPr>
        <w:t xml:space="preserve"> 2022年度部门决算报表</w:t>
      </w:r>
    </w:p>
    <w:tbl>
      <w:tblPr>
        <w:tblStyle w:val="7"/>
        <w:tblW w:w="14070" w:type="dxa"/>
        <w:tblInd w:w="93" w:type="dxa"/>
        <w:tblLayout w:type="fixed"/>
        <w:tblCellMar>
          <w:top w:w="0" w:type="dxa"/>
          <w:left w:w="108" w:type="dxa"/>
          <w:bottom w:w="0" w:type="dxa"/>
          <w:right w:w="108" w:type="dxa"/>
        </w:tblCellMar>
      </w:tblPr>
      <w:tblGrid>
        <w:gridCol w:w="3"/>
        <w:gridCol w:w="2543"/>
        <w:gridCol w:w="1669"/>
        <w:gridCol w:w="570"/>
        <w:gridCol w:w="154"/>
        <w:gridCol w:w="2096"/>
        <w:gridCol w:w="135"/>
        <w:gridCol w:w="2669"/>
        <w:gridCol w:w="1411"/>
        <w:gridCol w:w="570"/>
        <w:gridCol w:w="221"/>
        <w:gridCol w:w="1902"/>
        <w:gridCol w:w="127"/>
      </w:tblGrid>
      <w:tr>
        <w:tblPrEx>
          <w:tblCellMar>
            <w:top w:w="0" w:type="dxa"/>
            <w:left w:w="108" w:type="dxa"/>
            <w:bottom w:w="0" w:type="dxa"/>
            <w:right w:w="108" w:type="dxa"/>
          </w:tblCellMar>
        </w:tblPrEx>
        <w:trPr>
          <w:gridBefore w:val="1"/>
          <w:gridAfter w:val="1"/>
          <w:wBefore w:w="3" w:type="dxa"/>
          <w:wAfter w:w="127" w:type="dxa"/>
          <w:trHeight w:val="902" w:hRule="atLeast"/>
        </w:trPr>
        <w:tc>
          <w:tcPr>
            <w:tcW w:w="13940" w:type="dxa"/>
            <w:gridSpan w:val="1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gridAfter w:val="1"/>
          <w:wBefore w:w="3" w:type="dxa"/>
          <w:wAfter w:w="127" w:type="dxa"/>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215"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部门：广西河池市环江毛南族自治县卫生健康局（本级）</w:t>
            </w:r>
          </w:p>
        </w:tc>
        <w:tc>
          <w:tcPr>
            <w:tcW w:w="5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5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15"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50"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035"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25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25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2,579.22</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2,579.22</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15"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2,579.22</w:t>
            </w:r>
          </w:p>
        </w:tc>
        <w:tc>
          <w:tcPr>
            <w:tcW w:w="4215"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5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tbl>
      <w:tblPr>
        <w:tblStyle w:val="7"/>
        <w:tblW w:w="17520" w:type="dxa"/>
        <w:tblInd w:w="0" w:type="dxa"/>
        <w:tblLayout w:type="fixed"/>
        <w:tblCellMar>
          <w:top w:w="0" w:type="dxa"/>
          <w:left w:w="108" w:type="dxa"/>
          <w:bottom w:w="0" w:type="dxa"/>
          <w:right w:w="108" w:type="dxa"/>
        </w:tblCellMar>
      </w:tblPr>
      <w:tblGrid>
        <w:gridCol w:w="96"/>
        <w:gridCol w:w="890"/>
        <w:gridCol w:w="2072"/>
        <w:gridCol w:w="236"/>
        <w:gridCol w:w="236"/>
        <w:gridCol w:w="524"/>
        <w:gridCol w:w="888"/>
        <w:gridCol w:w="632"/>
        <w:gridCol w:w="684"/>
        <w:gridCol w:w="769"/>
        <w:gridCol w:w="547"/>
        <w:gridCol w:w="826"/>
        <w:gridCol w:w="490"/>
        <w:gridCol w:w="977"/>
        <w:gridCol w:w="339"/>
        <w:gridCol w:w="1141"/>
        <w:gridCol w:w="176"/>
        <w:gridCol w:w="1317"/>
        <w:gridCol w:w="1216"/>
        <w:gridCol w:w="115"/>
      </w:tblGrid>
      <w:tr>
        <w:tblPrEx>
          <w:tblCellMar>
            <w:top w:w="0" w:type="dxa"/>
            <w:left w:w="108" w:type="dxa"/>
            <w:bottom w:w="0" w:type="dxa"/>
            <w:right w:w="108" w:type="dxa"/>
          </w:tblCellMar>
        </w:tblPrEx>
        <w:trPr>
          <w:gridBefore w:val="1"/>
          <w:gridAfter w:val="1"/>
          <w:wBefore w:w="96" w:type="dxa"/>
          <w:wAfter w:w="115" w:type="dxa"/>
          <w:trHeight w:val="951" w:hRule="atLeast"/>
        </w:trPr>
        <w:tc>
          <w:tcPr>
            <w:tcW w:w="13960" w:type="dxa"/>
            <w:gridSpan w:val="18"/>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gridBefore w:val="1"/>
          <w:gridAfter w:val="1"/>
          <w:wBefore w:w="96" w:type="dxa"/>
          <w:wAfter w:w="115" w:type="dxa"/>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1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1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1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51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21" w:type="pct"/>
            <w:gridSpan w:val="5"/>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1" w:type="pct"/>
            <w:gridSpan w:val="5"/>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1" w:type="pct"/>
            <w:gridSpan w:val="5"/>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7"/>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4" w:type="pct"/>
            <w:gridSpan w:val="7"/>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2,579.22</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2,579.22</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84.28</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84.28</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红十字事业</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2,183.10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2,183.10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715.33</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715.33</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463.51</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463.51</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337.48</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337.48</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2100402</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卫生监督机构</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73.94</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73.94</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92.72</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92.72</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1,103.29</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1,103.29</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926.32</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926.32</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167.37</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167.37</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老龄卫生健康事务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2101601</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老龄卫生健康事务</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12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5720" w:type="dxa"/>
        <w:tblInd w:w="0" w:type="dxa"/>
        <w:tblLayout w:type="fixed"/>
        <w:tblCellMar>
          <w:top w:w="0" w:type="dxa"/>
          <w:left w:w="108" w:type="dxa"/>
          <w:bottom w:w="0" w:type="dxa"/>
          <w:right w:w="108" w:type="dxa"/>
        </w:tblCellMar>
      </w:tblPr>
      <w:tblGrid>
        <w:gridCol w:w="96"/>
        <w:gridCol w:w="1682"/>
        <w:gridCol w:w="5289"/>
        <w:gridCol w:w="1672"/>
        <w:gridCol w:w="1377"/>
        <w:gridCol w:w="1103"/>
        <w:gridCol w:w="660"/>
        <w:gridCol w:w="660"/>
        <w:gridCol w:w="1537"/>
        <w:gridCol w:w="98"/>
      </w:tblGrid>
      <w:tr>
        <w:tblPrEx>
          <w:tblCellMar>
            <w:top w:w="0" w:type="dxa"/>
            <w:left w:w="108" w:type="dxa"/>
            <w:bottom w:w="0" w:type="dxa"/>
            <w:right w:w="108" w:type="dxa"/>
          </w:tblCellMar>
        </w:tblPrEx>
        <w:trPr>
          <w:gridBefore w:val="1"/>
          <w:gridAfter w:val="1"/>
          <w:wBefore w:w="96" w:type="dxa"/>
          <w:wAfter w:w="98" w:type="dxa"/>
          <w:trHeight w:val="623" w:hRule="atLeast"/>
        </w:trPr>
        <w:tc>
          <w:tcPr>
            <w:tcW w:w="1398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94"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部门：广西河池市环江毛南族自治县卫生健康局（本级）</w:t>
            </w:r>
          </w:p>
        </w:tc>
        <w:tc>
          <w:tcPr>
            <w:tcW w:w="5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74"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4"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9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8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8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3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4"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6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9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2"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2"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4"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65"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2"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2"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4"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65"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2"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2"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4"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4"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9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4"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2,579.22</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803.20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1,776.02</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84.28</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68.28</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红十字事业</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2,183.10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454.28</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1,728.82</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715.33</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454.28</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261.05</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463.51</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403.12</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60.39</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200.65</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337.48</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337.48</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2100402</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卫生监督机构</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126.26</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126.26</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73.94</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73.94</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92.72</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92.72</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1,103.29</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1,103.29</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926.32</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926.32</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167.37</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167.37</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老龄卫生健康事务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2101601</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老龄卫生健康事务</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50.76</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8"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5000" w:type="pct"/>
        <w:tblInd w:w="0" w:type="dxa"/>
        <w:tblLayout w:type="fixed"/>
        <w:tblCellMar>
          <w:top w:w="0" w:type="dxa"/>
          <w:left w:w="108" w:type="dxa"/>
          <w:bottom w:w="0" w:type="dxa"/>
          <w:right w:w="108" w:type="dxa"/>
        </w:tblCellMar>
      </w:tblPr>
      <w:tblGrid>
        <w:gridCol w:w="3158"/>
        <w:gridCol w:w="815"/>
        <w:gridCol w:w="1228"/>
        <w:gridCol w:w="2414"/>
        <w:gridCol w:w="1086"/>
        <w:gridCol w:w="1200"/>
        <w:gridCol w:w="1429"/>
        <w:gridCol w:w="1325"/>
        <w:gridCol w:w="1519"/>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CellMar>
            <w:top w:w="0" w:type="dxa"/>
            <w:left w:w="108" w:type="dxa"/>
            <w:bottom w:w="0" w:type="dxa"/>
            <w:right w:w="108" w:type="dxa"/>
          </w:tblCellMar>
        </w:tblPrEx>
        <w:trPr>
          <w:trHeight w:val="260" w:hRule="atLeast"/>
        </w:trPr>
        <w:tc>
          <w:tcPr>
            <w:tcW w:w="111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3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50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6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53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公开04表</w:t>
            </w:r>
          </w:p>
        </w:tc>
      </w:tr>
      <w:tr>
        <w:tblPrEx>
          <w:tblCellMar>
            <w:top w:w="0" w:type="dxa"/>
            <w:left w:w="108" w:type="dxa"/>
            <w:bottom w:w="0" w:type="dxa"/>
            <w:right w:w="108" w:type="dxa"/>
          </w:tblCellMar>
        </w:tblPrEx>
        <w:trPr>
          <w:trHeight w:val="260" w:hRule="atLeast"/>
        </w:trPr>
        <w:tc>
          <w:tcPr>
            <w:tcW w:w="1834" w:type="pct"/>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r>
              <w:rPr>
                <w:rFonts w:hint="eastAsia" w:ascii="宋体" w:hAnsi="宋体" w:eastAsia="宋体" w:cs="宋体"/>
                <w:i w:val="0"/>
                <w:iCs w:val="0"/>
                <w:color w:val="000000"/>
                <w:kern w:val="0"/>
                <w:sz w:val="20"/>
                <w:szCs w:val="20"/>
                <w:u w:val="none"/>
                <w:lang w:val="en-US" w:eastAsia="zh-CN" w:bidi="ar"/>
              </w:rPr>
              <w:t>部门：广西河池市环江毛南族自治县卫生健康局（本级）</w:t>
            </w:r>
          </w:p>
        </w:tc>
        <w:tc>
          <w:tcPr>
            <w:tcW w:w="85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8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2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504"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6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535"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268" w:hRule="atLeast"/>
        </w:trPr>
        <w:tc>
          <w:tcPr>
            <w:tcW w:w="183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     入</w:t>
            </w:r>
          </w:p>
        </w:tc>
        <w:tc>
          <w:tcPr>
            <w:tcW w:w="3165"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1193" w:hRule="atLeast"/>
        </w:trPr>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CellMar>
            <w:top w:w="0" w:type="dxa"/>
            <w:left w:w="108" w:type="dxa"/>
            <w:bottom w:w="0" w:type="dxa"/>
            <w:right w:w="108" w:type="dxa"/>
          </w:tblCellMar>
        </w:tblPrEx>
        <w:trPr>
          <w:trHeight w:val="536" w:hRule="atLeast"/>
        </w:trPr>
        <w:tc>
          <w:tcPr>
            <w:tcW w:w="11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2,579.22</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116.87</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116.87</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84.28</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84.28</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2,183.10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2,183.10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50.76</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50.76</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113.01</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113.01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24</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25</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2,579.22</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2,579.22</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2,579.22</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1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2,579.22</w:t>
            </w:r>
          </w:p>
        </w:tc>
        <w:tc>
          <w:tcPr>
            <w:tcW w:w="8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2,579.22</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2,579.22</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rPr>
          <w:trHeight w:val="268" w:hRule="atLeast"/>
        </w:trPr>
        <w:tc>
          <w:tcPr>
            <w:tcW w:w="446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5000" w:type="pct"/>
            <w:gridSpan w:val="9"/>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5000" w:type="pct"/>
        <w:tblInd w:w="0" w:type="dxa"/>
        <w:tblLayout w:type="fixed"/>
        <w:tblCellMar>
          <w:top w:w="0" w:type="dxa"/>
          <w:left w:w="108" w:type="dxa"/>
          <w:bottom w:w="0" w:type="dxa"/>
          <w:right w:w="108" w:type="dxa"/>
        </w:tblCellMar>
      </w:tblPr>
      <w:tblGrid>
        <w:gridCol w:w="5212"/>
        <w:gridCol w:w="222"/>
        <w:gridCol w:w="240"/>
        <w:gridCol w:w="3939"/>
        <w:gridCol w:w="1103"/>
        <w:gridCol w:w="1094"/>
        <w:gridCol w:w="2364"/>
      </w:tblGrid>
      <w:tr>
        <w:tblPrEx>
          <w:tblCellMar>
            <w:top w:w="0" w:type="dxa"/>
            <w:left w:w="108" w:type="dxa"/>
            <w:bottom w:w="0" w:type="dxa"/>
            <w:right w:w="108" w:type="dxa"/>
          </w:tblCellMar>
        </w:tblPrEx>
        <w:trPr>
          <w:trHeight w:val="693"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CellMar>
            <w:top w:w="0" w:type="dxa"/>
            <w:left w:w="108" w:type="dxa"/>
            <w:bottom w:w="0" w:type="dxa"/>
            <w:right w:w="108" w:type="dxa"/>
          </w:tblCellMar>
        </w:tblPrEx>
        <w:trPr>
          <w:trHeight w:val="346" w:hRule="atLeast"/>
        </w:trPr>
        <w:tc>
          <w:tcPr>
            <w:tcW w:w="1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8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3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公开05表</w:t>
            </w:r>
          </w:p>
        </w:tc>
      </w:tr>
      <w:tr>
        <w:trPr>
          <w:trHeight w:val="346" w:hRule="atLeast"/>
        </w:trPr>
        <w:tc>
          <w:tcPr>
            <w:tcW w:w="3391" w:type="pct"/>
            <w:gridSpan w:val="4"/>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r>
              <w:rPr>
                <w:rFonts w:hint="eastAsia" w:ascii="宋体" w:hAnsi="宋体" w:eastAsia="宋体" w:cs="宋体"/>
                <w:i w:val="0"/>
                <w:iCs w:val="0"/>
                <w:color w:val="000000"/>
                <w:kern w:val="0"/>
                <w:sz w:val="20"/>
                <w:szCs w:val="20"/>
                <w:u w:val="none"/>
                <w:lang w:val="en-US" w:eastAsia="zh-CN" w:bidi="ar"/>
              </w:rPr>
              <w:t>部门：广西河池市环江毛南族自治县卫生健康局（本级）</w:t>
            </w:r>
          </w:p>
        </w:tc>
        <w:tc>
          <w:tcPr>
            <w:tcW w:w="38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8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83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58" w:hRule="atLeast"/>
        </w:trPr>
        <w:tc>
          <w:tcPr>
            <w:tcW w:w="3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60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53"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3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19" w:hRule="atLeast"/>
        </w:trPr>
        <w:tc>
          <w:tcPr>
            <w:tcW w:w="339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53" w:hRule="atLeast"/>
        </w:trPr>
        <w:tc>
          <w:tcPr>
            <w:tcW w:w="339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2,579.22</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803.20</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1,776.02</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一般公共服务支出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116.87</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116.87</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群众团体事务</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116.87</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116.87</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116.87</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116.87</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教育支出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普通教育</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2050299</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84.28</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68.28</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68.28</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68.28</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68.28</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68.28</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20816</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红十字事业</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16.00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2081699</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16.00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卫生健康支出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2,183.10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454.28</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1,728.82</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21001</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卫生健康管理事务</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715.33</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454.28</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261.05</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2100101</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463.51</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403.12</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60.39</w:t>
            </w:r>
          </w:p>
        </w:tc>
      </w:tr>
      <w:tr>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2100199</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251.82</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51.17</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200.65</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公共卫生</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337.48</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337.48</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2100402</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卫生监督机构</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126.26</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126.26</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2100408</w:t>
            </w:r>
          </w:p>
        </w:tc>
        <w:tc>
          <w:tcPr>
            <w:tcW w:w="1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73.94</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73.94</w:t>
            </w:r>
          </w:p>
        </w:tc>
      </w:tr>
      <w:tr>
        <w:tblPrEx>
          <w:tblCellMar>
            <w:top w:w="0" w:type="dxa"/>
            <w:left w:w="108" w:type="dxa"/>
            <w:bottom w:w="0" w:type="dxa"/>
            <w:right w:w="108" w:type="dxa"/>
          </w:tblCellMar>
        </w:tblPrEx>
        <w:trPr>
          <w:trHeight w:val="358" w:hRule="atLeast"/>
        </w:trPr>
        <w:tc>
          <w:tcPr>
            <w:tcW w:w="2001" w:type="pct"/>
            <w:gridSpan w:val="3"/>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2100409</w:t>
            </w:r>
          </w:p>
        </w:tc>
        <w:tc>
          <w:tcPr>
            <w:tcW w:w="1389"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389"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44.56</w:t>
            </w:r>
          </w:p>
        </w:tc>
        <w:tc>
          <w:tcPr>
            <w:tcW w:w="385"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33"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44.56</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5000" w:type="pct"/>
        <w:tblInd w:w="0" w:type="dxa"/>
        <w:tblLayout w:type="fixed"/>
        <w:tblCellMar>
          <w:top w:w="0" w:type="dxa"/>
          <w:left w:w="108" w:type="dxa"/>
          <w:bottom w:w="0" w:type="dxa"/>
          <w:right w:w="108" w:type="dxa"/>
        </w:tblCellMar>
      </w:tblPr>
      <w:tblGrid>
        <w:gridCol w:w="1072"/>
        <w:gridCol w:w="2372"/>
        <w:gridCol w:w="1200"/>
        <w:gridCol w:w="1000"/>
        <w:gridCol w:w="1957"/>
        <w:gridCol w:w="1172"/>
        <w:gridCol w:w="871"/>
        <w:gridCol w:w="2700"/>
        <w:gridCol w:w="1830"/>
      </w:tblGrid>
      <w:tr>
        <w:tblPrEx>
          <w:tblCellMar>
            <w:top w:w="0" w:type="dxa"/>
            <w:left w:w="108" w:type="dxa"/>
            <w:bottom w:w="0" w:type="dxa"/>
            <w:right w:w="108" w:type="dxa"/>
          </w:tblCellMar>
        </w:tblPrEx>
        <w:trPr>
          <w:trHeight w:val="614"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CellMar>
            <w:top w:w="0" w:type="dxa"/>
            <w:left w:w="108" w:type="dxa"/>
            <w:bottom w:w="0" w:type="dxa"/>
            <w:right w:w="108" w:type="dxa"/>
          </w:tblCellMar>
        </w:tblPrEx>
        <w:trPr>
          <w:trHeight w:val="307" w:hRule="atLeast"/>
        </w:trPr>
        <w:tc>
          <w:tcPr>
            <w:tcW w:w="3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5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6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5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18"/>
                <w:szCs w:val="18"/>
                <w:u w:val="none"/>
                <w:lang w:val="en-US" w:eastAsia="zh-CN" w:bidi="ar"/>
              </w:rPr>
              <w:t>公开06表</w:t>
            </w:r>
          </w:p>
        </w:tc>
      </w:tr>
      <w:tr>
        <w:tblPrEx>
          <w:tblCellMar>
            <w:top w:w="0" w:type="dxa"/>
            <w:left w:w="108" w:type="dxa"/>
            <w:bottom w:w="0" w:type="dxa"/>
            <w:right w:w="108" w:type="dxa"/>
          </w:tblCellMar>
        </w:tblPrEx>
        <w:trPr>
          <w:trHeight w:val="569" w:hRule="atLeast"/>
        </w:trPr>
        <w:tc>
          <w:tcPr>
            <w:tcW w:w="1214"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r>
              <w:rPr>
                <w:rFonts w:hint="eastAsia" w:ascii="宋体" w:hAnsi="宋体" w:eastAsia="宋体" w:cs="宋体"/>
                <w:i w:val="0"/>
                <w:iCs w:val="0"/>
                <w:color w:val="000000"/>
                <w:kern w:val="0"/>
                <w:sz w:val="20"/>
                <w:szCs w:val="20"/>
                <w:u w:val="none"/>
                <w:lang w:val="en-US" w:eastAsia="zh-CN" w:bidi="ar"/>
              </w:rPr>
              <w:t>部门：广西河池市环江毛南族自治县卫生健康局（本级）</w:t>
            </w:r>
          </w:p>
        </w:tc>
        <w:tc>
          <w:tcPr>
            <w:tcW w:w="42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5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69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1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0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5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645"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9" w:hRule="atLeast"/>
        </w:trPr>
        <w:tc>
          <w:tcPr>
            <w:tcW w:w="163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3361"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决算数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1237"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633.47</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w:t>
            </w: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141.56</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w:t>
            </w: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 xml:space="preserve">  基本工资</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193.53</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30201</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3.80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30701</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71.59</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30202</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30702</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158.80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30203</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8.33</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30204</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31001</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49.22</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30205</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0.23</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31002</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68.10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30206</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2.23</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31003</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30207</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5.36</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31005</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27.99</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30208</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31006</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30209</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0.13</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31007</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2.06</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30211</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31008</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50.76</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30212</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31009</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0.40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30213</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2.69</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30214</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31011</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28.18</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30215</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31012</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30216</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31013</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30217</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31019</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30218</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31021</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30224</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31022</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28.13</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30225</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31099</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30226</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30227</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39907</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30228</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116.87</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39908</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0.05</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30229</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39909</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30231</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9.13</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39910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30239</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0.07</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39999</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30240</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30299</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0.12</w:t>
            </w:r>
          </w:p>
        </w:tc>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2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661.65</w:t>
            </w:r>
          </w:p>
        </w:tc>
        <w:tc>
          <w:tcPr>
            <w:tcW w:w="2716"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141.56</w:t>
            </w:r>
          </w:p>
        </w:tc>
      </w:tr>
      <w:bookmarkEnd w:id="0"/>
      <w:bookmarkEnd w:id="1"/>
      <w:tr>
        <w:tblPrEx>
          <w:tblCellMar>
            <w:top w:w="0" w:type="dxa"/>
            <w:left w:w="108" w:type="dxa"/>
            <w:bottom w:w="0" w:type="dxa"/>
            <w:right w:w="108" w:type="dxa"/>
          </w:tblCellMar>
        </w:tblPrEx>
        <w:trPr>
          <w:trHeight w:val="624"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tblPrEx>
          <w:tblCellMar>
            <w:top w:w="0" w:type="dxa"/>
            <w:left w:w="108" w:type="dxa"/>
            <w:bottom w:w="0" w:type="dxa"/>
            <w:right w:w="108" w:type="dxa"/>
          </w:tblCellMar>
        </w:tblPrEx>
        <w:trPr>
          <w:trHeight w:val="319" w:hRule="atLeast"/>
        </w:trPr>
        <w:tc>
          <w:tcPr>
            <w:tcW w:w="5000" w:type="pct"/>
            <w:gridSpan w:val="9"/>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22"/>
                <w:szCs w:val="22"/>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卫生健康局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卫生健康局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134"/>
        <w:gridCol w:w="304"/>
        <w:gridCol w:w="927"/>
        <w:gridCol w:w="498"/>
        <w:gridCol w:w="733"/>
        <w:gridCol w:w="361"/>
        <w:gridCol w:w="870"/>
        <w:gridCol w:w="289"/>
        <w:gridCol w:w="942"/>
        <w:gridCol w:w="191"/>
        <w:gridCol w:w="1040"/>
        <w:gridCol w:w="1066"/>
        <w:gridCol w:w="39"/>
        <w:gridCol w:w="1105"/>
        <w:gridCol w:w="17"/>
        <w:gridCol w:w="1053"/>
        <w:gridCol w:w="36"/>
        <w:gridCol w:w="1106"/>
        <w:gridCol w:w="6"/>
        <w:gridCol w:w="1100"/>
        <w:gridCol w:w="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2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2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卫生健康局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预算数</w:t>
            </w:r>
          </w:p>
        </w:tc>
        <w:tc>
          <w:tcPr>
            <w:tcW w:w="6634"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gridAfter w:val="1"/>
          <w:wAfter w:w="17" w:type="dxa"/>
          <w:trHeight w:val="326" w:hRule="atLeast"/>
        </w:trPr>
        <w:tc>
          <w:tcPr>
            <w:tcW w:w="123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231"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93"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31"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c>
          <w:tcPr>
            <w:tcW w:w="110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1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18"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06"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gridAfter w:val="1"/>
          <w:wAfter w:w="17" w:type="dxa"/>
          <w:trHeight w:val="642" w:hRule="atLeast"/>
        </w:trPr>
        <w:tc>
          <w:tcPr>
            <w:tcW w:w="123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31"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3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23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31"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5"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1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0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06"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23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23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23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23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23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23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11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11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11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11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10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110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gridAfter w:val="1"/>
          <w:wAfter w:w="17" w:type="dxa"/>
          <w:trHeight w:val="642" w:hRule="atLeast"/>
        </w:trPr>
        <w:tc>
          <w:tcPr>
            <w:tcW w:w="123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10.75</w:t>
            </w:r>
          </w:p>
        </w:tc>
        <w:tc>
          <w:tcPr>
            <w:tcW w:w="123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9.60</w:t>
            </w:r>
          </w:p>
        </w:tc>
        <w:tc>
          <w:tcPr>
            <w:tcW w:w="123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9.60</w:t>
            </w:r>
          </w:p>
        </w:tc>
        <w:tc>
          <w:tcPr>
            <w:tcW w:w="123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1.15</w:t>
            </w:r>
          </w:p>
        </w:tc>
        <w:tc>
          <w:tcPr>
            <w:tcW w:w="110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10.75</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0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9.60</w:t>
            </w:r>
          </w:p>
        </w:tc>
        <w:tc>
          <w:tcPr>
            <w:tcW w:w="1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0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9.60</w:t>
            </w:r>
          </w:p>
        </w:tc>
        <w:tc>
          <w:tcPr>
            <w:tcW w:w="110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1.15</w:t>
            </w:r>
          </w:p>
        </w:tc>
      </w:tr>
      <w:tr>
        <w:tblPrEx>
          <w:tblCellMar>
            <w:top w:w="0" w:type="dxa"/>
            <w:left w:w="108" w:type="dxa"/>
            <w:bottom w:w="0" w:type="dxa"/>
            <w:right w:w="108" w:type="dxa"/>
          </w:tblCellMar>
        </w:tblPrEx>
        <w:trPr>
          <w:gridAfter w:val="1"/>
          <w:wAfter w:w="17" w:type="dxa"/>
          <w:trHeight w:val="642" w:hRule="atLeast"/>
        </w:trPr>
        <w:tc>
          <w:tcPr>
            <w:tcW w:w="14019" w:type="dxa"/>
            <w:gridSpan w:val="2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lang w:val="en-US" w:eastAsia="zh-CN"/>
        </w:rPr>
        <w:t>2579.22</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增加697.45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增长37</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kern w:val="0"/>
          <w:sz w:val="32"/>
          <w:szCs w:val="32"/>
          <w:lang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2579.22</w:t>
      </w:r>
      <w:r>
        <w:rPr>
          <w:rFonts w:hint="eastAsia" w:ascii="仿宋" w:hAnsi="仿宋" w:eastAsia="仿宋" w:cs="仿宋"/>
          <w:kern w:val="2"/>
          <w:sz w:val="32"/>
          <w:szCs w:val="32"/>
          <w:highlight w:val="none"/>
          <w:lang w:val="en-US" w:eastAsia="zh-CN" w:bidi="ar"/>
        </w:rPr>
        <w:t>万元，为县本级财政当年拨付的资金。较2021年度决算数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697.45</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highlight w:val="none"/>
          <w:lang w:val="en-US" w:eastAsia="zh-CN"/>
        </w:rPr>
        <w:t>增长37</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0"/>
          <w:sz w:val="32"/>
          <w:szCs w:val="32"/>
          <w:lang w:eastAsia="zh-CN"/>
        </w:rPr>
        <w:t>疫情投入增加。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w:t>
      </w:r>
      <w:r>
        <w:rPr>
          <w:rFonts w:hint="eastAsia" w:ascii="仿宋" w:hAnsi="仿宋" w:eastAsia="仿宋" w:cs="仿宋"/>
          <w:color w:val="auto"/>
          <w:kern w:val="2"/>
          <w:sz w:val="32"/>
          <w:szCs w:val="32"/>
          <w:highlight w:val="none"/>
          <w:lang w:val="en-US" w:eastAsia="zh-CN" w:bidi="ar"/>
        </w:rPr>
        <w:t>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万元，为县本级财政当年拨付的资金。较2021年度决算数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，主要原因：本部门2022年度没有政府性基金预算财政拨款收入，也没有政府性基金预算财政拨款安排的支出。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万元。为县本级财政当年拨付的资金。较2021年度决算数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，主要原因是：本部门2022年度没有国有资本经营预算财政拨款收入，也没有国有资本经营预算财政拨款安排的支出。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万元，较</w:t>
      </w:r>
      <w:r>
        <w:rPr>
          <w:rFonts w:hint="eastAsia" w:ascii="仿宋" w:hAnsi="仿宋" w:eastAsia="仿宋" w:cs="仿宋"/>
          <w:color w:val="auto"/>
          <w:kern w:val="2"/>
          <w:sz w:val="32"/>
          <w:szCs w:val="32"/>
          <w:highlight w:val="none"/>
          <w:lang w:val="en-US" w:eastAsia="zh-CN" w:bidi="ar"/>
        </w:rPr>
        <w:t>2021年度决算数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w:t>
      </w:r>
      <w:r>
        <w:rPr>
          <w:rFonts w:hint="eastAsia" w:ascii="仿宋" w:hAnsi="仿宋" w:eastAsia="仿宋" w:cs="仿宋"/>
          <w:color w:val="auto"/>
          <w:kern w:val="2"/>
          <w:sz w:val="32"/>
          <w:szCs w:val="32"/>
          <w:highlight w:val="none"/>
          <w:lang w:val="en-US" w:eastAsia="zh-CN" w:bidi="ar"/>
        </w:rPr>
        <w:t>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w:t>
      </w:r>
      <w:r>
        <w:rPr>
          <w:rFonts w:hint="eastAsia" w:ascii="仿宋" w:hAnsi="仿宋" w:eastAsia="仿宋" w:cs="仿宋"/>
          <w:color w:val="auto"/>
          <w:kern w:val="2"/>
          <w:sz w:val="32"/>
          <w:szCs w:val="32"/>
          <w:highlight w:val="none"/>
          <w:lang w:val="en-US" w:eastAsia="zh-CN" w:bidi="ar"/>
        </w:rPr>
        <w:t>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198.97</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2579.22</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增加697.45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增长37</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中小学应急救护知识培训课时费</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val="en-US" w:eastAsia="zh-CN" w:bidi="ar"/>
        </w:rPr>
        <w:t>增加1.2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增加100</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主要原因是：2022年新增该项目。</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84.28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增加13.36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增加19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是：年中人员减少、红十字事业项目支出增加。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2183.1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一是医疗卫生机构按国家规定发放的在职人员工资津补贴及离退休人员工</w:t>
      </w:r>
      <w:r>
        <w:rPr>
          <w:rFonts w:hint="eastAsia" w:ascii="仿宋_GB2312" w:eastAsia="仿宋_GB2312" w:cs="仿宋_GB2312"/>
          <w:kern w:val="0"/>
          <w:sz w:val="32"/>
          <w:szCs w:val="32"/>
          <w:lang w:eastAsia="zh-CN"/>
        </w:rPr>
        <w:t>资</w:t>
      </w:r>
      <w:r>
        <w:rPr>
          <w:rFonts w:hint="eastAsia" w:ascii="仿宋_GB2312" w:eastAsia="仿宋_GB2312" w:cs="仿宋_GB2312"/>
          <w:kern w:val="0"/>
          <w:sz w:val="32"/>
          <w:szCs w:val="32"/>
        </w:rPr>
        <w:t>方面的支出；二是卫生计生项目类支出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增加423.2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增加24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年内人员及计生项目支出增加。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农林水支出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213</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30</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卫生健康人才能力提升培训支出</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val="en-US" w:eastAsia="zh-CN" w:bidi="ar"/>
        </w:rPr>
        <w:t>增加30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增加100</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主要原因是：2022年新增该项目。</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50.76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按照国家政策规定代职工上缴住房公积金等支出</w:t>
      </w:r>
      <w:r>
        <w:rPr>
          <w:rFonts w:hint="eastAsia" w:ascii="仿宋" w:hAnsi="仿宋" w:eastAsia="仿宋" w:cs="仿宋"/>
          <w:sz w:val="32"/>
          <w:szCs w:val="32"/>
          <w:highlight w:val="none"/>
        </w:rPr>
        <w:t>。较2021年度决</w:t>
      </w:r>
      <w:r>
        <w:rPr>
          <w:rFonts w:hint="eastAsia" w:ascii="仿宋" w:hAnsi="仿宋" w:eastAsia="仿宋" w:cs="仿宋"/>
          <w:color w:val="auto"/>
          <w:sz w:val="32"/>
          <w:szCs w:val="32"/>
          <w:highlight w:val="none"/>
        </w:rPr>
        <w:t>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2.46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4.6</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主要原因是：人员变动且2022年公积金基数未调整。</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lang w:val="en-US" w:eastAsia="zh-CN"/>
        </w:rPr>
        <w:t>。</w:t>
      </w:r>
    </w:p>
    <w:p>
      <w:pPr>
        <w:ind w:firstLine="640" w:firstLineChars="200"/>
        <w:jc w:val="center"/>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2022年度一般公共预算财政拨款支</w:t>
      </w:r>
      <w:r>
        <w:rPr>
          <w:rFonts w:hint="eastAsia" w:ascii="仿宋" w:hAnsi="仿宋" w:eastAsia="仿宋" w:cs="仿宋"/>
          <w:sz w:val="32"/>
          <w:u w:color="auto"/>
          <w:lang w:val="en-US" w:eastAsia="zh-CN"/>
        </w:rPr>
        <w:t>2579.22</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增加697.45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增长37</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803.20</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1776.02</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1458.88</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2579.22</w:t>
      </w:r>
      <w:r>
        <w:rPr>
          <w:rFonts w:hint="eastAsia" w:ascii="仿宋" w:hAnsi="仿宋" w:eastAsia="仿宋" w:cs="仿宋"/>
          <w:sz w:val="32"/>
          <w:szCs w:val="32"/>
          <w:highlight w:val="none"/>
        </w:rPr>
        <w:t>万元，完成年初预算的</w:t>
      </w:r>
      <w:r>
        <w:rPr>
          <w:rFonts w:ascii="仿宋" w:hAnsi="仿宋" w:eastAsia="仿宋" w:cs="仿宋"/>
          <w:sz w:val="32"/>
          <w:u w:color="auto"/>
        </w:rPr>
        <w:t>17</w:t>
      </w:r>
      <w:r>
        <w:rPr>
          <w:rFonts w:hint="eastAsia" w:ascii="仿宋" w:hAnsi="仿宋" w:eastAsia="仿宋" w:cs="仿宋"/>
          <w:sz w:val="32"/>
          <w:u w:color="auto"/>
          <w:lang w:val="en-US" w:eastAsia="zh-CN"/>
        </w:rPr>
        <w:t>6.80</w:t>
      </w:r>
      <w:r>
        <w:rPr>
          <w:rFonts w:ascii="仿宋" w:hAnsi="仿宋" w:eastAsia="仿宋" w:cs="仿宋"/>
          <w:sz w:val="32"/>
          <w:u w:color="auto"/>
        </w:rPr>
        <w:t>%</w:t>
      </w:r>
      <w:r>
        <w:rPr>
          <w:rFonts w:hint="eastAsia" w:ascii="仿宋" w:hAnsi="仿宋" w:eastAsia="仿宋" w:cs="仿宋"/>
          <w:sz w:val="32"/>
          <w:szCs w:val="32"/>
          <w:highlight w:val="none"/>
        </w:rPr>
        <w:t>。</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bookmarkStart w:id="3" w:name="OLE_LINK2"/>
      <w:bookmarkEnd w:id="3"/>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w:t>
      </w:r>
      <w:r>
        <w:rPr>
          <w:rFonts w:hint="eastAsia" w:ascii="仿宋" w:hAnsi="仿宋" w:eastAsia="仿宋"/>
          <w:color w:val="auto"/>
          <w:sz w:val="32"/>
          <w:szCs w:val="32"/>
          <w:highlight w:val="none"/>
        </w:rPr>
        <w:t>为</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年初无预算，该项资金由教育局调整指标至卫健局拨付。</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用于支付防溺水授课教师课时费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color w:val="auto"/>
              </w:rPr>
              <w:t>根据国发﹝2012﹞25号、桂政发〔2015〕1号，要建立红十字应急救护培训长效机制，推动红十字救护培训进社区、进农村、进学校、进企业、进机关，不断提高应急救护知识在人民群众中的普及率。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pPr>
        <w:jc w:val="center"/>
        <w:rPr>
          <w:rFonts w:hint="eastAsia" w:ascii="仿宋" w:hAnsi="仿宋" w:eastAsia="仿宋"/>
          <w:sz w:val="32"/>
          <w:szCs w:val="32"/>
          <w:highlight w:val="none"/>
          <w:lang w:val="en-US" w:eastAsia="zh-CN"/>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73.86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84.28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年中人员减少、红十字事业项目支出增加。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68.28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保障在职人员福利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2081699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其他红十字会事业支出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龙岩乡达洞村备灾减灾项目支出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红十字会项目支出，非县级财政拨款项目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1321.01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2183.1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165.26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sz w:val="32"/>
          <w:szCs w:val="32"/>
          <w:highlight w:val="none"/>
          <w:lang w:val="en-US" w:eastAsia="zh-CN"/>
        </w:rPr>
        <w:t>：1.2022年养育未来项目经费先由卫健局监管支付，该项目为公益性项目，为捐赠资金维持运营，故产生差异较大。2.基层医疗机构科目为村医基本报酬，年初预算由卫健局统一做，拨至各单位支付，3.上级拨款20万，年初无预算，故产生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67"/>
        <w:gridCol w:w="943"/>
        <w:gridCol w:w="814"/>
        <w:gridCol w:w="1172"/>
        <w:gridCol w:w="1742"/>
        <w:gridCol w:w="1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2100101</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473.81</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463.51</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在职人员工资及日常公用经费支出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2100199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16"/>
                <w:szCs w:val="16"/>
                <w:highlight w:val="none"/>
                <w:u w:val="none"/>
                <w:lang w:val="en-US" w:eastAsia="zh-CN"/>
              </w:rPr>
              <w:t>其他卫生健康管理事务支出</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92.08</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251.82</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273%</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事业编人员工资及除四害等项目支出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16"/>
                <w:szCs w:val="16"/>
                <w:highlight w:val="none"/>
                <w:lang w:val="en-US" w:eastAsia="zh-CN"/>
              </w:rPr>
              <w:t>2022年养育未来项目经费由本单位拨付到该单位使用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2100399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其他基层医疗机构支出</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33.30</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卫生系统二层单位村医报酬支出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年初预算由卫健局统一做，拨至各单位支付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2100402</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卫生监督机构</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126.26</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卫生监督项目经费支出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年初无预算，为上级拨款经费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2100408</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基本公共卫生服务</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112.42</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73.94</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66%</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二层单位基本功卫县级配套资金</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重大公共卫生服务</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47.28</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44.56</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重大传染支出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2100410</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突发公共卫生应急处理</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92.72</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疫情或</w:t>
            </w:r>
            <w:r>
              <w:rPr>
                <w:rFonts w:hint="eastAsia" w:ascii="宋体" w:hAnsi="宋体" w:eastAsia="宋体" w:cs="宋体"/>
                <w:i w:val="0"/>
                <w:iCs w:val="0"/>
                <w:color w:val="auto"/>
                <w:sz w:val="20"/>
                <w:szCs w:val="20"/>
                <w:highlight w:val="none"/>
                <w:u w:val="none"/>
                <w:lang w:val="en-US" w:eastAsia="zh-CN"/>
              </w:rPr>
              <w:t>突发公共卫生应急支出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2100716</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计划生育机构</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9.6</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计生协会项目支出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2100717</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计划生育服务</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374.49</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926.32</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247%</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计划生育服务项目支出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2100799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其他计划生育事务支出</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171.03</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167.37</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计划生育服务项目支出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2101601</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老龄卫生健康事务</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老龄办重阳节经费支出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重阳节慰问活动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2109999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其他卫生健康支出</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0</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上级拨款能力提升项目经费</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年初无预算，为上级拨款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1321.01</w:t>
            </w:r>
          </w:p>
        </w:tc>
        <w:tc>
          <w:tcPr>
            <w:tcW w:w="8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2183.1</w:t>
            </w:r>
          </w:p>
        </w:tc>
        <w:tc>
          <w:tcPr>
            <w:tcW w:w="11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2022年新增该项目，为上级拨款粤桂项目资金。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卫生健康人才能力提升</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kern w:val="2"/>
                <w:sz w:val="20"/>
                <w:szCs w:val="20"/>
                <w:highlight w:val="none"/>
                <w:lang w:val="en-US" w:eastAsia="zh-CN" w:bidi="ar"/>
              </w:rPr>
              <w:t>上级拨款粤桂项目资金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54.87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50.76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92.5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
        </w:rPr>
        <w:t>人员减少。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54.87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50.76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92.5%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20"/>
                <w:szCs w:val="20"/>
              </w:rPr>
              <w:t>按照国家政策规定代职工上缴住房公积金等支出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54.87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50.76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116.87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661.65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141.56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633.47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：在职人员工资增加。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193.53万元，30102津贴补贴71.59万元，30103奖金158.8万元，30106伙食补助费8.33万元，30107绩效工资49.22万元，30108机关事业单位基本养老保险缴费68.1万元，30110职工基本医疗保险缴费27.99万元，30111公务员医疗补助缴费0万元，30112其他社会保障缴费2.06万元，30113住房公积金50.76万元，30144医疗费0.40万元，30199其他工资福利支出2.69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141.56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271.44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主要原因是：卫健二层单位工会经费由卫健局统一做决算。</w:t>
      </w:r>
    </w:p>
    <w:p>
      <w:pPr>
        <w:jc w:val="left"/>
        <w:rPr>
          <w:rFonts w:hint="eastAsia" w:ascii="仿宋" w:hAnsi="仿宋" w:eastAsia="仿宋" w:cs="仿宋"/>
          <w:sz w:val="32"/>
          <w:szCs w:val="32"/>
          <w:highlight w:val="none"/>
        </w:rPr>
      </w:pPr>
      <w:r>
        <w:rPr>
          <w:rFonts w:hint="eastAsia" w:ascii="仿宋" w:hAnsi="仿宋" w:eastAsia="仿宋"/>
          <w:color w:val="auto"/>
          <w:sz w:val="32"/>
          <w:szCs w:val="32"/>
          <w:highlight w:val="none"/>
          <w:lang w:val="en-US" w:eastAsia="zh-CN"/>
        </w:rPr>
        <w:t>支出具体情况如</w:t>
      </w:r>
      <w:r>
        <w:rPr>
          <w:rFonts w:hint="eastAsia" w:ascii="仿宋" w:hAnsi="仿宋" w:eastAsia="仿宋"/>
          <w:sz w:val="32"/>
          <w:szCs w:val="32"/>
          <w:highlight w:val="none"/>
          <w:lang w:val="en-US" w:eastAsia="zh-CN"/>
        </w:rPr>
        <w:t>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3.8万元，30206电费2.23万元，30205水费0.23万元，30207邮电费5.36万元，30211差旅费2万元，30215会议费0万元，30216培训费0万元，30226劳务费1.62万元，30228工会经费116.87万元，30299其他商品和服务支出0.25万元，公务用车运行维护费9.2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28.18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w:t>
      </w:r>
      <w:r>
        <w:rPr>
          <w:rFonts w:hint="eastAsia" w:ascii="仿宋" w:hAnsi="仿宋" w:eastAsia="仿宋" w:cs="仿宋"/>
          <w:color w:val="auto"/>
          <w:kern w:val="2"/>
          <w:sz w:val="32"/>
          <w:szCs w:val="32"/>
          <w:highlight w:val="none"/>
          <w:lang w:val="en-US" w:eastAsia="zh-CN" w:bidi="ar"/>
        </w:rPr>
        <w:t>因是：年内退休人员增加。</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30309奖励金0.05万元，30305生活补助28.13万元。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：本部门</w:t>
      </w:r>
      <w:r>
        <w:rPr>
          <w:rFonts w:hint="default" w:ascii="仿宋" w:hAnsi="仿宋" w:eastAsia="仿宋" w:cs="仿宋"/>
          <w:sz w:val="32"/>
          <w:szCs w:val="32"/>
          <w:highlight w:val="none"/>
          <w:lang w:val="en-US" w:eastAsia="zh-CN"/>
        </w:rPr>
        <w:t>2022</w:t>
      </w:r>
      <w:r>
        <w:rPr>
          <w:rFonts w:hint="eastAsia" w:ascii="仿宋" w:hAnsi="仿宋" w:eastAsia="仿宋" w:cs="仿宋"/>
          <w:sz w:val="32"/>
          <w:szCs w:val="32"/>
          <w:highlight w:val="none"/>
          <w:lang w:val="en-US" w:eastAsia="zh-CN"/>
        </w:rPr>
        <w:t>年度没有债务利息及费用支出。</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本部门</w:t>
      </w:r>
      <w:r>
        <w:rPr>
          <w:rFonts w:hint="default" w:ascii="仿宋" w:hAnsi="仿宋" w:eastAsia="仿宋" w:cs="仿宋"/>
          <w:sz w:val="32"/>
          <w:szCs w:val="32"/>
          <w:highlight w:val="none"/>
          <w:lang w:val="en-US" w:eastAsia="zh-CN"/>
        </w:rPr>
        <w:t>2022</w:t>
      </w:r>
      <w:r>
        <w:rPr>
          <w:rFonts w:hint="eastAsia" w:ascii="仿宋" w:hAnsi="仿宋" w:eastAsia="仿宋" w:cs="仿宋"/>
          <w:sz w:val="32"/>
          <w:szCs w:val="32"/>
          <w:highlight w:val="none"/>
          <w:lang w:val="en-US" w:eastAsia="zh-CN"/>
        </w:rPr>
        <w:t>年度没有资本性支出。</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sz w:val="32"/>
          <w:szCs w:val="32"/>
          <w:highlight w:val="none"/>
        </w:rPr>
      </w:pP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主要原因是：本部门2022年没有其他支出。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eastAsia="zh-CN"/>
        </w:rPr>
        <w:t>卫生健康局</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_GB2312" w:cs="仿宋"/>
          <w:color w:val="auto"/>
          <w:sz w:val="32"/>
          <w:szCs w:val="32"/>
          <w:highlight w:val="none"/>
          <w:lang w:eastAsia="zh-CN"/>
        </w:rPr>
      </w:pPr>
      <w:bookmarkStart w:id="4" w:name="PO_part3A5B1C1DiffReason1"/>
      <w:r>
        <w:rPr>
          <w:rFonts w:hint="eastAsia" w:ascii="仿宋_GB2312" w:hAnsi="Times New Roman" w:eastAsia="仿宋_GB2312" w:cs="Times New Roman"/>
          <w:color w:val="auto"/>
          <w:sz w:val="32"/>
          <w:szCs w:val="32"/>
          <w:lang w:eastAsia="zh-CN"/>
        </w:rPr>
        <w:t>卫生健康局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10.75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50.7</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减少4.09</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是：支出减少。</w:t>
      </w:r>
      <w:r>
        <w:rPr>
          <w:rFonts w:hint="eastAsia" w:ascii="仿宋" w:hAnsi="仿宋" w:eastAsia="仿宋" w:cs="仿宋"/>
          <w:color w:val="auto"/>
          <w:sz w:val="32"/>
          <w:szCs w:val="32"/>
          <w:highlight w:val="none"/>
        </w:rPr>
        <w:t>其中</w:t>
      </w:r>
      <w:r>
        <w:rPr>
          <w:rFonts w:hint="eastAsia" w:ascii="仿宋" w:hAnsi="仿宋" w:eastAsia="仿宋" w:cs="仿宋"/>
          <w:color w:val="000000" w:themeColor="text1"/>
          <w:sz w:val="32"/>
          <w:szCs w:val="32"/>
          <w:highlight w:val="none"/>
          <w14:textFill>
            <w14:solidFill>
              <w14:schemeClr w14:val="tx1"/>
            </w14:solidFill>
          </w14:textFill>
        </w:rPr>
        <w:t>：因公出国（境）费支出决算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numPr>
          <w:ilvl w:val="0"/>
          <w:numId w:val="0"/>
        </w:numPr>
        <w:ind w:firstLine="320" w:firstLineChars="100"/>
        <w:jc w:val="left"/>
        <w:rPr>
          <w:rFonts w:hint="eastAsia" w:ascii="仿宋" w:hAnsi="仿宋" w:eastAsia="仿宋" w:cs="仿宋"/>
          <w:color w:val="auto"/>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w:t>
      </w:r>
      <w:r>
        <w:rPr>
          <w:rFonts w:ascii="仿宋" w:hAnsi="仿宋" w:eastAsia="仿宋" w:cs="仿宋"/>
          <w:color w:val="auto"/>
          <w:sz w:val="32"/>
          <w:u w:color="auto"/>
        </w:rPr>
        <w:t>.00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主要原因是</w:t>
      </w:r>
      <w:bookmarkStart w:id="5"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5"/>
      <w:r>
        <w:rPr>
          <w:rFonts w:hint="eastAsia" w:ascii="仿宋" w:hAnsi="仿宋" w:eastAsia="仿宋" w:cs="仿宋"/>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hint="eastAsia" w:ascii="仿宋" w:hAnsi="仿宋" w:eastAsia="仿宋" w:cs="仿宋"/>
          <w:color w:val="auto"/>
          <w:sz w:val="32"/>
          <w:u w:color="auto"/>
          <w:lang w:val="en-US" w:eastAsia="zh-CN"/>
        </w:rPr>
        <w:t>9.6</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85.7</w:t>
      </w:r>
      <w:r>
        <w:rPr>
          <w:rFonts w:ascii="仿宋" w:hAnsi="仿宋" w:eastAsia="仿宋" w:cs="仿宋"/>
          <w:color w:val="auto"/>
          <w:sz w:val="32"/>
          <w:u w:color="auto"/>
        </w:rPr>
        <w:t>%</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0.6</w:t>
      </w:r>
      <w:r>
        <w:rPr>
          <w:rFonts w:hint="eastAsia" w:ascii="仿宋" w:hAnsi="仿宋" w:eastAsia="仿宋" w:cs="仿宋"/>
          <w:color w:val="auto"/>
          <w:sz w:val="32"/>
          <w:szCs w:val="32"/>
          <w:highlight w:val="none"/>
        </w:rPr>
        <w:t>万元。主要原因是：主要用于因公出行以及开展业务所需车辆燃料费、维修费、过路过桥费、保险费等。2022年，</w:t>
      </w:r>
      <w:r>
        <w:rPr>
          <w:rFonts w:hint="eastAsia" w:ascii="仿宋" w:hAnsi="仿宋" w:eastAsia="仿宋" w:cs="仿宋"/>
          <w:color w:val="auto"/>
          <w:sz w:val="32"/>
          <w:u w:color="auto"/>
          <w:lang w:eastAsia="zh-CN"/>
        </w:rPr>
        <w:t>卫生健康局</w:t>
      </w:r>
      <w:r>
        <w:rPr>
          <w:rFonts w:hint="eastAsia" w:ascii="仿宋" w:hAnsi="仿宋" w:eastAsia="仿宋" w:cs="仿宋"/>
          <w:color w:val="auto"/>
          <w:sz w:val="32"/>
          <w:szCs w:val="32"/>
          <w:highlight w:val="none"/>
        </w:rPr>
        <w:t>所属单位开支财政拨款的公务用车保有量为</w:t>
      </w:r>
      <w:r>
        <w:rPr>
          <w:rFonts w:hint="eastAsia" w:ascii="仿宋" w:hAnsi="仿宋" w:eastAsia="仿宋" w:cs="仿宋"/>
          <w:color w:val="auto"/>
          <w:sz w:val="32"/>
          <w:u w:color="auto"/>
          <w:lang w:val="en-US" w:eastAsia="zh-CN"/>
        </w:rPr>
        <w:t>4</w:t>
      </w:r>
      <w:r>
        <w:rPr>
          <w:rFonts w:hint="eastAsia" w:ascii="仿宋" w:hAnsi="仿宋" w:eastAsia="仿宋" w:cs="仿宋"/>
          <w:color w:val="auto"/>
          <w:sz w:val="32"/>
          <w:szCs w:val="32"/>
          <w:highlight w:val="none"/>
        </w:rPr>
        <w:t>辆，全年运行费支出</w:t>
      </w:r>
      <w:r>
        <w:rPr>
          <w:rFonts w:hint="eastAsia" w:ascii="仿宋" w:hAnsi="仿宋" w:eastAsia="仿宋" w:cs="仿宋"/>
          <w:color w:val="auto"/>
          <w:sz w:val="32"/>
          <w:u w:color="auto"/>
          <w:lang w:val="en-US" w:eastAsia="zh-CN"/>
        </w:rPr>
        <w:t>9.6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1.15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23</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减少1.12</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主要原因是：接待减少。</w:t>
      </w:r>
      <w:r>
        <w:rPr>
          <w:rFonts w:hint="eastAsia" w:ascii="仿宋" w:hAnsi="仿宋" w:eastAsia="仿宋" w:cs="仿宋"/>
          <w:color w:val="auto"/>
          <w:sz w:val="32"/>
          <w:szCs w:val="32"/>
          <w:highlight w:val="none"/>
        </w:rPr>
        <w:t>国</w:t>
      </w:r>
      <w:r>
        <w:rPr>
          <w:rFonts w:hint="eastAsia" w:ascii="仿宋" w:hAnsi="仿宋" w:eastAsia="仿宋" w:cs="仿宋"/>
          <w:color w:val="000000" w:themeColor="text1"/>
          <w:sz w:val="32"/>
          <w:szCs w:val="32"/>
          <w:highlight w:val="none"/>
          <w14:textFill>
            <w14:solidFill>
              <w14:schemeClr w14:val="tx1"/>
            </w14:solidFill>
          </w14:textFill>
        </w:rPr>
        <w:t>内公务接待批次</w:t>
      </w:r>
      <w:r>
        <w:rPr>
          <w:rFonts w:ascii="仿宋" w:hAnsi="仿宋" w:eastAsia="仿宋" w:cs="仿宋"/>
          <w:color w:val="000000" w:themeColor="text1"/>
          <w:sz w:val="32"/>
          <w:szCs w:val="32"/>
          <w:highlight w:val="none"/>
          <w14:textFill>
            <w14:solidFill>
              <w14:schemeClr w14:val="tx1"/>
            </w14:solidFill>
          </w14:textFill>
        </w:rPr>
        <w:t>13</w:t>
      </w:r>
      <w:r>
        <w:rPr>
          <w:rFonts w:hint="eastAsia" w:ascii="仿宋" w:hAnsi="仿宋" w:eastAsia="仿宋" w:cs="仿宋"/>
          <w:sz w:val="32"/>
          <w:szCs w:val="32"/>
          <w:highlight w:val="none"/>
        </w:rPr>
        <w:t>次，人次</w:t>
      </w:r>
      <w:r>
        <w:rPr>
          <w:rFonts w:ascii="仿宋" w:hAnsi="仿宋" w:eastAsia="仿宋" w:cs="仿宋"/>
          <w:sz w:val="32"/>
          <w:szCs w:val="32"/>
          <w:highlight w:val="none"/>
        </w:rPr>
        <w:t>100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141.56</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增加89.41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增加271</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123.15</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增长</w:t>
      </w:r>
      <w:r>
        <w:rPr>
          <w:rFonts w:hint="eastAsia" w:ascii="仿宋" w:hAnsi="仿宋" w:eastAsia="仿宋" w:cs="仿宋"/>
          <w:color w:val="auto"/>
          <w:sz w:val="32"/>
          <w:szCs w:val="32"/>
          <w:highlight w:val="none"/>
          <w:lang w:val="en-US" w:eastAsia="zh-CN"/>
        </w:rPr>
        <w:t>669</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。主要原因是：办公经费增加、</w:t>
      </w:r>
      <w:r>
        <w:rPr>
          <w:rFonts w:hint="eastAsia" w:ascii="仿宋" w:hAnsi="仿宋" w:eastAsia="仿宋" w:cs="仿宋"/>
          <w:color w:val="auto"/>
          <w:sz w:val="32"/>
          <w:szCs w:val="32"/>
          <w:highlight w:val="none"/>
          <w:lang w:val="en-US" w:eastAsia="zh-CN"/>
        </w:rPr>
        <w:t>卫健系统二层单位工会经费116.87万元统一汇至卫健局再下拨，故增长较大。</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22.3</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22.3</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44</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133.9</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组织对“基本公共卫生服务补助项目”等</w:t>
      </w:r>
      <w:r>
        <w:rPr>
          <w:rFonts w:hint="eastAsia" w:ascii="仿宋" w:hAnsi="仿宋" w:eastAsia="仿宋" w:cs="仿宋"/>
          <w:color w:val="000000" w:themeColor="text1"/>
          <w:sz w:val="32"/>
          <w:szCs w:val="32"/>
          <w:lang w:val="en-US" w:eastAsia="zh-CN"/>
          <w14:textFill>
            <w14:solidFill>
              <w14:schemeClr w14:val="tx1"/>
            </w14:solidFill>
          </w14:textFill>
        </w:rPr>
        <w:t>49</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5797.2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val="0"/>
          <w:i w:val="0"/>
          <w:iCs w:val="0"/>
          <w:caps w:val="0"/>
          <w:color w:val="333333"/>
          <w:spacing w:val="0"/>
          <w:kern w:val="0"/>
          <w:sz w:val="32"/>
          <w:szCs w:val="32"/>
          <w:lang w:val="en-US" w:eastAsia="zh-CN" w:bidi="ar"/>
        </w:rPr>
      </w:pPr>
      <w:r>
        <w:rPr>
          <w:rFonts w:hint="eastAsia" w:ascii="仿宋_GB2312" w:hAnsi="仿宋_GB2312" w:eastAsia="仿宋_GB2312" w:cs="仿宋_GB2312"/>
          <w:bCs w:val="0"/>
          <w:i w:val="0"/>
          <w:iCs w:val="0"/>
          <w:caps w:val="0"/>
          <w:color w:val="333333"/>
          <w:spacing w:val="0"/>
          <w:kern w:val="0"/>
          <w:sz w:val="32"/>
          <w:szCs w:val="32"/>
          <w:lang w:val="en-US" w:eastAsia="zh-CN" w:bidi="ar"/>
        </w:rPr>
        <w:t>项目自评得分情况项目：49个项目平均分95.55分。</w:t>
      </w:r>
    </w:p>
    <w:p>
      <w:pPr>
        <w:rPr>
          <w:rFonts w:hint="default"/>
          <w:lang w:val="en-US" w:eastAsia="zh-CN"/>
        </w:rPr>
      </w:pPr>
      <w:r>
        <w:rPr>
          <w:rFonts w:hint="eastAsia" w:ascii="仿宋_GB2312" w:hAnsi="仿宋_GB2312" w:eastAsia="仿宋_GB2312" w:cs="仿宋_GB2312"/>
          <w:bCs w:val="0"/>
          <w:i w:val="0"/>
          <w:iCs w:val="0"/>
          <w:caps w:val="0"/>
          <w:color w:val="333333"/>
          <w:spacing w:val="0"/>
          <w:kern w:val="0"/>
          <w:sz w:val="32"/>
          <w:szCs w:val="32"/>
          <w:lang w:val="en-US" w:eastAsia="zh-CN" w:bidi="ar"/>
        </w:rPr>
        <w:t>“计划生育免费技术服务县级配套经费”评为“四等”等级项目，该项目年内执行数0元、执行率0，存在问题及原因：年内已开展此项目，该项目经费已调剂使用妇幼健康项目资金支付，改进措施：下年度取消该项目立项，重新系统整合项目内容，统一资金管理。</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val="0"/>
          <w:i w:val="0"/>
          <w:iCs w:val="0"/>
          <w:caps w:val="0"/>
          <w:color w:val="333333"/>
          <w:spacing w:val="0"/>
          <w:kern w:val="0"/>
          <w:sz w:val="32"/>
          <w:szCs w:val="32"/>
          <w:lang w:val="en-US" w:eastAsia="zh-CN" w:bidi="ar"/>
        </w:rPr>
      </w:pPr>
      <w:r>
        <w:rPr>
          <w:rFonts w:hint="eastAsia" w:ascii="仿宋_GB2312" w:hAnsi="仿宋_GB2312" w:eastAsia="仿宋_GB2312" w:cs="仿宋_GB2312"/>
          <w:bCs w:val="0"/>
          <w:i w:val="0"/>
          <w:iCs w:val="0"/>
          <w:caps w:val="0"/>
          <w:color w:val="333333"/>
          <w:spacing w:val="0"/>
          <w:kern w:val="0"/>
          <w:sz w:val="32"/>
          <w:szCs w:val="32"/>
          <w:lang w:val="en-US" w:eastAsia="zh-CN" w:bidi="ar"/>
        </w:rPr>
        <w:t>“村医养老生活补助项目经费”，财政拨款调整率345.41%。实施情况：年初预算数10.53万元，年中预算调整数36.38万元，调整后预算数46.91万元，实际支出数43.05万元，预算执行率91.76%；调整原因：年初预算经费不足，年中追加财政拨款;改进措施：年初做好经费预算，厉行节约，控制经费支出。</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Cs w:val="0"/>
          <w:i w:val="0"/>
          <w:iCs w:val="0"/>
          <w:caps w:val="0"/>
          <w:color w:val="333333"/>
          <w:spacing w:val="0"/>
          <w:kern w:val="0"/>
          <w:sz w:val="32"/>
          <w:szCs w:val="32"/>
          <w:lang w:val="en-US" w:eastAsia="zh-CN" w:bidi="ar"/>
        </w:rPr>
      </w:pPr>
      <w:r>
        <w:rPr>
          <w:rFonts w:hint="eastAsia" w:ascii="仿宋_GB2312" w:hAnsi="仿宋_GB2312" w:eastAsia="仿宋_GB2312" w:cs="仿宋_GB2312"/>
          <w:bCs w:val="0"/>
          <w:i w:val="0"/>
          <w:iCs w:val="0"/>
          <w:caps w:val="0"/>
          <w:color w:val="333333"/>
          <w:spacing w:val="0"/>
          <w:kern w:val="0"/>
          <w:sz w:val="32"/>
          <w:szCs w:val="32"/>
          <w:lang w:val="en-US" w:eastAsia="zh-CN" w:bidi="ar"/>
        </w:rPr>
        <w:t>“创建卫生县城除“四害”专项工作经费”，财政拨款调整率222.22%。实施情况：年初预算数18万元，年中预算调整数40万元，调整后预算数58万元，实际支出数20万元，预算执行率34.48%；调整原因：年初预算经费不足，年中追加财政拨款;改进措施：年初做好经费预算，厉行节约，控制经费支出。</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Cs w:val="0"/>
          <w:i w:val="0"/>
          <w:iCs w:val="0"/>
          <w:caps w:val="0"/>
          <w:color w:val="333333"/>
          <w:spacing w:val="0"/>
          <w:kern w:val="0"/>
          <w:sz w:val="32"/>
          <w:szCs w:val="32"/>
          <w:lang w:val="en-US" w:eastAsia="zh-CN" w:bidi="ar"/>
        </w:rPr>
      </w:pPr>
      <w:r>
        <w:rPr>
          <w:rFonts w:hint="eastAsia" w:ascii="仿宋_GB2312" w:hAnsi="仿宋_GB2312" w:eastAsia="仿宋_GB2312" w:cs="仿宋_GB2312"/>
          <w:bCs w:val="0"/>
          <w:i w:val="0"/>
          <w:iCs w:val="0"/>
          <w:caps w:val="0"/>
          <w:color w:val="333333"/>
          <w:spacing w:val="0"/>
          <w:kern w:val="0"/>
          <w:sz w:val="32"/>
          <w:szCs w:val="32"/>
          <w:lang w:val="en-US" w:eastAsia="zh-CN" w:bidi="ar"/>
        </w:rPr>
        <w:t>年初无预算项目27个，属于上级下达的财政资金，其中13个项目为上级专项资金，由卫健局用于开展卫生健康各项工作，平均预算执行率80.51%，预算执行率较低的项目：1、乡镇生活饮用水监测项目年中预算调整数230万元，实际支出112.7万元，预算执行率49%，原因为按项目进度支付项目款，目前项目尚未竣工验收；2、防范中小学生溺水专项治理工作经费年中预算调整数5万元，实际支出1.2万元，预算执行率24%，年内项目资金主要支付于中小学防溺水救治和互救、应急救治培训会教师授课课时费，经费未使用完；3、自治区财政补助市县医药卫生人才队伍建设专项资金年中预算调整数21万元，实际支出0万元，预算执行率0%，原因为年中特岗医生减少，年内使用历年资金支付，故该项资金使用0万元；其余14个项目资金下达至卫健局本级，再由局本级项目对应所属股室进行分配下发至二层各单位，预算执行率100%。</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发现的主要问题及原因：1、年初部门预算编制细化程度不够，导致在执行总体绩效目标是部分存在偏差，致使项目预算存在年中、年末追加追减的现象。</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2、个别项目实施进度较慢，惯性思维严重，报账不及时，造成年底因未及时报账造成绩效目标偏差。</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3、当前绩效自评工作存在自评不够详细，绩效目标设定不够明确的问题。</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原因</w:t>
      </w:r>
      <w:r>
        <w:rPr>
          <w:rFonts w:hint="eastAsia" w:ascii="仿宋" w:hAnsi="仿宋" w:eastAsia="仿宋" w:cs="仿宋"/>
          <w:color w:val="000000" w:themeColor="text1"/>
          <w:sz w:val="32"/>
          <w:szCs w:val="32"/>
          <w14:textFill>
            <w14:solidFill>
              <w14:schemeClr w14:val="tx1"/>
            </w14:solidFill>
          </w14:textFill>
        </w:rPr>
        <w:t>在</w:t>
      </w:r>
      <w:bookmarkStart w:id="6" w:name="_GoBack"/>
      <w:bookmarkEnd w:id="6"/>
      <w:r>
        <w:rPr>
          <w:rFonts w:hint="eastAsia" w:ascii="仿宋" w:hAnsi="仿宋" w:eastAsia="仿宋" w:cs="仿宋"/>
          <w:color w:val="000000" w:themeColor="text1"/>
          <w:sz w:val="32"/>
          <w:szCs w:val="32"/>
          <w14:textFill>
            <w14:solidFill>
              <w14:schemeClr w14:val="tx1"/>
            </w14:solidFill>
          </w14:textFill>
        </w:rPr>
        <w:t>于各部门报送预算项目时对项目内容表述不够详实，不能将项目开展过程中出现的问题及情况准确把握，因此对项目工作开展存在资金使用计划不够准确的情况。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_GB2312" w:hAnsi="仿宋_GB2312" w:eastAsia="仿宋_GB2312" w:cs="仿宋_GB2312"/>
          <w:bCs w:val="0"/>
          <w:i w:val="0"/>
          <w:iCs w:val="0"/>
          <w:caps w:val="0"/>
          <w:color w:val="333333"/>
          <w:spacing w:val="0"/>
          <w:kern w:val="0"/>
          <w:sz w:val="32"/>
          <w:szCs w:val="32"/>
          <w:lang w:val="en-US" w:eastAsia="zh-CN" w:bidi="ar"/>
        </w:rPr>
        <w:t>在今后的工作中应当及时对预算项目开展情况进行梳理，根据预算项目的实际情况合理设置绩效目标，准确把握项目开展的情况及资金使用的有效性，复查是否合理进行项目资金支出。同时、在今后报送预算项目的工作开展时应当严格要求各部门工作人员准确把握预算项目内容，详细合理设定绩效目标，规划好资金使用计划，保障全年项目开展资金使用</w:t>
      </w:r>
      <w:r>
        <w:rPr>
          <w:rFonts w:hint="eastAsia" w:ascii="仿宋" w:hAnsi="仿宋" w:eastAsia="仿宋" w:cs="仿宋"/>
          <w:color w:val="000000" w:themeColor="text1"/>
          <w:sz w:val="32"/>
          <w:szCs w:val="32"/>
          <w14:textFill>
            <w14:solidFill>
              <w14:schemeClr w14:val="tx1"/>
            </w14:solidFill>
          </w14:textFill>
        </w:rPr>
        <w:t>。</w:t>
      </w:r>
    </w:p>
    <w:p>
      <w:pPr>
        <w:pStyle w:val="2"/>
        <w:rPr>
          <w:rFonts w:hint="eastAsia" w:ascii="仿宋" w:hAnsi="仿宋" w:eastAsia="仿宋" w:cs="仿宋"/>
          <w:sz w:val="32"/>
          <w:szCs w:val="32"/>
          <w:highlight w:val="none"/>
        </w:rPr>
      </w:pPr>
    </w:p>
    <w:p>
      <w:pPr>
        <w:rPr>
          <w:rFonts w:hint="eastAsia"/>
        </w:rPr>
      </w:pPr>
    </w:p>
    <w:p>
      <w:pPr>
        <w:rPr>
          <w:rFonts w:hint="eastAsia"/>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06D4BEFA"/>
    <w:multiLevelType w:val="singleLevel"/>
    <w:tmpl w:val="06D4BEF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0D1EF6"/>
    <w:rsid w:val="0216715F"/>
    <w:rsid w:val="02E0291A"/>
    <w:rsid w:val="02E440AD"/>
    <w:rsid w:val="04460E6B"/>
    <w:rsid w:val="04E54546"/>
    <w:rsid w:val="05992762"/>
    <w:rsid w:val="05C16B02"/>
    <w:rsid w:val="06552079"/>
    <w:rsid w:val="065C7091"/>
    <w:rsid w:val="078164DC"/>
    <w:rsid w:val="07B0770E"/>
    <w:rsid w:val="080A3DA1"/>
    <w:rsid w:val="0942143F"/>
    <w:rsid w:val="09891BB3"/>
    <w:rsid w:val="09F615F9"/>
    <w:rsid w:val="0AC460B7"/>
    <w:rsid w:val="0B5965AB"/>
    <w:rsid w:val="0B913733"/>
    <w:rsid w:val="0C407C08"/>
    <w:rsid w:val="0D100297"/>
    <w:rsid w:val="0D202B45"/>
    <w:rsid w:val="0DAE6126"/>
    <w:rsid w:val="0F8D4C87"/>
    <w:rsid w:val="10505FAA"/>
    <w:rsid w:val="105F7E7E"/>
    <w:rsid w:val="10FD5716"/>
    <w:rsid w:val="110942A0"/>
    <w:rsid w:val="11E56B5B"/>
    <w:rsid w:val="125C77AB"/>
    <w:rsid w:val="13C242A5"/>
    <w:rsid w:val="14346896"/>
    <w:rsid w:val="14CB726E"/>
    <w:rsid w:val="150A2E78"/>
    <w:rsid w:val="15951C1A"/>
    <w:rsid w:val="160842C3"/>
    <w:rsid w:val="16135E4A"/>
    <w:rsid w:val="170E4165"/>
    <w:rsid w:val="17E92249"/>
    <w:rsid w:val="18D304F1"/>
    <w:rsid w:val="19F32577"/>
    <w:rsid w:val="19F45B80"/>
    <w:rsid w:val="1B0C078D"/>
    <w:rsid w:val="1B2B31E2"/>
    <w:rsid w:val="1B4C295A"/>
    <w:rsid w:val="1B973C63"/>
    <w:rsid w:val="1BA1001E"/>
    <w:rsid w:val="1CC53033"/>
    <w:rsid w:val="1D317259"/>
    <w:rsid w:val="1D6334B4"/>
    <w:rsid w:val="1E664F5B"/>
    <w:rsid w:val="1EB34BE1"/>
    <w:rsid w:val="207800D4"/>
    <w:rsid w:val="215E639F"/>
    <w:rsid w:val="21EC3183"/>
    <w:rsid w:val="225E72CD"/>
    <w:rsid w:val="23C055FF"/>
    <w:rsid w:val="24466621"/>
    <w:rsid w:val="246E2F77"/>
    <w:rsid w:val="254B4E2B"/>
    <w:rsid w:val="26651C1A"/>
    <w:rsid w:val="268611D2"/>
    <w:rsid w:val="27A75CF9"/>
    <w:rsid w:val="283D7C94"/>
    <w:rsid w:val="29480E03"/>
    <w:rsid w:val="2983634D"/>
    <w:rsid w:val="2B8913A7"/>
    <w:rsid w:val="2BB02055"/>
    <w:rsid w:val="2C575A56"/>
    <w:rsid w:val="2F257714"/>
    <w:rsid w:val="2F3275E5"/>
    <w:rsid w:val="30AA08EF"/>
    <w:rsid w:val="30D23D1C"/>
    <w:rsid w:val="31221CF5"/>
    <w:rsid w:val="31341673"/>
    <w:rsid w:val="31400178"/>
    <w:rsid w:val="3176279D"/>
    <w:rsid w:val="321E3342"/>
    <w:rsid w:val="327759C8"/>
    <w:rsid w:val="33185FE3"/>
    <w:rsid w:val="34EE2E36"/>
    <w:rsid w:val="36777241"/>
    <w:rsid w:val="38A951DB"/>
    <w:rsid w:val="38B31605"/>
    <w:rsid w:val="38CC3740"/>
    <w:rsid w:val="39003F4F"/>
    <w:rsid w:val="3ACE0BB4"/>
    <w:rsid w:val="3C07002B"/>
    <w:rsid w:val="3CAF7BE8"/>
    <w:rsid w:val="3D0D152A"/>
    <w:rsid w:val="3DF62756"/>
    <w:rsid w:val="3F1B7587"/>
    <w:rsid w:val="3F417921"/>
    <w:rsid w:val="40B0405E"/>
    <w:rsid w:val="41436547"/>
    <w:rsid w:val="416C3C05"/>
    <w:rsid w:val="41E57B4F"/>
    <w:rsid w:val="432E3C17"/>
    <w:rsid w:val="432F26F6"/>
    <w:rsid w:val="43880F63"/>
    <w:rsid w:val="441C5A6F"/>
    <w:rsid w:val="44C44FCC"/>
    <w:rsid w:val="44CC7369"/>
    <w:rsid w:val="457F5108"/>
    <w:rsid w:val="45A77863"/>
    <w:rsid w:val="46951B6B"/>
    <w:rsid w:val="490050F1"/>
    <w:rsid w:val="49A34401"/>
    <w:rsid w:val="4A3E30AB"/>
    <w:rsid w:val="4A8554C1"/>
    <w:rsid w:val="4AC14DAC"/>
    <w:rsid w:val="4CB92D45"/>
    <w:rsid w:val="4D154C85"/>
    <w:rsid w:val="4EC8553A"/>
    <w:rsid w:val="4F0B2C87"/>
    <w:rsid w:val="4F6C5DEE"/>
    <w:rsid w:val="4F722566"/>
    <w:rsid w:val="508D0734"/>
    <w:rsid w:val="508F4E24"/>
    <w:rsid w:val="51116E09"/>
    <w:rsid w:val="51461E90"/>
    <w:rsid w:val="51463753"/>
    <w:rsid w:val="51CB238B"/>
    <w:rsid w:val="522B1EC8"/>
    <w:rsid w:val="52553A93"/>
    <w:rsid w:val="53521F8B"/>
    <w:rsid w:val="53E22F47"/>
    <w:rsid w:val="54522FF8"/>
    <w:rsid w:val="55450629"/>
    <w:rsid w:val="55B1578F"/>
    <w:rsid w:val="56692963"/>
    <w:rsid w:val="568B0F48"/>
    <w:rsid w:val="569C2C54"/>
    <w:rsid w:val="57326672"/>
    <w:rsid w:val="5786217B"/>
    <w:rsid w:val="58E12498"/>
    <w:rsid w:val="59337A15"/>
    <w:rsid w:val="59810274"/>
    <w:rsid w:val="5A8447A5"/>
    <w:rsid w:val="5CA96A00"/>
    <w:rsid w:val="5CF730BC"/>
    <w:rsid w:val="5E5F0DCE"/>
    <w:rsid w:val="5E732D37"/>
    <w:rsid w:val="5FA40A7B"/>
    <w:rsid w:val="5FD56D29"/>
    <w:rsid w:val="5FEC7F3F"/>
    <w:rsid w:val="60AA5E1B"/>
    <w:rsid w:val="60F74BC3"/>
    <w:rsid w:val="617D3BF8"/>
    <w:rsid w:val="61841F6A"/>
    <w:rsid w:val="623007A9"/>
    <w:rsid w:val="62962114"/>
    <w:rsid w:val="637D7558"/>
    <w:rsid w:val="63B5583E"/>
    <w:rsid w:val="644F19AC"/>
    <w:rsid w:val="65AA4920"/>
    <w:rsid w:val="67255A73"/>
    <w:rsid w:val="67694F1E"/>
    <w:rsid w:val="691F222E"/>
    <w:rsid w:val="6931058B"/>
    <w:rsid w:val="69597934"/>
    <w:rsid w:val="6AAF4B97"/>
    <w:rsid w:val="6B964DDC"/>
    <w:rsid w:val="6C783074"/>
    <w:rsid w:val="6D4E0963"/>
    <w:rsid w:val="6D9E65C6"/>
    <w:rsid w:val="6DA23CF4"/>
    <w:rsid w:val="6DA81947"/>
    <w:rsid w:val="6EB66DE2"/>
    <w:rsid w:val="6ED3075F"/>
    <w:rsid w:val="6ED61C4F"/>
    <w:rsid w:val="6F2A2D4B"/>
    <w:rsid w:val="6F8A0C1E"/>
    <w:rsid w:val="70222E28"/>
    <w:rsid w:val="703F45D4"/>
    <w:rsid w:val="715D6546"/>
    <w:rsid w:val="71B8501F"/>
    <w:rsid w:val="71BE069E"/>
    <w:rsid w:val="72EE3D5E"/>
    <w:rsid w:val="73953409"/>
    <w:rsid w:val="73E069A3"/>
    <w:rsid w:val="748F5F11"/>
    <w:rsid w:val="75720056"/>
    <w:rsid w:val="757D7EE7"/>
    <w:rsid w:val="78073488"/>
    <w:rsid w:val="78104AA8"/>
    <w:rsid w:val="78E257C5"/>
    <w:rsid w:val="794B35BE"/>
    <w:rsid w:val="7B0A3A31"/>
    <w:rsid w:val="7B3360ED"/>
    <w:rsid w:val="7B5319F3"/>
    <w:rsid w:val="7B633C5C"/>
    <w:rsid w:val="7BDF037E"/>
    <w:rsid w:val="7BF50948"/>
    <w:rsid w:val="7CE66A78"/>
    <w:rsid w:val="7D0A7507"/>
    <w:rsid w:val="7D23564C"/>
    <w:rsid w:val="7D5E062D"/>
    <w:rsid w:val="7DDB4DC4"/>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15</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2023-11-24T08:43:40Z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1E32B13C87C24B1294DA6512C2E89F80</vt:lpwstr>
  </property>
</Properties>
</file>