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bookmarkStart w:id="3" w:name="_GoBack"/>
      <w:r>
        <w:rPr>
          <w:rFonts w:hint="eastAsia" w:ascii="黑体" w:hAnsi="黑体" w:eastAsia="黑体" w:cs="黑体"/>
          <w:b/>
          <w:bCs/>
          <w:sz w:val="52"/>
          <w:szCs w:val="52"/>
          <w:highlight w:val="none"/>
          <w:lang w:val="en-US" w:eastAsia="zh-CN"/>
        </w:rPr>
        <w:t>环江毛南族自治县退役军人事务局</w:t>
      </w:r>
      <w:bookmarkEnd w:id="3"/>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退役军人事务局单位</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退役军人事务局单位</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退役军人事务局单位</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val="en-US" w:eastAsia="zh-CN"/>
        </w:rPr>
        <w:t>环江毛南族自治县退役军人事务局</w:t>
      </w:r>
      <w:r>
        <w:rPr>
          <w:rFonts w:hint="eastAsia" w:ascii="黑体" w:hAnsi="黑体" w:eastAsia="黑体" w:cs="黑体"/>
          <w:b/>
          <w:sz w:val="32"/>
          <w:u w:color="auto"/>
          <w:lang w:eastAsia="zh-CN"/>
        </w:rPr>
        <w:t>单位</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我局贯彻落实党中央、自治区、河池市和自治区党委关于退役军人工作的方针政策和决策部署，在履行职责过程中坚持和加强党对退役军人工作的集中统一领导。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s="黑体"/>
          <w:sz w:val="32"/>
          <w:szCs w:val="32"/>
        </w:rPr>
      </w:pPr>
      <w:r>
        <w:rPr>
          <w:rFonts w:hint="eastAsia" w:ascii="仿宋_GB2312" w:eastAsia="仿宋_GB2312" w:cs="黑体"/>
          <w:sz w:val="32"/>
          <w:szCs w:val="32"/>
        </w:rPr>
        <w:t>主要职责是：</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（1）拟定全县退役军人思想政治、管理保障和安置优抚等政策并组织实施，褒扬彰显退役军人为党、国家和人民牺牲奉献的精神风范和价值导向</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（2）负责全县军队转业干部、复员干部、离休退休干部、退役士兵和无军籍退休退职职工的接收安置工作，以及自主择业、就业退役军人服务管理工作。</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（3）组织指导全县退役军人教育培训工作，协调扶持退</w:t>
      </w:r>
      <w:r>
        <w:rPr>
          <w:rFonts w:hint="eastAsia" w:ascii="仿宋_GB2312" w:hAnsi="黑体" w:eastAsia="仿宋_GB2312" w:cs="黑体"/>
          <w:sz w:val="32"/>
          <w:szCs w:val="32"/>
        </w:rPr>
        <w:t>役军人和随军</w:t>
      </w:r>
      <w:r>
        <w:rPr>
          <w:rFonts w:hint="eastAsia" w:ascii="仿宋_GB2312" w:eastAsia="仿宋_GB2312" w:cs="黑体"/>
          <w:sz w:val="32"/>
          <w:szCs w:val="32"/>
        </w:rPr>
        <w:t>随调家属就业创业。</w:t>
      </w:r>
    </w:p>
    <w:p>
      <w:pPr>
        <w:pStyle w:val="12"/>
        <w:keepNext w:val="0"/>
        <w:keepLines w:val="0"/>
        <w:pageBreakBefore w:val="0"/>
        <w:widowControl w:val="0"/>
        <w:kinsoku/>
        <w:wordWrap/>
        <w:overflowPunct/>
        <w:topLinePunct w:val="0"/>
        <w:autoSpaceDE/>
        <w:autoSpaceDN/>
        <w:bidi w:val="0"/>
        <w:adjustRightInd/>
        <w:snapToGrid/>
        <w:spacing w:line="540" w:lineRule="exact"/>
        <w:ind w:firstLine="515" w:firstLineChars="161"/>
        <w:textAlignment w:val="auto"/>
        <w:rPr>
          <w:rFonts w:ascii="仿宋_GB2312" w:eastAsia="仿宋_GB2312" w:cs="黑体"/>
          <w:sz w:val="32"/>
          <w:szCs w:val="32"/>
        </w:rPr>
      </w:pPr>
      <w:r>
        <w:rPr>
          <w:rFonts w:hint="eastAsia" w:ascii="仿宋_GB2312" w:eastAsia="仿宋_GB2312" w:cs="黑体"/>
          <w:sz w:val="32"/>
          <w:szCs w:val="32"/>
        </w:rPr>
        <w:t>（4）牵头组织有关部门落实退役军人特殊保障政策。</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（5）组织协调落实移交地方的离退休军人、符合条件的其他退役军人和无军籍退休退职职工的住房和保障以及退役军人医疗保障、社会保险等待遇保障工作。</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（6）组织指导伤病残退役军人服务管理和抚恤工作制定有关退役军人医疗、疗养、养老等机构的规划政策并指导实施。承担不适宜继续服役的伤病残军人相关工作。组织指导军供服务保障工作。</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（7）组织指导全县拥军优属工作。负责现役军人、退役军人、军队文职人员和军属优待、抚恤等工作。</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8）负责烈士及退役军人荣誉奖励、纪念活动等工作，依法承担英雄烈士保护相关工作，审核拟列全国、全区、全市、全县重点保护单位的烈士纪念建筑物名录，总结表彰和宣扬退役军人、退役军人工作单位和个人先进典型事迹。</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（9）指导并监督检查全县退役军人相关法律法规和政策措施的落实，组织开展退役军人权益维护和有关人员的帮扶援助工作。</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（10）完成自治县党委、自治县人民政府交办的其他任务。</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ascii="仿宋_GB2312" w:eastAsia="仿宋_GB2312" w:cs="黑体"/>
          <w:sz w:val="32"/>
          <w:szCs w:val="32"/>
        </w:rPr>
      </w:pPr>
      <w:r>
        <w:rPr>
          <w:rFonts w:hint="eastAsia" w:ascii="仿宋_GB2312" w:eastAsia="仿宋_GB2312" w:cs="黑体"/>
          <w:sz w:val="32"/>
          <w:szCs w:val="32"/>
        </w:rPr>
        <w:t>（11）职能转变。自治县退役军人事务局英加强退役军人思想政治工作和服务保障体系建设，建立健全集中统一、职能清晰的退役军人管理保障体制，协调各方力量更好为军人军属合法权益，让军人成为全社会尊崇的职业，褒扬彰显退役军人为党、为国家和人民牺牲奉献的精神风范和价值导向，更好地为增强部队战斗力和凝聚力做好组织保障。</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pStyle w:val="12"/>
        <w:ind w:firstLine="640"/>
        <w:rPr>
          <w:rFonts w:ascii="仿宋_GB2312" w:eastAsia="仿宋_GB2312" w:cs="黑体"/>
          <w:sz w:val="32"/>
          <w:szCs w:val="32"/>
        </w:rPr>
      </w:pPr>
      <w:r>
        <w:rPr>
          <w:rFonts w:hint="eastAsia" w:ascii="仿宋_GB2312" w:eastAsia="仿宋_GB2312" w:cs="黑体"/>
          <w:sz w:val="32"/>
          <w:szCs w:val="32"/>
        </w:rPr>
        <w:t>我局内设机构为综合股。拟定全县退役军人事业发展规划、年度计划。负责机关日常运转和后勤保障，承担文电、会务、档案、信访、机要保密、督查督办、政务协调、宣传、信息管理、机关党群、机构编制、人事管理、离退休人员等工作。承担重要文稿起草工作。负责人大代表建议和政协委员提案的办复工作。负责信息化建设工作。承担退役军人事务发至普及和宣传教育工作。负者财务和资产管理等工作。</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环江毛南族自治县退役军人事务局</w:t>
      </w:r>
      <w:r>
        <w:rPr>
          <w:rFonts w:hint="eastAsia" w:ascii="黑体" w:hAnsi="黑体" w:eastAsia="黑体" w:cs="黑体"/>
          <w:sz w:val="32"/>
          <w:szCs w:val="32"/>
          <w:highlight w:val="none"/>
        </w:rPr>
        <w:t xml:space="preserve"> 2022年度部门决算报表</w:t>
      </w:r>
    </w:p>
    <w:tbl>
      <w:tblPr>
        <w:tblStyle w:val="7"/>
        <w:tblW w:w="137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36"/>
        <w:gridCol w:w="1016"/>
        <w:gridCol w:w="2067"/>
        <w:gridCol w:w="3650"/>
        <w:gridCol w:w="1267"/>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736" w:type="dxa"/>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5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10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0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53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部门：广西河池市环江毛南族自治县退役军人事务局</w:t>
            </w:r>
          </w:p>
        </w:tc>
        <w:tc>
          <w:tcPr>
            <w:tcW w:w="101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0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2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00"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619" w:type="dxa"/>
            <w:gridSpan w:val="3"/>
            <w:tcBorders>
              <w:top w:val="single" w:color="000000" w:sz="4" w:space="0"/>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收入</w:t>
            </w:r>
          </w:p>
        </w:tc>
        <w:tc>
          <w:tcPr>
            <w:tcW w:w="7117" w:type="dxa"/>
            <w:gridSpan w:val="3"/>
            <w:tcBorders>
              <w:top w:val="single" w:color="000000" w:sz="4" w:space="0"/>
              <w:left w:val="nil"/>
              <w:bottom w:val="single" w:color="000000" w:sz="4" w:space="0"/>
              <w:right w:val="single" w:color="000000" w:sz="4" w:space="0"/>
            </w:tcBorders>
            <w:shd w:val="clear" w:color="FFFFFF"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项目</w:t>
            </w:r>
          </w:p>
        </w:tc>
        <w:tc>
          <w:tcPr>
            <w:tcW w:w="1016"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行次</w:t>
            </w:r>
          </w:p>
        </w:tc>
        <w:tc>
          <w:tcPr>
            <w:tcW w:w="2067"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金额</w:t>
            </w:r>
          </w:p>
        </w:tc>
        <w:tc>
          <w:tcPr>
            <w:tcW w:w="3650"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项目</w:t>
            </w:r>
          </w:p>
        </w:tc>
        <w:tc>
          <w:tcPr>
            <w:tcW w:w="1267"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行次</w:t>
            </w:r>
          </w:p>
        </w:tc>
        <w:tc>
          <w:tcPr>
            <w:tcW w:w="2200"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FFFFFF"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栏次</w:t>
            </w:r>
          </w:p>
        </w:tc>
        <w:tc>
          <w:tcPr>
            <w:tcW w:w="1016" w:type="dxa"/>
            <w:tcBorders>
              <w:top w:val="nil"/>
              <w:left w:val="nil"/>
              <w:bottom w:val="single" w:color="000000" w:sz="4" w:space="0"/>
              <w:right w:val="single" w:color="000000" w:sz="4" w:space="0"/>
            </w:tcBorders>
            <w:shd w:val="clear" w:color="FFFFFF"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shd w:val="clear"/>
              </w:rPr>
            </w:pPr>
          </w:p>
        </w:tc>
        <w:tc>
          <w:tcPr>
            <w:tcW w:w="2067"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1</w:t>
            </w:r>
          </w:p>
        </w:tc>
        <w:tc>
          <w:tcPr>
            <w:tcW w:w="3650"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栏次</w:t>
            </w:r>
          </w:p>
        </w:tc>
        <w:tc>
          <w:tcPr>
            <w:tcW w:w="1267" w:type="dxa"/>
            <w:tcBorders>
              <w:top w:val="nil"/>
              <w:left w:val="nil"/>
              <w:bottom w:val="single" w:color="000000" w:sz="4" w:space="0"/>
              <w:right w:val="single" w:color="000000" w:sz="4" w:space="0"/>
            </w:tcBorders>
            <w:shd w:val="clear" w:color="FFFFFF"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shd w:val="clear"/>
              </w:rPr>
            </w:pPr>
          </w:p>
        </w:tc>
        <w:tc>
          <w:tcPr>
            <w:tcW w:w="2200" w:type="dxa"/>
            <w:tcBorders>
              <w:top w:val="nil"/>
              <w:left w:val="nil"/>
              <w:bottom w:val="single" w:color="000000" w:sz="4" w:space="0"/>
              <w:right w:val="single" w:color="000000" w:sz="4" w:space="0"/>
            </w:tcBorders>
            <w:shd w:val="clear" w:color="FFFFFF"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一、一般公共预算财政拨款收入</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1</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2,301.92</w:t>
            </w: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一、一般公共服务支出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32</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133.80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二、政府性基金预算财政拨款收入</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2</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4.55</w:t>
            </w: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二、外交支出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33</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三、国有资本经营预算财政拨款收入</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3</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0.00</w:t>
            </w: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三、国防支出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34</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四、上级补助收入</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4</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0.00</w:t>
            </w: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四、公共安全支出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35</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五、事业收入</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5</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0.00</w:t>
            </w: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五、教育支出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36</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六、经营收入</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6</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0.00</w:t>
            </w: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六、科学技术支出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37</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七、附属单位上缴收入</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7</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0.00</w:t>
            </w: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七、文化旅游体育与传媒支出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38</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八、其他收入</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8</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0.00</w:t>
            </w: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八、社会保障和就业支出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39</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2,087.00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shd w:val="clear"/>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9</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shd w:val="clear"/>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九、卫生健康支出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40</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32.10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shd w:val="clear"/>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10</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shd w:val="clear"/>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十、节能环保支出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41</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shd w:val="clear"/>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11</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shd w:val="clear"/>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十一、城乡社区支出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42</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shd w:val="clear"/>
              </w:rPr>
            </w:pPr>
            <w:r>
              <w:rPr>
                <w:rFonts w:hint="eastAsia" w:ascii="宋体" w:hAnsi="宋体" w:eastAsia="宋体" w:cs="宋体"/>
                <w:i w:val="0"/>
                <w:iCs w:val="0"/>
                <w:color w:val="000000"/>
                <w:kern w:val="0"/>
                <w:sz w:val="22"/>
                <w:szCs w:val="22"/>
                <w:u w:val="none"/>
                <w:shd w:val="clear"/>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2,306.47</w:t>
            </w: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5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0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2,306.47</w:t>
            </w:r>
          </w:p>
        </w:tc>
        <w:tc>
          <w:tcPr>
            <w:tcW w:w="3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2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6" w:type="dxa"/>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6" w:type="dxa"/>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p>
    <w:p>
      <w:pPr>
        <w:jc w:val="left"/>
        <w:rPr>
          <w:rFonts w:hint="eastAsia" w:ascii="仿宋" w:hAnsi="仿宋" w:eastAsia="仿宋" w:cs="仿宋"/>
          <w:sz w:val="24"/>
          <w:highlight w:val="none"/>
        </w:rPr>
      </w:pPr>
    </w:p>
    <w:p>
      <w:pPr>
        <w:pStyle w:val="2"/>
        <w:rPr>
          <w:rFonts w:hint="eastAsia" w:ascii="仿宋" w:hAnsi="仿宋" w:eastAsia="仿宋" w:cs="仿宋"/>
          <w:sz w:val="24"/>
          <w:highlight w:val="none"/>
        </w:rPr>
      </w:pPr>
    </w:p>
    <w:p>
      <w:pPr>
        <w:rPr>
          <w:rFonts w:hint="eastAsia"/>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收入</w:t>
      </w:r>
      <w:r>
        <w:rPr>
          <w:rFonts w:hint="eastAsia" w:ascii="仿宋" w:hAnsi="仿宋" w:eastAsia="仿宋" w:cs="仿宋"/>
          <w:sz w:val="24"/>
          <w:highlight w:val="none"/>
        </w:rPr>
        <w:t>决算表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1"/>
        <w:gridCol w:w="352"/>
        <w:gridCol w:w="351"/>
        <w:gridCol w:w="4123"/>
        <w:gridCol w:w="1372"/>
        <w:gridCol w:w="1372"/>
        <w:gridCol w:w="1204"/>
        <w:gridCol w:w="931"/>
        <w:gridCol w:w="931"/>
        <w:gridCol w:w="1477"/>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部门：广西河池市环江毛南族自治县退役军人事务局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2,306.47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2,306.47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在乡复员、退伍军人生活补助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义务兵优待</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军队移交政府的离退休人员安置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军队移交政府离退休干部管理机构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退役士兵管理教育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拥军优属</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5"/>
        <w:gridCol w:w="366"/>
        <w:gridCol w:w="365"/>
        <w:gridCol w:w="4123"/>
        <w:gridCol w:w="1536"/>
        <w:gridCol w:w="1096"/>
        <w:gridCol w:w="1103"/>
        <w:gridCol w:w="1536"/>
        <w:gridCol w:w="1096"/>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trPr>
        <w:tc>
          <w:tcPr>
            <w:tcW w:w="0" w:type="auto"/>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部门：广西河池市环江毛南族自治县退役军人事务局</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0" w:type="auto"/>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2,306.47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146.39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2,160.08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在乡复员、退伍军人生活补助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义务兵优待</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军队移交政府的离退休人员安置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军队移交政府离退休干部管理机构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退役士兵管理教育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拥军优属</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用于社会福利的彩票公益金支出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7"/>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环江毛南族自治县退役军人事务局</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2301.92</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4.55</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2087.00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2087.00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32.10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32.10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w:t>
            </w:r>
            <w:r>
              <w:rPr>
                <w:rFonts w:hint="eastAsia" w:ascii="宋体" w:hAnsi="宋体" w:eastAsia="宋体" w:cs="宋体"/>
                <w:color w:val="000000"/>
                <w:kern w:val="0"/>
                <w:sz w:val="22"/>
                <w:szCs w:val="22"/>
                <w:highlight w:val="none"/>
                <w:lang w:bidi="ar"/>
              </w:rPr>
              <w:t>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11.12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11.12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42.45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37.9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4.55</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2306.47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2306.47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2301.92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4.55</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2306.47</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2306.47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2301.92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4.55</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5"/>
        <w:gridCol w:w="366"/>
        <w:gridCol w:w="365"/>
        <w:gridCol w:w="4206"/>
        <w:gridCol w:w="3001"/>
        <w:gridCol w:w="2684"/>
        <w:gridCol w:w="2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970"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36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3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6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2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00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68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98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5302" w:type="dxa"/>
            <w:gridSpan w:val="4"/>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部门：广西河池市环江毛南族自治县退役军人事务局</w:t>
            </w:r>
          </w:p>
        </w:tc>
        <w:tc>
          <w:tcPr>
            <w:tcW w:w="300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68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98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0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66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20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00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68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9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09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206"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0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8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8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206"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0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84"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8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0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302" w:type="dxa"/>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2,301.92</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146.39</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2,155.53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133.80</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131.91</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131.91</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2,087.00</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106.42</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1,679.02</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273.02</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2080803</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在乡复员、退伍军人生活补助</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969.88</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2080805</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义务兵优待</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428.13</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退役安置</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187.82</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2080901</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退役士兵安置</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124.68</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2080902</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军队移交政府的离退休人员安置</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2080903</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军队移交政府离退休干部管理机构</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2080904</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退役士兵管理教育</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2080905</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军队转业干部安置</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2080999</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205.54</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2082801</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91.84</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2082804</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拥军优属</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65.32</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2082899</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其他退役军人事务管理支出</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48.38</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优抚对象医疗</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2101401</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优抚对象医疗补助</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26.95</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26.95</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9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20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0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w:t>
            </w:r>
          </w:p>
        </w:tc>
        <w:tc>
          <w:tcPr>
            <w:tcW w:w="2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26.95</w:t>
            </w:r>
          </w:p>
        </w:tc>
        <w:tc>
          <w:tcPr>
            <w:tcW w:w="29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970"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3"/>
        <w:gridCol w:w="2750"/>
        <w:gridCol w:w="1907"/>
        <w:gridCol w:w="826"/>
        <w:gridCol w:w="1343"/>
        <w:gridCol w:w="139"/>
        <w:gridCol w:w="935"/>
        <w:gridCol w:w="1117"/>
        <w:gridCol w:w="1683"/>
        <w:gridCol w:w="1493"/>
        <w:gridCol w:w="233"/>
        <w:gridCol w:w="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90" w:hRule="atLeast"/>
        </w:trPr>
        <w:tc>
          <w:tcPr>
            <w:tcW w:w="4881" w:type="pct"/>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255" w:hRule="atLeast"/>
        </w:trPr>
        <w:tc>
          <w:tcPr>
            <w:tcW w:w="49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97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7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9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7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78"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9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9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08"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255" w:hRule="atLeast"/>
        </w:trPr>
        <w:tc>
          <w:tcPr>
            <w:tcW w:w="1468"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部门：广西河池市环江毛南族自治县退役军人事务局</w:t>
            </w:r>
          </w:p>
        </w:tc>
        <w:tc>
          <w:tcPr>
            <w:tcW w:w="67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91"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47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78"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9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59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08"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21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740" w:type="pct"/>
            <w:gridSpan w:val="8"/>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firstLine="3080" w:firstLineChars="14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1438" w:rightChars="685"/>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97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7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9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7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78"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39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59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08" w:type="pct"/>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630" w:hRule="atLeast"/>
        </w:trPr>
        <w:tc>
          <w:tcPr>
            <w:tcW w:w="498"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70"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72"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91"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73"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78" w:type="pct"/>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4"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93" w:type="pct"/>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08" w:type="pct"/>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674"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135.91</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51.72</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0.82</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0.68</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0.59</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pct"/>
          <w:trHeight w:val="308" w:hRule="atLeast"/>
        </w:trPr>
        <w:tc>
          <w:tcPr>
            <w:tcW w:w="498"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970"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4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378"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94"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93" w:type="pct"/>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608" w:type="pct"/>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55" w:type="pct"/>
            <w:gridSpan w:val="6"/>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3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135.91</w:t>
            </w:r>
          </w:p>
        </w:tc>
        <w:tc>
          <w:tcPr>
            <w:tcW w:w="1514"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200" w:type="pct"/>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8" w:type="pct"/>
          <w:trHeight w:val="308" w:hRule="atLeast"/>
        </w:trPr>
        <w:tc>
          <w:tcPr>
            <w:tcW w:w="4881" w:type="pct"/>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2"/>
                <w:szCs w:val="32"/>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环江毛南族自治县退役军人事务局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4.55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4.55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4.55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229</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其他支出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4.55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4.55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4.55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22960</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彩票公益金安排支出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4.55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4.55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4.55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2296002</w:t>
            </w: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用于社会福利和彩票公益金支出</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4.55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4.55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4.55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环江毛南族自治县退役军人事务局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lang w:val="en-US" w:eastAsia="zh-CN"/>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年度没有国有资本经营预算财政拨款收入，也没有国有资本经营预算财政拨款收入安排的支出，故本表无数据。</w:t>
      </w:r>
    </w:p>
    <w:p>
      <w:pPr>
        <w:pStyle w:val="2"/>
        <w:rPr>
          <w:rFonts w:hint="eastAsia"/>
        </w:rPr>
      </w:pPr>
    </w:p>
    <w:tbl>
      <w:tblPr>
        <w:tblStyle w:val="7"/>
        <w:tblW w:w="14036" w:type="dxa"/>
        <w:tblInd w:w="0" w:type="dxa"/>
        <w:tblLayout w:type="fixed"/>
        <w:tblCellMar>
          <w:top w:w="0" w:type="dxa"/>
          <w:left w:w="108" w:type="dxa"/>
          <w:bottom w:w="0" w:type="dxa"/>
          <w:right w:w="108" w:type="dxa"/>
        </w:tblCellMar>
      </w:tblPr>
      <w:tblGrid>
        <w:gridCol w:w="1534"/>
        <w:gridCol w:w="1425"/>
        <w:gridCol w:w="1094"/>
        <w:gridCol w:w="1159"/>
        <w:gridCol w:w="1133"/>
        <w:gridCol w:w="1040"/>
        <w:gridCol w:w="1066"/>
        <w:gridCol w:w="1161"/>
        <w:gridCol w:w="1053"/>
        <w:gridCol w:w="1148"/>
        <w:gridCol w:w="1133"/>
        <w:gridCol w:w="1073"/>
      </w:tblGrid>
      <w:tr>
        <w:tblPrEx>
          <w:tblCellMar>
            <w:top w:w="0" w:type="dxa"/>
            <w:left w:w="108" w:type="dxa"/>
            <w:bottom w:w="0" w:type="dxa"/>
            <w:right w:w="108" w:type="dxa"/>
          </w:tblCellMar>
        </w:tblPrEx>
        <w:trPr>
          <w:wAfter w:w="17" w:type="dxa"/>
          <w:trHeight w:val="632" w:hRule="atLeast"/>
        </w:trPr>
        <w:tc>
          <w:tcPr>
            <w:tcW w:w="14019"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pStyle w:val="2"/>
              <w:rPr>
                <w:rFonts w:hint="eastAsia" w:ascii="仿宋" w:hAnsi="仿宋" w:eastAsia="仿宋" w:cs="仿宋"/>
                <w:sz w:val="24"/>
                <w:highlight w:val="none"/>
                <w:lang w:val="en-US" w:eastAsia="zh-CN"/>
              </w:rPr>
            </w:pPr>
          </w:p>
          <w:p>
            <w:pPr>
              <w:rPr>
                <w:rFonts w:hint="eastAsia" w:ascii="仿宋" w:hAnsi="仿宋" w:eastAsia="仿宋" w:cs="仿宋"/>
                <w:sz w:val="24"/>
                <w:highlight w:val="none"/>
                <w:lang w:val="en-US" w:eastAsia="zh-CN"/>
              </w:rPr>
            </w:pPr>
          </w:p>
          <w:p>
            <w:pPr>
              <w:pStyle w:val="2"/>
              <w:rPr>
                <w:rFonts w:hint="eastAsia"/>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lang w:val="en-US" w:eastAsia="zh-CN"/>
              </w:rPr>
            </w:pP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wAfter w:w="17" w:type="dxa"/>
          <w:trHeight w:val="316" w:hRule="atLeast"/>
        </w:trPr>
        <w:tc>
          <w:tcPr>
            <w:tcW w:w="153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wAfter w:w="17" w:type="dxa"/>
          <w:trHeight w:val="316" w:hRule="atLeast"/>
        </w:trPr>
        <w:tc>
          <w:tcPr>
            <w:tcW w:w="7385"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环江毛南族自治县退役军人事务局</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wAfter w:w="17" w:type="dxa"/>
          <w:trHeight w:val="326" w:hRule="atLeast"/>
        </w:trPr>
        <w:tc>
          <w:tcPr>
            <w:tcW w:w="73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wAfter w:w="17" w:type="dxa"/>
          <w:trHeight w:val="326" w:hRule="atLeast"/>
        </w:trPr>
        <w:tc>
          <w:tcPr>
            <w:tcW w:w="15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wAfter w:w="17" w:type="dxa"/>
          <w:trHeight w:val="642" w:hRule="atLeast"/>
        </w:trPr>
        <w:tc>
          <w:tcPr>
            <w:tcW w:w="153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wAfter w:w="17" w:type="dxa"/>
          <w:trHeight w:val="959" w:hRule="atLeast"/>
        </w:trPr>
        <w:tc>
          <w:tcPr>
            <w:tcW w:w="15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wAfter w:w="17" w:type="dxa"/>
          <w:trHeight w:val="642" w:hRule="atLeast"/>
        </w:trPr>
        <w:tc>
          <w:tcPr>
            <w:tcW w:w="153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0.6</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0.60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0.60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eastAsiaTheme="minorEastAsia"/>
                <w:highlight w:val="none"/>
                <w:lang w:val="en-US" w:eastAsia="zh-CN"/>
              </w:rPr>
            </w:pPr>
            <w:r>
              <w:rPr>
                <w:rFonts w:hint="eastAsia" w:ascii="宋体" w:hAnsi="宋体" w:eastAsia="宋体" w:cs="宋体"/>
                <w:color w:val="000000"/>
                <w:kern w:val="0"/>
                <w:sz w:val="22"/>
                <w:szCs w:val="22"/>
                <w:highlight w:val="none"/>
                <w:lang w:val="en-US" w:eastAsia="zh-CN" w:bidi="ar"/>
              </w:rPr>
              <w:t>0.60</w:t>
            </w:r>
          </w:p>
        </w:tc>
      </w:tr>
      <w:tr>
        <w:tblPrEx>
          <w:tblCellMar>
            <w:top w:w="0" w:type="dxa"/>
            <w:left w:w="108" w:type="dxa"/>
            <w:bottom w:w="0" w:type="dxa"/>
            <w:right w:w="108" w:type="dxa"/>
          </w:tblCellMar>
        </w:tblPrEx>
        <w:trPr>
          <w:wAfter w:w="17" w:type="dxa"/>
          <w:trHeight w:val="642" w:hRule="atLeast"/>
        </w:trPr>
        <w:tc>
          <w:tcPr>
            <w:tcW w:w="14019" w:type="dxa"/>
            <w:gridSpan w:val="1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FF0000"/>
                <w:kern w:val="2"/>
                <w:sz w:val="21"/>
                <w:szCs w:val="21"/>
                <w:lang w:val="en-US" w:eastAsia="zh-CN" w:bidi="ar"/>
              </w:rPr>
              <w:t xml:space="preserve">  </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ascii="仿宋" w:hAnsi="仿宋" w:eastAsia="仿宋" w:cs="仿宋"/>
          <w:sz w:val="24"/>
          <w:highlight w:val="none"/>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退役军人事务局单位</w:t>
      </w:r>
      <w:r>
        <w:rPr>
          <w:rFonts w:hint="eastAsia" w:ascii="黑体" w:hAnsi="黑体" w:eastAsia="黑体" w:cs="黑体"/>
          <w:sz w:val="32"/>
          <w:szCs w:val="32"/>
          <w:highlight w:val="none"/>
        </w:rPr>
        <w:t>2022年度部门决算</w:t>
      </w: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u w:color="auto"/>
          <w:lang w:val="en-US" w:eastAsia="zh-CN"/>
        </w:rPr>
        <w:t>2306.47</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增加360.38</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增长18.5</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2306.47</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_GB2312" w:hAnsi="仿宋" w:eastAsia="仿宋_GB2312" w:cs="仿宋"/>
          <w:kern w:val="0"/>
          <w:sz w:val="32"/>
          <w:szCs w:val="32"/>
          <w:lang w:val="en-US" w:eastAsia="zh-CN"/>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2301.92</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eastAsia="zh-CN"/>
        </w:rPr>
        <w:t>环江县</w:t>
      </w:r>
      <w:r>
        <w:rPr>
          <w:rFonts w:hint="eastAsia" w:ascii="仿宋" w:hAnsi="仿宋" w:eastAsia="仿宋" w:cs="仿宋"/>
          <w:kern w:val="2"/>
          <w:sz w:val="32"/>
          <w:szCs w:val="32"/>
          <w:highlight w:val="none"/>
          <w:lang w:val="en-US" w:eastAsia="zh-CN" w:bidi="ar"/>
        </w:rPr>
        <w:t>本级财政当年拨付的资金。较2021年度决算数</w:t>
      </w:r>
      <w:r>
        <w:rPr>
          <w:rFonts w:hint="eastAsia" w:ascii="仿宋" w:hAnsi="仿宋" w:eastAsia="仿宋" w:cs="仿宋"/>
          <w:sz w:val="32"/>
          <w:u w:color="auto"/>
          <w:lang w:val="en-US" w:eastAsia="zh-CN"/>
        </w:rPr>
        <w:t>增加439.34</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增长23.5</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_GB2312" w:hAnsi="仿宋" w:eastAsia="仿宋_GB2312" w:cs="仿宋"/>
          <w:kern w:val="0"/>
          <w:sz w:val="32"/>
          <w:szCs w:val="32"/>
          <w:lang w:val="en-US" w:eastAsia="zh-CN"/>
        </w:rPr>
        <w:t>主要原因为退役军人人数的增加变动，各类退役军人优抚安置资金的随之增长。</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hint="eastAsia" w:ascii="仿宋" w:hAnsi="仿宋" w:eastAsia="仿宋" w:cs="仿宋"/>
          <w:sz w:val="32"/>
          <w:u w:color="auto"/>
          <w:lang w:val="en-US" w:eastAsia="zh-CN"/>
        </w:rPr>
        <w:t>4.55</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eastAsia="zh-CN"/>
        </w:rPr>
        <w:t>环江县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主要原因：加大对困难退役军人的帮扶力度，为他们雪中送炭，尽微薄之力。</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河</w:t>
      </w:r>
      <w:r>
        <w:rPr>
          <w:rFonts w:hint="eastAsia" w:ascii="仿宋" w:hAnsi="仿宋" w:eastAsia="仿宋" w:cs="仿宋"/>
          <w:sz w:val="32"/>
          <w:szCs w:val="32"/>
          <w:highlight w:val="none"/>
          <w:lang w:eastAsia="zh-CN"/>
        </w:rPr>
        <w:t>环江县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kern w:val="2"/>
          <w:sz w:val="32"/>
          <w:szCs w:val="32"/>
          <w:highlight w:val="none"/>
          <w:lang w:val="en-US" w:eastAsia="zh-CN" w:bidi="ar"/>
        </w:rPr>
        <w:t>单位无涉及国有资本经营预算财政拨款收入。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kern w:val="2"/>
          <w:sz w:val="32"/>
          <w:szCs w:val="32"/>
          <w:highlight w:val="none"/>
          <w:lang w:val="en-US" w:eastAsia="zh-CN" w:bidi="ar"/>
        </w:rPr>
        <w:t>单位无涉及上级补助收入。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color w:val="auto"/>
          <w:kern w:val="2"/>
          <w:sz w:val="32"/>
          <w:szCs w:val="32"/>
          <w:highlight w:val="none"/>
          <w:lang w:val="en-US" w:eastAsia="zh-CN" w:bidi="ar"/>
        </w:rPr>
        <w:t>7.附属单位上缴收入</w:t>
      </w:r>
      <w:r>
        <w:rPr>
          <w:rFonts w:ascii="仿宋" w:hAnsi="仿宋" w:eastAsia="仿宋" w:cs="仿宋"/>
          <w:color w:val="auto"/>
          <w:sz w:val="32"/>
          <w:u w:color="auto"/>
        </w:rPr>
        <w:t>0.00</w:t>
      </w:r>
      <w:r>
        <w:rPr>
          <w:rFonts w:hint="eastAsia" w:ascii="仿宋" w:hAnsi="仿宋" w:eastAsia="仿宋" w:cs="仿宋"/>
          <w:color w:val="auto"/>
          <w:kern w:val="2"/>
          <w:sz w:val="32"/>
          <w:szCs w:val="32"/>
          <w:highlight w:val="none"/>
          <w:lang w:val="en-US" w:eastAsia="zh-CN" w:bidi="ar"/>
        </w:rPr>
        <w:t>万元。较2021年度决算数</w:t>
      </w:r>
      <w:r>
        <w:rPr>
          <w:rFonts w:ascii="仿宋" w:hAnsi="仿宋" w:eastAsia="仿宋" w:cs="仿宋"/>
          <w:color w:val="auto"/>
          <w:sz w:val="32"/>
          <w:u w:color="auto"/>
        </w:rPr>
        <w:t>增加0.00</w:t>
      </w:r>
      <w:r>
        <w:rPr>
          <w:rFonts w:hint="eastAsia" w:ascii="仿宋" w:hAnsi="仿宋" w:eastAsia="仿宋" w:cs="仿宋"/>
          <w:color w:val="auto"/>
          <w:kern w:val="2"/>
          <w:sz w:val="32"/>
          <w:szCs w:val="32"/>
          <w:highlight w:val="none"/>
          <w:lang w:val="en-US" w:eastAsia="zh-CN" w:bidi="ar"/>
        </w:rPr>
        <w:t>万元，</w:t>
      </w:r>
      <w:r>
        <w:rPr>
          <w:rFonts w:ascii="仿宋" w:hAnsi="仿宋" w:eastAsia="仿宋" w:cs="仿宋"/>
          <w:color w:val="auto"/>
          <w:sz w:val="32"/>
          <w:u w:color="auto"/>
        </w:rPr>
        <w:t>增长0%</w:t>
      </w:r>
      <w:r>
        <w:rPr>
          <w:rFonts w:hint="eastAsia" w:ascii="仿宋" w:hAnsi="仿宋" w:eastAsia="仿宋" w:cs="仿宋"/>
          <w:color w:val="auto"/>
          <w:kern w:val="2"/>
          <w:sz w:val="32"/>
          <w:szCs w:val="32"/>
          <w:highlight w:val="none"/>
          <w:lang w:val="en-US" w:eastAsia="zh-CN" w:bidi="ar"/>
        </w:rPr>
        <w:t>，主要原因是：本单位无附属单位上缴收入。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83.51</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100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部分项目已在本年执行完毕，不需要结转至下年继续执行。</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hint="eastAsia" w:ascii="仿宋" w:hAnsi="仿宋" w:eastAsia="仿宋" w:cs="仿宋"/>
          <w:sz w:val="32"/>
          <w:u w:color="auto"/>
          <w:lang w:val="en-US" w:eastAsia="zh-CN"/>
        </w:rPr>
        <w:t>2306.47</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2306.47</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增加360.38</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增长18.5</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val="en-US" w:eastAsia="zh-CN"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133.8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eastAsia="仿宋_GB2312" w:cs="仿宋_GB2312"/>
          <w:kern w:val="0"/>
          <w:sz w:val="32"/>
          <w:szCs w:val="32"/>
          <w:lang w:val="en-US" w:eastAsia="zh-CN"/>
        </w:rPr>
        <w:t>发放退役军人春节慰问金</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增加133.8万元</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bidi="ar"/>
        </w:rPr>
        <w:t>增长100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主要原因是：2021年度该项费用列入</w:t>
      </w:r>
      <w:r>
        <w:rPr>
          <w:rFonts w:hint="eastAsia" w:ascii="仿宋_GB2312" w:eastAsia="仿宋_GB2312" w:cs="仿宋_GB2312"/>
          <w:kern w:val="0"/>
          <w:sz w:val="32"/>
          <w:szCs w:val="32"/>
        </w:rPr>
        <w:t>社会保障就业支出</w:t>
      </w:r>
    </w:p>
    <w:p>
      <w:pPr>
        <w:autoSpaceDE w:val="0"/>
        <w:autoSpaceDN w:val="0"/>
        <w:adjustRightInd w:val="0"/>
        <w:spacing w:line="580" w:lineRule="exact"/>
        <w:ind w:firstLine="640" w:firstLineChars="200"/>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2087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 w:eastAsia="仿宋_GB2312" w:cs="仿宋"/>
          <w:bCs/>
          <w:kern w:val="0"/>
          <w:sz w:val="32"/>
          <w:szCs w:val="32"/>
        </w:rPr>
        <w:t>在乡复员、退伍军人生活补助、义务兵优待金，退役士兵安置、军队移交政府的离退休人员安置、退役士兵管理教育、拥军优属及其他退役军人事务管理支出。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增加357.29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增长21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主要原因是：退役军人的人员出现动态变动，造成退役安置资金项目增多，发放补助资金增大。</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卫生健康支出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210</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32.1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优抚对象的医疗补助费用</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4.84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13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优抚对象申请补助人数出现不可预测的人员增减变动。</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sz w:val="32"/>
          <w:u w:color="auto"/>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11.12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单位职工的住房公积金的缴纳</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增加0.03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增长0.2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单位人员的工资变动，造成申报基数变动。</w:t>
      </w:r>
    </w:p>
    <w:p>
      <w:pPr>
        <w:keepNext w:val="0"/>
        <w:keepLines w:val="0"/>
        <w:widowControl w:val="0"/>
        <w:suppressLineNumbers w:val="0"/>
        <w:spacing w:before="0" w:beforeAutospacing="0" w:after="0" w:afterAutospacing="0"/>
        <w:ind w:left="0" w:right="0" w:firstLine="620" w:firstLineChars="200"/>
        <w:jc w:val="left"/>
        <w:rPr>
          <w:rFonts w:hint="default" w:ascii="仿宋" w:hAnsi="仿宋" w:eastAsia="仿宋_GB2312" w:cs="仿宋"/>
          <w:color w:val="auto"/>
          <w:sz w:val="32"/>
          <w:szCs w:val="32"/>
          <w:highlight w:val="none"/>
          <w:lang w:val="en-US"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auto"/>
          <w:kern w:val="2"/>
          <w:sz w:val="32"/>
          <w:szCs w:val="32"/>
          <w:highlight w:val="none"/>
          <w:lang w:val="en-US" w:eastAsia="zh-CN" w:bidi="ar"/>
        </w:rPr>
        <w:t>本单位无结余分配。</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。较2021年度决算数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主要原因是：年底财政收回，</w:t>
      </w:r>
      <w:r>
        <w:rPr>
          <w:rFonts w:hint="eastAsia" w:ascii="仿宋" w:hAnsi="仿宋" w:eastAsia="仿宋" w:cs="仿宋"/>
          <w:sz w:val="32"/>
          <w:szCs w:val="32"/>
          <w:highlight w:val="none"/>
          <w:lang w:val="en-US" w:eastAsia="zh-CN"/>
        </w:rPr>
        <w:t>无年末结转结余数。</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2022年度一般公共预算财政拨款支出</w:t>
      </w:r>
      <w:r>
        <w:rPr>
          <w:rFonts w:hint="eastAsia" w:ascii="仿宋" w:hAnsi="仿宋" w:eastAsia="仿宋" w:cs="仿宋"/>
          <w:sz w:val="32"/>
          <w:u w:color="auto"/>
          <w:lang w:val="en-US" w:eastAsia="zh-CN"/>
        </w:rPr>
        <w:t>2306.47</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lang w:val="en-US" w:eastAsia="zh-CN"/>
        </w:rPr>
        <w:t>增加360.38</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增长18.5</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146.39</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2155.53</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 年度一般公共预算财政拨款支出年初预算为</w:t>
      </w:r>
      <w:r>
        <w:rPr>
          <w:rFonts w:hint="eastAsia" w:ascii="仿宋" w:hAnsi="仿宋" w:eastAsia="仿宋" w:cs="仿宋"/>
          <w:sz w:val="32"/>
          <w:u w:color="auto"/>
          <w:lang w:val="en-US" w:eastAsia="zh-CN"/>
        </w:rPr>
        <w:t>2306.47</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2306.47</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100</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一般公共服务支出</w:t>
      </w:r>
      <w:r>
        <w:rPr>
          <w:rFonts w:ascii="仿宋" w:hAnsi="仿宋" w:eastAsia="仿宋"/>
          <w:sz w:val="32"/>
          <w:u w:color="auto"/>
        </w:rPr>
        <w:t>（20</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133.8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133.8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2010302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一般行政管理事务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131.91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131.91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发放退役军人春节慰问金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用于职工工会经费的支出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133.8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133.8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p>
        </w:tc>
      </w:tr>
    </w:tbl>
    <w:p>
      <w:pPr>
        <w:keepNext w:val="0"/>
        <w:keepLines w:val="0"/>
        <w:widowControl w:val="0"/>
        <w:numPr>
          <w:numId w:val="0"/>
        </w:numPr>
        <w:suppressLineNumbers w:val="0"/>
        <w:spacing w:before="0" w:beforeAutospacing="0" w:after="0" w:afterAutospacing="0"/>
        <w:ind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lang w:eastAsia="zh-CN"/>
        </w:rPr>
        <w:t>）</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2087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2087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w:t>
      </w:r>
      <w:r>
        <w:rPr>
          <w:rFonts w:hint="eastAsia" w:ascii="仿宋" w:hAnsi="仿宋" w:eastAsia="仿宋"/>
          <w:color w:val="auto"/>
          <w:sz w:val="32"/>
          <w:szCs w:val="32"/>
          <w:highlight w:val="none"/>
          <w:lang w:val="en-US" w:eastAsia="zh-CN"/>
        </w:rPr>
        <w:t>是：</w:t>
      </w:r>
      <w:r>
        <w:rPr>
          <w:rFonts w:hint="eastAsia" w:ascii="仿宋" w:hAnsi="仿宋" w:eastAsia="仿宋" w:cs="仿宋"/>
          <w:color w:val="auto"/>
          <w:kern w:val="2"/>
          <w:sz w:val="32"/>
          <w:szCs w:val="32"/>
          <w:highlight w:val="none"/>
          <w:lang w:val="en-US" w:eastAsia="zh-CN" w:bidi="ar"/>
        </w:rPr>
        <w:t>无差异。</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14.63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14.63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用于缴纳职工养老保险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2080801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死亡抚恤</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273.02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273.02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用于支付欧保尔烈士的抚恤金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2080803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在乡复员、退役军人生活补助</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969.88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969.88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用于支付优抚人员生活补助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2080805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义务兵优待</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428.13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428.13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用于支付义务兵优待金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2080899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其他优抚支出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7.99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7.99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用于发放部分优抚对象春节及八一建军节慰问金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2080901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退役士兵安置</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124.68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124.68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用于发放退役士兵自主就业金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2080902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军队移交政府的离退休人员安置</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18.42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用于发放军休人员工资</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2080903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军队移交政府的离退休干部管理机构</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用于机构运行费用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2080904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退役士兵管理教育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用于退役士兵技能培训</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2080905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军队转业干部安置</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19.38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19.38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用于军转干部生活困难补助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其他退役安置支出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17.72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17.72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主要用于退役军人一户一档项目、县级拨付退役士兵技能培训费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2082801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91.84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91.84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退役军人管理事务管理以及单位的基本运行费用、职工工资等各类工资福利支出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2082804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拥军优属</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65.32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65.32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用于春节、八一慰问金的发放及双拥模范县的建设费用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2082899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其他退役军人事务管理支出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48.38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48.38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用于日常各项退役军人事务管理工作</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2087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2087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r>
    </w:tbl>
    <w:p>
      <w:pPr>
        <w:keepNext w:val="0"/>
        <w:keepLines w:val="0"/>
        <w:widowControl w:val="0"/>
        <w:numPr>
          <w:numId w:val="0"/>
        </w:numPr>
        <w:suppressLineNumbers w:val="0"/>
        <w:spacing w:before="0" w:beforeAutospacing="0" w:after="0" w:afterAutospacing="0"/>
        <w:ind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lang w:eastAsia="zh-CN"/>
        </w:rPr>
        <w:t>）</w:t>
      </w:r>
      <w:r>
        <w:rPr>
          <w:rFonts w:hint="eastAsia" w:ascii="仿宋" w:hAnsi="仿宋" w:eastAsia="仿宋"/>
          <w:sz w:val="32"/>
          <w:szCs w:val="32"/>
          <w:highlight w:val="none"/>
        </w:rPr>
        <w:t>卫生健康支出</w:t>
      </w:r>
      <w:r>
        <w:rPr>
          <w:rFonts w:ascii="仿宋" w:hAnsi="仿宋" w:eastAsia="仿宋"/>
          <w:sz w:val="32"/>
          <w:u w:color="auto"/>
        </w:rPr>
        <w:t>（210</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32.1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32.1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w:t>
      </w:r>
      <w:r>
        <w:rPr>
          <w:rFonts w:hint="eastAsia" w:ascii="仿宋" w:hAnsi="仿宋" w:eastAsia="仿宋"/>
          <w:color w:val="auto"/>
          <w:sz w:val="32"/>
          <w:szCs w:val="32"/>
          <w:highlight w:val="none"/>
          <w:lang w:val="en-US" w:eastAsia="zh-CN"/>
        </w:rPr>
        <w:t>是：</w:t>
      </w:r>
      <w:r>
        <w:rPr>
          <w:rFonts w:hint="eastAsia" w:ascii="仿宋" w:hAnsi="仿宋" w:eastAsia="仿宋" w:cs="仿宋"/>
          <w:color w:val="auto"/>
          <w:kern w:val="2"/>
          <w:sz w:val="32"/>
          <w:szCs w:val="32"/>
          <w:highlight w:val="none"/>
          <w:lang w:val="en-US" w:eastAsia="zh-CN" w:bidi="ar"/>
        </w:rPr>
        <w:t>无差异。</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21014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优抚对象医疗补助</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32.1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32.1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用于部分优抚对象医疗救助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32.1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32.1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numId w:val="0"/>
        </w:numPr>
        <w:suppressLineNumbers w:val="0"/>
        <w:spacing w:before="0" w:beforeAutospacing="0" w:after="0" w:afterAutospacing="0"/>
        <w:ind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11.12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11.12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11.12</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无差异。</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11.12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用于缴纳职工住房公积金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11.12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2022年度一般公共预算财政拨款基本支</w:t>
      </w:r>
      <w:r>
        <w:rPr>
          <w:rFonts w:hint="eastAsia" w:ascii="仿宋" w:hAnsi="仿宋" w:eastAsia="仿宋" w:cs="仿宋"/>
          <w:sz w:val="32"/>
          <w:u w:color="auto"/>
          <w:lang w:val="en-US" w:eastAsia="zh-CN"/>
        </w:rPr>
        <w:t>146.38</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135.91</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10.47</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135.91</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无差异。</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51.72万元，30102津贴补贴2.09万元，30103奖金40.1万元，30106伙食补助费1.8万元，30107绩效工资8.07万元，30108机关事业单位基本养老保险缴费14.63万元，30110职工基本医疗保险缴费6.01万元，30112其他社会保障缴费0.38万元，30113住房公积金11.12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10.47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无差异。</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30201办公费0.82万元，30204手续费0.02万元,30205水费0.27万元，30206电费0.68万元，30207邮电费1.15万元，30211差旅费0.01万元，302017公务接待费0.59万元，30228工会经费1.89万元，30239其他交通费用5.04万元。</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无。</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无差异。</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无差异。</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无差异。</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2022年度政府性基金支出</w:t>
      </w:r>
      <w:r>
        <w:rPr>
          <w:rFonts w:hint="eastAsia" w:ascii="仿宋" w:hAnsi="仿宋" w:eastAsia="仿宋" w:cs="仿宋"/>
          <w:sz w:val="32"/>
          <w:szCs w:val="32"/>
          <w:highlight w:val="none"/>
          <w:lang w:val="en-US" w:eastAsia="zh-CN"/>
        </w:rPr>
        <w:t>4.55</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3.55</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355</w:t>
      </w:r>
      <w:r>
        <w:rPr>
          <w:rFonts w:ascii="仿宋" w:hAnsi="仿宋" w:eastAsia="仿宋" w:cs="仿宋"/>
          <w:sz w:val="32"/>
          <w:szCs w:val="32"/>
          <w:highlight w:val="none"/>
        </w:rPr>
        <w:t>%</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4.55</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2022年度政府性基金支出年初预算为</w:t>
      </w:r>
      <w:r>
        <w:rPr>
          <w:rFonts w:hint="eastAsia" w:ascii="仿宋" w:hAnsi="仿宋" w:eastAsia="仿宋" w:cs="仿宋"/>
          <w:sz w:val="32"/>
          <w:szCs w:val="32"/>
          <w:highlight w:val="none"/>
          <w:lang w:val="en-US" w:eastAsia="zh-CN"/>
        </w:rPr>
        <w:t>4.55</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4.55</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0.6</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0.6</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主要原因是：退役军人事务管理工作发生的业务接待费</w:t>
      </w:r>
      <w:r>
        <w:rPr>
          <w:rFonts w:hint="eastAsia" w:ascii="仿宋" w:hAnsi="仿宋" w:eastAsia="仿宋" w:cs="仿宋"/>
          <w:color w:val="auto"/>
          <w:kern w:val="2"/>
          <w:sz w:val="32"/>
          <w:szCs w:val="32"/>
          <w:highlight w:val="none"/>
          <w:lang w:val="en-US" w:eastAsia="zh-CN" w:bidi="ar"/>
        </w:rPr>
        <w:t>用。</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0.6</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r>
        <w:rPr>
          <w:rFonts w:hint="eastAsia" w:ascii="仿宋_GB2312" w:hAnsi="Times New Roman" w:eastAsia="仿宋_GB2312" w:cs="Times New Roman"/>
          <w:color w:val="000000" w:themeColor="text1"/>
          <w:sz w:val="32"/>
          <w:szCs w:val="32"/>
          <w14:textFill>
            <w14:solidFill>
              <w14:schemeClr w14:val="tx1"/>
            </w14:solidFill>
          </w14:textFill>
        </w:rPr>
        <w:t>开支内容包括：</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无此类业务发生</w:t>
      </w: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2" w:name="PO_part3A6B2IncReason1"/>
      <w:r>
        <w:rPr>
          <w:rFonts w:hint="eastAsia" w:ascii="仿宋" w:hAnsi="仿宋" w:eastAsia="仿宋" w:cs="仿宋"/>
          <w:color w:val="auto"/>
          <w:sz w:val="32"/>
          <w:szCs w:val="32"/>
        </w:rPr>
        <w:t>表述为本部门无公务用车购置</w:t>
      </w:r>
      <w:bookmarkEnd w:id="2"/>
      <w:r>
        <w:rPr>
          <w:rFonts w:hint="eastAsia" w:ascii="仿宋" w:hAnsi="仿宋" w:eastAsia="仿宋" w:cs="仿宋"/>
          <w:color w:val="auto"/>
          <w:sz w:val="32"/>
          <w:szCs w:val="32"/>
        </w:rPr>
        <w:t>。</w:t>
      </w:r>
    </w:p>
    <w:p>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auto"/>
          <w:sz w:val="32"/>
          <w:szCs w:val="32"/>
        </w:rPr>
        <w:t>本部门无公务用车</w:t>
      </w:r>
      <w:r>
        <w:rPr>
          <w:rFonts w:hint="eastAsia" w:ascii="仿宋" w:hAnsi="仿宋" w:eastAsia="仿宋" w:cs="仿宋"/>
          <w:color w:val="auto"/>
          <w:sz w:val="32"/>
          <w:szCs w:val="32"/>
          <w:lang w:eastAsia="zh-CN"/>
        </w:rPr>
        <w:t>，</w:t>
      </w:r>
      <w:r>
        <w:rPr>
          <w:rFonts w:hint="eastAsia" w:ascii="仿宋" w:hAnsi="仿宋" w:eastAsia="仿宋" w:cs="仿宋"/>
          <w:sz w:val="32"/>
          <w:szCs w:val="32"/>
          <w:highlight w:val="none"/>
        </w:rPr>
        <w:t>2022年，</w:t>
      </w:r>
      <w:r>
        <w:rPr>
          <w:rFonts w:hint="eastAsia" w:ascii="仿宋" w:hAnsi="仿宋" w:eastAsia="仿宋" w:cs="仿宋"/>
          <w:sz w:val="32"/>
          <w:u w:color="auto"/>
          <w:lang w:val="en-US" w:eastAsia="zh-CN"/>
        </w:rPr>
        <w:t>本</w:t>
      </w:r>
      <w:r>
        <w:rPr>
          <w:rFonts w:hint="eastAsia" w:ascii="仿宋" w:hAnsi="仿宋" w:eastAsia="仿宋" w:cs="仿宋"/>
          <w:sz w:val="32"/>
          <w:u w:color="auto"/>
          <w:lang w:eastAsia="zh-CN"/>
        </w:rPr>
        <w:t>单位</w:t>
      </w:r>
      <w:r>
        <w:rPr>
          <w:rFonts w:hint="eastAsia" w:ascii="仿宋" w:hAnsi="仿宋" w:eastAsia="仿宋" w:cs="仿宋"/>
          <w:sz w:val="32"/>
          <w:szCs w:val="32"/>
          <w:highlight w:val="none"/>
        </w:rPr>
        <w:t>及</w:t>
      </w:r>
      <w:r>
        <w:rPr>
          <w:rFonts w:hint="eastAsia" w:ascii="仿宋" w:hAnsi="仿宋" w:eastAsia="仿宋" w:cs="仿宋"/>
          <w:color w:val="auto"/>
          <w:sz w:val="32"/>
          <w:szCs w:val="32"/>
          <w:highlight w:val="none"/>
          <w:u w:val="none"/>
          <w:lang w:val="en-US" w:eastAsia="zh-CN"/>
        </w:rPr>
        <w:t>0个</w:t>
      </w:r>
      <w:r>
        <w:rPr>
          <w:rFonts w:hint="eastAsia" w:ascii="仿宋" w:hAnsi="仿宋" w:eastAsia="仿宋" w:cs="仿宋"/>
          <w:sz w:val="32"/>
          <w:szCs w:val="32"/>
          <w:highlight w:val="none"/>
        </w:rPr>
        <w:t>所属单位开支财政拨款的公务用车保有量为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0.6</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0.6</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主要原因是：根据当年实际业务，发生业务接待费用0.6万元。</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29</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 w:cs="Times New Roman"/>
          <w:b w:val="0"/>
          <w:bCs w:val="0"/>
          <w:kern w:val="0"/>
          <w:sz w:val="32"/>
          <w:szCs w:val="32"/>
          <w:highlight w:val="yellow"/>
          <w:lang w:val="en-US" w:eastAsia="zh-CN"/>
        </w:rPr>
      </w:pPr>
      <w:r>
        <w:rPr>
          <w:rFonts w:hint="eastAsia" w:ascii="仿宋" w:hAnsi="仿宋" w:eastAsia="仿宋" w:cs="仿宋"/>
          <w:sz w:val="32"/>
          <w:szCs w:val="32"/>
          <w:highlight w:val="none"/>
        </w:rPr>
        <w:t>本部门2022年度机关运行经费支出</w:t>
      </w:r>
      <w:r>
        <w:rPr>
          <w:rFonts w:hint="eastAsia" w:ascii="仿宋" w:hAnsi="仿宋" w:eastAsia="仿宋" w:cs="仿宋"/>
          <w:sz w:val="32"/>
          <w:szCs w:val="32"/>
          <w:highlight w:val="none"/>
          <w:lang w:val="en-US" w:eastAsia="zh-CN"/>
        </w:rPr>
        <w:t>10.47</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0.4</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4</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主要原因是：</w:t>
      </w:r>
      <w:r>
        <w:rPr>
          <w:rFonts w:hint="eastAsia" w:ascii="仿宋" w:hAnsi="仿宋" w:eastAsia="仿宋" w:cs="仿宋"/>
          <w:color w:val="auto"/>
          <w:sz w:val="32"/>
          <w:szCs w:val="32"/>
          <w:highlight w:val="none"/>
          <w:lang w:val="en-US" w:eastAsia="zh-CN"/>
        </w:rPr>
        <w:t>根据机构运转需要，办</w:t>
      </w:r>
      <w:r>
        <w:rPr>
          <w:rFonts w:hint="eastAsia" w:ascii="仿宋" w:hAnsi="仿宋" w:eastAsia="仿宋" w:cs="仿宋"/>
          <w:color w:val="auto"/>
          <w:sz w:val="32"/>
          <w:szCs w:val="32"/>
          <w:highlight w:val="none"/>
        </w:rPr>
        <w:t>公</w:t>
      </w:r>
      <w:r>
        <w:rPr>
          <w:rFonts w:hint="eastAsia" w:ascii="仿宋" w:hAnsi="仿宋" w:eastAsia="仿宋" w:cs="仿宋"/>
          <w:color w:val="auto"/>
          <w:sz w:val="32"/>
          <w:szCs w:val="32"/>
          <w:highlight w:val="none"/>
          <w:lang w:val="en-US" w:eastAsia="zh-CN"/>
        </w:rPr>
        <w:t>用品的购置费用增多。</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hint="eastAsia" w:ascii="仿宋" w:hAnsi="仿宋" w:eastAsia="仿宋" w:cs="仿宋"/>
          <w:sz w:val="32"/>
          <w:szCs w:val="32"/>
          <w:highlight w:val="none"/>
          <w:lang w:val="en-US" w:eastAsia="zh-CN"/>
        </w:rPr>
        <w:t>21.18</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21.18</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21.18</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21.18</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28</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2070.78</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99</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退役军人帮扶援助资金1</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66</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_GB2312" w:hAnsi="仿宋_GB2312" w:eastAsia="仿宋_GB2312" w:cs="Times New Roman"/>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_GB2312" w:hAnsi="仿宋_GB2312" w:eastAsia="仿宋_GB2312" w:cs="Times New Roman"/>
          <w:sz w:val="32"/>
          <w:szCs w:val="32"/>
          <w:lang w:val="en-US" w:eastAsia="zh-CN"/>
        </w:rPr>
        <w:t>春节慰问活动经费</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33</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2070.78</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_GB2312" w:hAnsi="仿宋_GB2312" w:eastAsia="仿宋_GB2312" w:cs="Times New Roman"/>
          <w:sz w:val="32"/>
          <w:szCs w:val="32"/>
          <w:lang w:val="en-US" w:eastAsia="zh-CN"/>
        </w:rPr>
        <w:t>2022年单位项目资金预算2073.78万元，预算安排支出1888.08万元，预算执行率91%。</w:t>
      </w:r>
    </w:p>
    <w:p>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2070.78</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评价项目数量33条，</w:t>
      </w:r>
      <w:r>
        <w:rPr>
          <w:rFonts w:hint="eastAsia" w:ascii="仿宋" w:hAnsi="仿宋" w:eastAsia="仿宋" w:cs="仿宋"/>
          <w:color w:val="000000" w:themeColor="text1"/>
          <w:sz w:val="32"/>
          <w:szCs w:val="32"/>
          <w14:textFill>
            <w14:solidFill>
              <w14:schemeClr w14:val="tx1"/>
            </w14:solidFill>
          </w14:textFill>
        </w:rPr>
        <w:t>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28</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val="en-US" w:eastAsia="zh-CN"/>
          <w14:textFill>
            <w14:solidFill>
              <w14:schemeClr w14:val="tx1"/>
            </w14:solidFill>
          </w14:textFill>
        </w:rPr>
        <w:t>预算执行率91%，整体运行良好。</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auto"/>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仿宋_GB2312" w:hAnsi="仿宋_GB2312" w:eastAsia="仿宋_GB2312" w:cs="Times New Roman"/>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_GB2312" w:hAnsi="仿宋_GB2312" w:eastAsia="仿宋_GB2312" w:cs="Times New Roman"/>
          <w:sz w:val="32"/>
          <w:szCs w:val="32"/>
          <w:lang w:val="en-US" w:eastAsia="zh-CN"/>
        </w:rPr>
        <w:t>春节慰问活动经费项目，2022年预算155.03万元，全年执行数152.66万元，执行率98.47%，自评得分98.47，自评结论一等。</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优抚对象补助经费项目，2022年预算754.13万元，全年执行数754.13万元，执行率100%，自评得分100，自评结论一等。</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（三）县级义务兵优待金项目，2022年预算360.16万元，全年执行数272.81万元，执行率75.75%，自评得分97.04，自评结论一等。因2022年中央、自治区</w:t>
      </w:r>
      <w:r>
        <w:rPr>
          <w:rFonts w:hint="eastAsia" w:ascii="仿宋_GB2312" w:hAnsi="仿宋_GB2312" w:eastAsia="仿宋_GB2312" w:cs="Times New Roman"/>
          <w:sz w:val="32"/>
          <w:szCs w:val="32"/>
          <w:lang w:val="en-US" w:eastAsia="zh-CN"/>
        </w:rPr>
        <w:t>拨付，义务兵人员的不确定性，预算与实际执行存在偏差。</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（四）优抚等工作经费，2022年预算11万元，全年执行数8.85万元，执行率80.46%，自评得分95.52，自评结论一等。</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（五）军转干部管理服务机构经费，2022年预算0.35万元，全年执行数0.03万元，执行率7.71%，自评得分87.71，自评结论二等。主要原因为报销凭证未出，资金执行率不高。</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（六）离退休干部服务管理机构补助经费，2022年预算3.65万元，全年执行数0.86万元，执行率23.67%，自评得分89.26，自评结论二等。主要原因为报销凭证未出，资金执行率不高。</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七）部分退休企业军转干部生活困难补助、2022年预算30.46万元，全年执行数18.65万元，执行率61.23%，自评得分94.12，自评结论一等，因自治区后期拨付资金，不需使用县级资金，造成执行率不高，年底财政收回县级资金。</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（八）信访维稳，2022年预算0.5万元，全年执行数0.059万元，执行率11.8%，自评得分87.65，自评结论二等，主要原因为报销凭证未出，资金执行率不高，年底财政收回。</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（九）退役军人服务中心建设经费2022年预算3.91万元，全年执行数1.68万元，执行率42.86%，自评得分90.29，自评结论一等，主要原因为报销凭证未出，资金执行率不高，年底财政收回。</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（十）欧保尔烈士骨灰安葬仪式经费，2022年预算1.36万元，全年执行数0.73万元，执行率53.72%，自评得分92.37，自评结论一等，根据实际支出情况，该项目全部支出0.73万元，造成资金执行率不高，年底财政收回。</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十一）退役士兵自主就业金及培训费2022年预算46.5万元，全年执行数11.25万元，执行率24.2%，自评得分91.89，自评结论一等，根据退役士兵实际的数量全额发放自主就业金，因人数变动，造成资金执行率不高，年底财政收回。</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（十二）优抚对象医疗补助费项目，2022年预算10万元，全年执行数9.53万元，执行率95.26%，自评得分97.53，自评结论一等。</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十三）自治区义务兵优待金，2022年预算68.62万元，全年执行数38.85万元，执行率56.62%，自评得分93.13，自评结论一等，主要原因为根据义务兵的实际人员进行核算，因预算与实际人员的偏差，造成资金执行率不高。</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（十四）烈士纪念日活动，2022年预算4.52万元，全年执行数2.18万元，执行率48.23%，自评得分91.29，自评结论一等，主要原因为报销凭证未出，造成资金执行率不高，年底财政收回。</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（十五）广西退役军人视频会商系统建设，2022年预算12.5万元，全年执行数12.18万元，执行率97.44%，自评得分96.21自评结论一等。</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十六）离退休人员补助经费，2022年预算16.18万元，全年执行数10.43万元，执行率64.49%，自评得分92.45，自评结论一等，主要原因为本年支出部分支出韦上年结转数，造成本年项目资金执行率不高，财政结转至2023。</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（十七）离退休干部服务管理机构补助，2022年预算2.04万元，全年执行数0.064万元，执行率3.14%，自评得分86.31，自评结论二等，主要原因为报销凭证未出，资金执行率不高，财政结转至2023年。</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十八）军转干部医疗保险，2022年预算4.02万元，全年执行数3.18万元，执行率79.19%，自评得分97.79，自评结论一等，根据2022年军转干部的医疗费实际支出3.18万元，因人员数量变动，实际与预算存在偏差，造成资金执行率不高，财政年底收回。</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十九）在乡复员、退伍军人生活补助，2022年预算23.4万元，全年执行数14.92万元，执行率63.76%，自评得分93.85，自评结论一等，因优抚人员的临时价格补贴的不确定性，造成预算与实际存才偏差，造成资金执行率不高，年底财政收回。</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（二十）治安管理，2022年预算5.1万元，全年执行数5.1万元，执行率100%，自评得分99.47，自评结论一等。</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（二十一）退役军人退役迎接仪式座谈会，2022年预算1.5万元，全年执行数0.81万元，执行率54.27%，自评得分91.32，自评结论一等，主要原因为报销凭证未出，造成资金执行率不高。</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（二十二）自主就业退役士兵一次性经济补助、2022年预算100万元，全年执行数100万元，执行率100%，自评得分98，自评结论一等。</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（二十三）欧保尔烈士褒扬金和家属抚恤金，2022年预算273.02万元，全年执行数273.02万元，执行率100%，自评得分97，自评结论一等。</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二十四）中央义务兵优待金，2022年预算187万元，全年执行数116.47万元，执行率62.28%，自评得分93.7，自评结论一等。主要原因为根据义务兵的实际人员进行核算，因预算与实际人员的偏差，造成资金执行率不高。截止剩余资金至2023年。</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（二十五）离退休人员生活补助经费，2022年预算1.27万元，全年执行数1.27万元，执行率100%，自评得分100，自评结论一等。</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（二十六）党员活动经费，2022年预算0.1万元，全年执行数0.045万元，执行率44.8%，自评得分91.48，自评结论一等。主要原因为报销凭证未出，资金执行率不高。</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（二十七）望峰山烈士陵园管理，2022年预算4万元，全年执行数3.76万元，执行率94.03%，自评得分96.87，自评结论一等。</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（二十八）县级“八一”建军节慰问经费，2022年预算68.68万元，全年执行数54.5万元，执行率79.35%，自评得分95.41，自评结论一等。</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（二十九）春节慰问金，2022年预算9.46万元，全年执行数8.01万元，执行率84.67%，自评得分93.47，自评结论一等。</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（三十）奖励性补贴，2022年预算7万元，全年执行数7万元，执行率100%，自评得分100，自评结论一等。</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（三十一）创建双拥模范县工作经费，2022年预算1.98万元，全年执行数1.1万元，执行率55.41%，自评得分91.54，自评结论一等。主要原因为报销凭证未出，造成资金执行率不高。</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（三十二）退役军人帮扶援助资金，2022年预算3万元，全年执行数0.6万元，执行率20%，自评得分88，自评结论二等，因困难退役军人核查未结束，造成资金执行率不高，剩余资金于2023年1月份发放完成。</w:t>
      </w:r>
    </w:p>
    <w:p>
      <w:pPr>
        <w:keepNext w:val="0"/>
        <w:keepLines w:val="0"/>
        <w:pageBreakBefore w:val="0"/>
        <w:widowControl w:val="0"/>
        <w:numPr>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Times New Roman"/>
          <w:sz w:val="32"/>
          <w:szCs w:val="32"/>
          <w:lang w:eastAsia="zh-CN"/>
        </w:rPr>
      </w:pPr>
      <w:r>
        <w:rPr>
          <w:rFonts w:hint="eastAsia" w:ascii="仿宋_GB2312" w:hAnsi="仿宋_GB2312" w:eastAsia="仿宋_GB2312" w:cs="Times New Roman"/>
          <w:sz w:val="32"/>
          <w:szCs w:val="32"/>
          <w:lang w:val="en-US" w:eastAsia="zh-CN"/>
        </w:rPr>
        <w:t>（三十三）中央优抚对象医疗保障经费，2022年预算3.35万元，全年执行数3.35万元，执行率100%，自评得分99.47，自评结论一等</w:t>
      </w:r>
    </w:p>
    <w:p>
      <w:pPr>
        <w:spacing w:line="500" w:lineRule="exact"/>
        <w:ind w:firstLine="640" w:firstLineChars="200"/>
        <w:rPr>
          <w:rFonts w:hint="default" w:ascii="仿宋_GB2312" w:hAnsi="仿宋_GB2312" w:eastAsia="仿宋_GB2312" w:cs="仿宋_GB2312"/>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_GB2312" w:hAnsi="仿宋_GB2312" w:eastAsia="仿宋_GB2312" w:cs="仿宋_GB2312"/>
          <w:sz w:val="32"/>
          <w:szCs w:val="32"/>
          <w:lang w:val="en-US" w:eastAsia="zh-CN"/>
        </w:rPr>
        <w:t>一是退役军人发放</w:t>
      </w:r>
      <w:r>
        <w:rPr>
          <w:rFonts w:hint="eastAsia" w:ascii="仿宋_GB2312" w:hAnsi="仿宋_GB2312" w:eastAsia="仿宋_GB2312" w:cs="仿宋_GB2312"/>
          <w:sz w:val="32"/>
          <w:szCs w:val="32"/>
        </w:rPr>
        <w:t>对象</w:t>
      </w:r>
      <w:r>
        <w:rPr>
          <w:rFonts w:hint="eastAsia" w:ascii="仿宋_GB2312" w:hAnsi="仿宋_GB2312" w:eastAsia="仿宋_GB2312" w:cs="仿宋_GB2312"/>
          <w:color w:val="000000"/>
          <w:kern w:val="0"/>
          <w:sz w:val="32"/>
          <w:szCs w:val="32"/>
        </w:rPr>
        <w:t>人数增加、减少存在不确定性，导致</w:t>
      </w:r>
      <w:r>
        <w:rPr>
          <w:rFonts w:hint="eastAsia" w:ascii="仿宋_GB2312" w:hAnsi="仿宋_GB2312" w:eastAsia="仿宋_GB2312" w:cs="仿宋_GB2312"/>
          <w:sz w:val="32"/>
          <w:szCs w:val="32"/>
        </w:rPr>
        <w:t>优抚对象补助经费</w:t>
      </w:r>
      <w:r>
        <w:rPr>
          <w:rFonts w:hint="eastAsia" w:ascii="仿宋_GB2312" w:hAnsi="仿宋_GB2312" w:eastAsia="仿宋_GB2312" w:cs="仿宋_GB2312"/>
          <w:color w:val="000000"/>
          <w:kern w:val="0"/>
          <w:sz w:val="32"/>
          <w:szCs w:val="32"/>
        </w:rPr>
        <w:t>年初预算与实际支出数有一些差距。</w:t>
      </w:r>
      <w:r>
        <w:rPr>
          <w:rFonts w:hint="eastAsia" w:ascii="仿宋_GB2312" w:hAnsi="仿宋_GB2312" w:eastAsia="仿宋_GB2312" w:cs="仿宋_GB2312"/>
          <w:color w:val="000000"/>
          <w:kern w:val="0"/>
          <w:sz w:val="32"/>
          <w:szCs w:val="32"/>
          <w:lang w:val="en-US" w:eastAsia="zh-CN"/>
        </w:rPr>
        <w:t>二是、费用支出凭证核算不及时。造成项目执行率不高。</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_GB2312" w:hAnsi="仿宋_GB2312" w:eastAsia="仿宋_GB2312" w:cs="仿宋_GB2312"/>
          <w:color w:val="000000"/>
          <w:kern w:val="0"/>
          <w:sz w:val="32"/>
          <w:szCs w:val="32"/>
        </w:rPr>
        <w:t>以强化动态管理为抓手，不断加大工作力度，逐步规范工作程序。</w:t>
      </w:r>
      <w:r>
        <w:rPr>
          <w:rFonts w:hint="eastAsia" w:ascii="仿宋_GB2312" w:hAnsi="仿宋_GB2312" w:eastAsia="仿宋_GB2312" w:cs="仿宋_GB2312"/>
          <w:sz w:val="32"/>
          <w:szCs w:val="32"/>
        </w:rPr>
        <w:t>加强绩效目标的刚性约束，建立绩效目标考评体系，提升绩效管理水平。</w:t>
      </w:r>
      <w:r>
        <w:rPr>
          <w:rFonts w:hint="eastAsia" w:ascii="仿宋_GB2312" w:hAnsi="仿宋_GB2312" w:eastAsia="仿宋_GB2312" w:cs="仿宋_GB2312"/>
          <w:color w:val="000000"/>
          <w:kern w:val="0"/>
          <w:sz w:val="32"/>
          <w:szCs w:val="32"/>
        </w:rPr>
        <w:t>加强军人抚恤优待工作，专款专用，接受财政、审计部门的监督。贯彻落实好《军人抚恤优待条例》，扎实做好优抚、抚恤工作。高度重视军队退役人员矛盾纠纷排查化解工作，积极配合乡镇及时将不稳定因素化解在萌芽状态。</w:t>
      </w:r>
      <w:r>
        <w:rPr>
          <w:rFonts w:hint="eastAsia" w:ascii="仿宋_GB2312" w:hAnsi="仿宋_GB2312" w:eastAsia="仿宋_GB2312" w:cs="仿宋_GB2312"/>
          <w:color w:val="000000"/>
          <w:kern w:val="0"/>
          <w:sz w:val="32"/>
          <w:szCs w:val="32"/>
          <w:lang w:val="en-US" w:eastAsia="zh-CN"/>
        </w:rPr>
        <w:t>及时做好费用支出凭证的核算，及时申请财政资金支付。</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eastAsia="zh-CN"/>
        </w:rPr>
        <w:t>环江县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eastAsia="zh-CN"/>
        </w:rPr>
        <w:t>环江县</w:t>
      </w:r>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25073374"/>
    <w:multiLevelType w:val="singleLevel"/>
    <w:tmpl w:val="25073374"/>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36C2843"/>
    <w:rsid w:val="04E54546"/>
    <w:rsid w:val="05992762"/>
    <w:rsid w:val="07B0770E"/>
    <w:rsid w:val="0942143F"/>
    <w:rsid w:val="0D100297"/>
    <w:rsid w:val="0D202B45"/>
    <w:rsid w:val="0F8D4C87"/>
    <w:rsid w:val="10505FAA"/>
    <w:rsid w:val="105F7E7E"/>
    <w:rsid w:val="11E56B5B"/>
    <w:rsid w:val="125C77AB"/>
    <w:rsid w:val="14CB726E"/>
    <w:rsid w:val="170E4165"/>
    <w:rsid w:val="17E92249"/>
    <w:rsid w:val="18D304F1"/>
    <w:rsid w:val="19F32577"/>
    <w:rsid w:val="19F45B80"/>
    <w:rsid w:val="1A5207C5"/>
    <w:rsid w:val="1B0C078D"/>
    <w:rsid w:val="1B2B31E2"/>
    <w:rsid w:val="1B4C295A"/>
    <w:rsid w:val="1B973C63"/>
    <w:rsid w:val="1BA1001E"/>
    <w:rsid w:val="1D317259"/>
    <w:rsid w:val="1D6334B4"/>
    <w:rsid w:val="1E664F5B"/>
    <w:rsid w:val="1E6C406E"/>
    <w:rsid w:val="1EB34BE1"/>
    <w:rsid w:val="215E639F"/>
    <w:rsid w:val="21EC3183"/>
    <w:rsid w:val="225E72CD"/>
    <w:rsid w:val="246E2F77"/>
    <w:rsid w:val="254B4E2B"/>
    <w:rsid w:val="283D7C94"/>
    <w:rsid w:val="29480E03"/>
    <w:rsid w:val="2983634D"/>
    <w:rsid w:val="2BB02055"/>
    <w:rsid w:val="2C575A56"/>
    <w:rsid w:val="2F257714"/>
    <w:rsid w:val="2F3275E5"/>
    <w:rsid w:val="30AA08EF"/>
    <w:rsid w:val="30D23D1C"/>
    <w:rsid w:val="31221CF5"/>
    <w:rsid w:val="31400178"/>
    <w:rsid w:val="321E3342"/>
    <w:rsid w:val="327759C8"/>
    <w:rsid w:val="33185FE3"/>
    <w:rsid w:val="34EE2E36"/>
    <w:rsid w:val="35953D32"/>
    <w:rsid w:val="36777241"/>
    <w:rsid w:val="38A951DB"/>
    <w:rsid w:val="38B31605"/>
    <w:rsid w:val="39003F4F"/>
    <w:rsid w:val="3C052C99"/>
    <w:rsid w:val="3C07002B"/>
    <w:rsid w:val="3D0D152A"/>
    <w:rsid w:val="3DF62756"/>
    <w:rsid w:val="3F1B7587"/>
    <w:rsid w:val="41E57B4F"/>
    <w:rsid w:val="432F26F6"/>
    <w:rsid w:val="43880F63"/>
    <w:rsid w:val="441C5A6F"/>
    <w:rsid w:val="44C44FCC"/>
    <w:rsid w:val="44CC7369"/>
    <w:rsid w:val="45463BA0"/>
    <w:rsid w:val="457F5108"/>
    <w:rsid w:val="463736E7"/>
    <w:rsid w:val="46951B6B"/>
    <w:rsid w:val="49A34401"/>
    <w:rsid w:val="4A3E30AB"/>
    <w:rsid w:val="4AC14DAC"/>
    <w:rsid w:val="4D154C85"/>
    <w:rsid w:val="4EC8553A"/>
    <w:rsid w:val="508F4E24"/>
    <w:rsid w:val="51461E90"/>
    <w:rsid w:val="51463753"/>
    <w:rsid w:val="52553A93"/>
    <w:rsid w:val="53521F8B"/>
    <w:rsid w:val="53E22F47"/>
    <w:rsid w:val="540503D4"/>
    <w:rsid w:val="54522FF8"/>
    <w:rsid w:val="54B04103"/>
    <w:rsid w:val="55450629"/>
    <w:rsid w:val="56692963"/>
    <w:rsid w:val="568B0F48"/>
    <w:rsid w:val="5786217B"/>
    <w:rsid w:val="59337A15"/>
    <w:rsid w:val="59810274"/>
    <w:rsid w:val="5CA96A00"/>
    <w:rsid w:val="5CF730BC"/>
    <w:rsid w:val="5E5F0DCE"/>
    <w:rsid w:val="5FA40A7B"/>
    <w:rsid w:val="5FD56D29"/>
    <w:rsid w:val="5FEC7F3F"/>
    <w:rsid w:val="60F74BC3"/>
    <w:rsid w:val="617D3BF8"/>
    <w:rsid w:val="61841F6A"/>
    <w:rsid w:val="623007A9"/>
    <w:rsid w:val="637D7558"/>
    <w:rsid w:val="644F19AC"/>
    <w:rsid w:val="658E1FA0"/>
    <w:rsid w:val="65AA4920"/>
    <w:rsid w:val="67694F1E"/>
    <w:rsid w:val="692F3C0A"/>
    <w:rsid w:val="69597934"/>
    <w:rsid w:val="6B964DDC"/>
    <w:rsid w:val="6C523440"/>
    <w:rsid w:val="6C783074"/>
    <w:rsid w:val="6CED1F8C"/>
    <w:rsid w:val="6D9E65C6"/>
    <w:rsid w:val="6DA81947"/>
    <w:rsid w:val="6DFC345E"/>
    <w:rsid w:val="6EB66DE2"/>
    <w:rsid w:val="6ED3075F"/>
    <w:rsid w:val="6F2A2D4B"/>
    <w:rsid w:val="6F8A0C1E"/>
    <w:rsid w:val="6FE1114D"/>
    <w:rsid w:val="703F45D4"/>
    <w:rsid w:val="715D6546"/>
    <w:rsid w:val="71BE069E"/>
    <w:rsid w:val="73953409"/>
    <w:rsid w:val="73E069A3"/>
    <w:rsid w:val="78104AA8"/>
    <w:rsid w:val="78E257C5"/>
    <w:rsid w:val="794B35BE"/>
    <w:rsid w:val="7B0A3A31"/>
    <w:rsid w:val="7B3360ED"/>
    <w:rsid w:val="7B5319F3"/>
    <w:rsid w:val="7BDF037E"/>
    <w:rsid w:val="7BF50948"/>
    <w:rsid w:val="7CE66A78"/>
    <w:rsid w:val="7D23564C"/>
    <w:rsid w:val="7D5E062D"/>
    <w:rsid w:val="7DF76CD8"/>
    <w:rsid w:val="7EDE05A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3"/>
    <w:basedOn w:val="1"/>
    <w:next w:val="1"/>
    <w:qFormat/>
    <w:uiPriority w:val="0"/>
    <w:pPr>
      <w:keepNext/>
      <w:keepLines/>
      <w:autoSpaceDE/>
      <w:autoSpaceDN/>
      <w:adjustRightInd/>
      <w:snapToGrid/>
      <w:spacing w:line="360" w:lineRule="auto"/>
      <w:ind w:firstLine="600" w:firstLineChars="200"/>
      <w:outlineLvl w:val="2"/>
    </w:pPr>
    <w:rPr>
      <w:rFonts w:ascii="Times New Roman" w:hAnsi="仿宋" w:eastAsia="黑体" w:cs="Times New Roman"/>
      <w:bCs/>
      <w:spacing w:val="0"/>
      <w:kern w:val="0"/>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9</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2023-11-24T08:22:08Z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