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eastAsia="zh-CN"/>
        </w:rPr>
      </w:pPr>
      <w:bookmarkStart w:id="3" w:name="_GoBack"/>
      <w:r>
        <w:rPr>
          <w:rFonts w:hint="eastAsia" w:ascii="黑体" w:hAnsi="黑体" w:eastAsia="黑体" w:cs="黑体"/>
          <w:b/>
          <w:bCs/>
          <w:sz w:val="52"/>
          <w:szCs w:val="52"/>
          <w:highlight w:val="none"/>
          <w:lang w:val="en-US" w:eastAsia="zh-CN"/>
        </w:rPr>
        <w:t>环江毛南族自治县</w:t>
      </w:r>
      <w:r>
        <w:rPr>
          <w:rFonts w:hint="eastAsia" w:ascii="黑体" w:hAnsi="黑体" w:eastAsia="黑体" w:cs="黑体"/>
          <w:b/>
          <w:bCs/>
          <w:sz w:val="52"/>
          <w:szCs w:val="52"/>
          <w:highlight w:val="none"/>
          <w:lang w:eastAsia="zh-CN"/>
        </w:rPr>
        <w:t>民政局</w:t>
      </w:r>
    </w:p>
    <w:bookmarkEnd w:id="3"/>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民政局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民</w:t>
      </w:r>
      <w:r>
        <w:rPr>
          <w:rFonts w:hint="eastAsia" w:ascii="黑体" w:hAnsi="黑体" w:eastAsia="黑体" w:cs="黑体"/>
          <w:sz w:val="32"/>
          <w:szCs w:val="32"/>
          <w:highlight w:val="none"/>
          <w:lang w:eastAsia="zh-CN"/>
        </w:rPr>
        <w:t>政局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民政局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民政局</w:t>
      </w:r>
      <w:r>
        <w:rPr>
          <w:rFonts w:hint="eastAsia" w:ascii="黑体" w:hAnsi="黑体" w:eastAsia="黑体" w:cs="黑体"/>
          <w:b/>
          <w:bCs/>
          <w:sz w:val="32"/>
          <w:szCs w:val="32"/>
          <w:highlight w:val="none"/>
        </w:rPr>
        <w:t>概况</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（一）贯彻执行国家关于民政工作的法律法规，拟订全县民政事业发展规划和相关政策，起草民政工作有关规范性文件并组织实施、监督检查。</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（二）承担依法对全县性社会团体、社会服务机构进行登记管理和监督检查的责任，负责县管慈善组织认定工作。</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（三）拟订全县社会救助规划、政策，健全和完善城乡社会救助体系，负责城乡居民最低生活保障、特困人员救助供养、临时救助、城乡低收入家庭救助工作，指导全县居民家庭经济状况核对工作。</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（四）拟订全县城乡基层群众自治建设和社区治理政策并指导实施，指导基层政权、社区服务体系建设、城乡社区治理体系和治理能力建设，提出加强和改进基层政权和民主政治的建议，推动基层民主政治建设。</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五）拟定全县行政区划、行政区域界线管理和地名管理办法；负责村级行政区域的设立、撤销、命名、变更、界线变更及政府驻地迁移的审核申报工作；负责地名管理，负责重要的自然地理实体地名命名、更名的审核申报工作；组织和实施行政区域界线的勘定和管理工作；调处边界争议；负责地名和地名标志的设置和管理工作。</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（六）拟订全县社会福利事业发展规划、政策和标准并组织实施</w:t>
      </w:r>
      <w:r>
        <w:rPr>
          <w:rFonts w:ascii="仿宋_GB2312" w:hAnsi="黑体" w:eastAsia="仿宋_GB2312" w:cs="黑体"/>
          <w:sz w:val="32"/>
          <w:szCs w:val="32"/>
        </w:rPr>
        <w:t>;</w:t>
      </w:r>
      <w:r>
        <w:rPr>
          <w:rFonts w:hint="eastAsia" w:ascii="仿宋_GB2312" w:hAnsi="黑体" w:eastAsia="仿宋_GB2312" w:cs="黑体"/>
          <w:sz w:val="32"/>
          <w:szCs w:val="32"/>
        </w:rPr>
        <w:t>组织指导福利机构建设和管理</w:t>
      </w:r>
      <w:r>
        <w:rPr>
          <w:rFonts w:ascii="仿宋_GB2312" w:hAnsi="黑体" w:eastAsia="仿宋_GB2312" w:cs="黑体"/>
          <w:sz w:val="32"/>
          <w:szCs w:val="32"/>
        </w:rPr>
        <w:t>;</w:t>
      </w:r>
      <w:r>
        <w:rPr>
          <w:rFonts w:hint="eastAsia" w:ascii="仿宋_GB2312" w:hAnsi="黑体" w:eastAsia="仿宋_GB2312" w:cs="黑体"/>
          <w:sz w:val="32"/>
          <w:szCs w:val="32"/>
        </w:rPr>
        <w:t>推进慈善事业发展</w:t>
      </w:r>
      <w:r>
        <w:rPr>
          <w:rFonts w:ascii="仿宋_GB2312" w:hAnsi="黑体" w:eastAsia="仿宋_GB2312" w:cs="黑体"/>
          <w:sz w:val="32"/>
          <w:szCs w:val="32"/>
        </w:rPr>
        <w:t>,</w:t>
      </w:r>
      <w:r>
        <w:rPr>
          <w:rFonts w:hint="eastAsia" w:ascii="仿宋_GB2312" w:hAnsi="黑体" w:eastAsia="仿宋_GB2312" w:cs="黑体"/>
          <w:sz w:val="32"/>
          <w:szCs w:val="32"/>
        </w:rPr>
        <w:t>组织指导社会捐助工作</w:t>
      </w:r>
      <w:r>
        <w:rPr>
          <w:rFonts w:ascii="仿宋_GB2312" w:hAnsi="黑体" w:eastAsia="仿宋_GB2312" w:cs="黑体"/>
          <w:sz w:val="32"/>
          <w:szCs w:val="32"/>
        </w:rPr>
        <w:t>;</w:t>
      </w:r>
      <w:r>
        <w:rPr>
          <w:rFonts w:hint="eastAsia" w:ascii="仿宋_GB2312" w:hAnsi="黑体" w:eastAsia="仿宋_GB2312" w:cs="黑体"/>
          <w:sz w:val="32"/>
          <w:szCs w:val="32"/>
        </w:rPr>
        <w:t>负责老年人、特困人员、孤儿、农村留守儿童、困境儿童和残疾人等特殊群体生活及权益保障工作</w:t>
      </w:r>
      <w:r>
        <w:rPr>
          <w:rFonts w:ascii="仿宋_GB2312" w:hAnsi="黑体" w:eastAsia="仿宋_GB2312" w:cs="黑体"/>
          <w:sz w:val="32"/>
          <w:szCs w:val="32"/>
        </w:rPr>
        <w:t>;</w:t>
      </w:r>
      <w:r>
        <w:rPr>
          <w:rFonts w:hint="eastAsia" w:ascii="仿宋_GB2312" w:hAnsi="黑体" w:eastAsia="仿宋_GB2312" w:cs="黑体"/>
          <w:sz w:val="32"/>
          <w:szCs w:val="32"/>
        </w:rPr>
        <w:t>指导全县收养工作。</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（七）负责推进婚俗和殡葬改革，拟订全县殡葬事业发展规划、政策和标准并监督实施，指导全县公墓建设和管理、生态安葬及殡仪馆建设和管理</w:t>
      </w:r>
      <w:r>
        <w:rPr>
          <w:rFonts w:ascii="仿宋_GB2312" w:hAnsi="黑体" w:eastAsia="仿宋_GB2312" w:cs="黑体"/>
          <w:sz w:val="32"/>
          <w:szCs w:val="32"/>
        </w:rPr>
        <w:t>;</w:t>
      </w:r>
      <w:r>
        <w:rPr>
          <w:rFonts w:hint="eastAsia" w:ascii="仿宋_GB2312" w:hAnsi="黑体" w:eastAsia="仿宋_GB2312" w:cs="黑体"/>
          <w:sz w:val="32"/>
          <w:szCs w:val="32"/>
        </w:rPr>
        <w:t>负责生活无着流浪乞讨人员的救助管理工作</w:t>
      </w:r>
      <w:r>
        <w:rPr>
          <w:rFonts w:ascii="仿宋_GB2312" w:hAnsi="黑体" w:eastAsia="仿宋_GB2312" w:cs="黑体"/>
          <w:sz w:val="32"/>
          <w:szCs w:val="32"/>
        </w:rPr>
        <w:t>;</w:t>
      </w:r>
      <w:r>
        <w:rPr>
          <w:rFonts w:hint="eastAsia" w:ascii="仿宋_GB2312" w:hAnsi="黑体" w:eastAsia="仿宋_GB2312" w:cs="黑体"/>
          <w:sz w:val="32"/>
          <w:szCs w:val="32"/>
        </w:rPr>
        <w:t>指导婚姻、殡葬、流浪乞讨人员救助服务机构管理工作</w:t>
      </w:r>
      <w:r>
        <w:rPr>
          <w:rFonts w:ascii="仿宋_GB2312" w:hAnsi="黑体" w:eastAsia="仿宋_GB2312" w:cs="黑体"/>
          <w:sz w:val="32"/>
          <w:szCs w:val="32"/>
        </w:rPr>
        <w:t>;</w:t>
      </w:r>
      <w:r>
        <w:rPr>
          <w:rFonts w:hint="eastAsia" w:ascii="仿宋_GB2312" w:hAnsi="黑体" w:eastAsia="仿宋_GB2312" w:cs="黑体"/>
          <w:sz w:val="32"/>
          <w:szCs w:val="32"/>
        </w:rPr>
        <w:t>协调推动和配合相关部门做好残疾人就业中的权益维护工作，统筹做好各项残疾人的福利工作。</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（八）会同有关方面拟订全县社会工作发展规划、政策和职业规范，推进全县社会工作、社会工作人才队伍建设和相关志愿者队伍建设工作。</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（九）按规定要求，承担对口事业服务机构业务工作的指导、协调和监督职责。</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（十）完成自治县党委、自治县人民政府交办的其他任务。</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十一）职能转变。优抚、安置、双拥职责划入自治县退役军人事务局；医疗救助职责划入自治县医疗保障局；救灾职责划入自治县应急管理局。自治县民政局应加强基层政权和社区建设，推动搭建基层社会治理和社区公共服务平台，加强社会组织登记管理和监督检查，促进全县慈善组织和慈善事业发展，强化特困人员救助供养、农村留守儿童关爱保护、困境儿童保障等工作，充分发挥民政部门在保障民生中的重要作用。</w:t>
      </w:r>
    </w:p>
    <w:p>
      <w:pPr>
        <w:ind w:firstLine="627" w:firstLineChars="196"/>
        <w:jc w:val="left"/>
        <w:rPr>
          <w:rFonts w:hint="eastAsia" w:ascii="仿宋" w:hAnsi="仿宋" w:eastAsia="仿宋" w:cs="仿宋"/>
          <w:color w:val="FF0000"/>
          <w:sz w:val="32"/>
          <w:szCs w:val="32"/>
          <w:lang w:val="en-US" w:eastAsia="zh-CN"/>
        </w:rPr>
      </w:pPr>
      <w:r>
        <w:rPr>
          <w:rFonts w:hint="eastAsia" w:ascii="仿宋_GB2312" w:hAnsi="黑体" w:eastAsia="仿宋_GB2312" w:cs="黑体"/>
          <w:sz w:val="32"/>
          <w:szCs w:val="32"/>
        </w:rPr>
        <w:t>（十二）与自治县卫生健康局的有关职责分工。自治县民政局负责统筹推进、督促指导、监督管理养老服务工作，拟订养老服务体系建设规划、法规、政策、标准并组织实施，承担老年人福利和特殊困难老年人救助工作。自治县卫生健康局负责拟订应对人口老龄化、医养结合政策措施，综合协调、督促指导、组织推进老龄事业发展，承担老年疾病防治、老年人医疗照护、老年人心理健康与关怀服务等老年健康工作。</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lang w:eastAsia="zh-CN"/>
        </w:rPr>
        <w:t>民政局</w:t>
      </w:r>
      <w:r>
        <w:rPr>
          <w:rFonts w:hint="eastAsia" w:ascii="仿宋_GB2312" w:hAnsi="黑体" w:eastAsia="仿宋_GB2312" w:cs="黑体"/>
          <w:sz w:val="32"/>
          <w:szCs w:val="32"/>
        </w:rPr>
        <w:t>列入部门决算</w:t>
      </w:r>
      <w:r>
        <w:rPr>
          <w:rFonts w:hint="eastAsia" w:ascii="仿宋_GB2312" w:hAnsi="黑体" w:eastAsia="仿宋_GB2312" w:cs="黑体"/>
          <w:sz w:val="32"/>
          <w:szCs w:val="32"/>
          <w:lang w:eastAsia="zh-CN"/>
        </w:rPr>
        <w:t>有</w:t>
      </w:r>
      <w:r>
        <w:rPr>
          <w:rFonts w:hint="eastAsia" w:ascii="仿宋_GB2312" w:hAnsi="黑体" w:eastAsia="仿宋_GB2312" w:cs="黑体"/>
          <w:sz w:val="32"/>
          <w:szCs w:val="32"/>
        </w:rPr>
        <w:t>4个内设机构。</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（一）办公室（人事股）。负责机关文电、会务、机要、档案、信访、政务公开、督查督办、政务协调、安全保密工作；承担民政宣传信息管理工作</w:t>
      </w:r>
      <w:r>
        <w:rPr>
          <w:rFonts w:ascii="仿宋_GB2312" w:hAnsi="黑体" w:eastAsia="仿宋_GB2312" w:cs="黑体"/>
          <w:sz w:val="32"/>
          <w:szCs w:val="32"/>
        </w:rPr>
        <w:t>;</w:t>
      </w:r>
      <w:r>
        <w:rPr>
          <w:rFonts w:hint="eastAsia" w:ascii="仿宋_GB2312" w:hAnsi="黑体" w:eastAsia="仿宋_GB2312" w:cs="黑体"/>
          <w:sz w:val="32"/>
          <w:szCs w:val="32"/>
        </w:rPr>
        <w:t>拟订民政法制建设规划和政策，负责机关有关规范性文件的合法性审核工作，负责开展民政法制宣传教育和法制监督工作，负责行政权力运行、行政复议、行政应诉、行政处罚和行政赔偿等工作。负责机关机构编制和人事管理工作，负责机关离退休干部工作。</w:t>
      </w:r>
    </w:p>
    <w:p>
      <w:pPr>
        <w:spacing w:line="580" w:lineRule="exact"/>
        <w:ind w:firstLine="537" w:firstLineChars="168"/>
        <w:rPr>
          <w:rFonts w:hint="eastAsia" w:ascii="仿宋_GB2312" w:hAnsi="黑体" w:eastAsia="仿宋_GB2312" w:cs="黑体"/>
          <w:sz w:val="32"/>
          <w:szCs w:val="32"/>
        </w:rPr>
      </w:pPr>
      <w:r>
        <w:rPr>
          <w:rFonts w:hint="eastAsia" w:ascii="仿宋_GB2312" w:hAnsi="黑体" w:eastAsia="仿宋_GB2312" w:cs="黑体"/>
          <w:sz w:val="32"/>
          <w:szCs w:val="32"/>
        </w:rPr>
        <w:t>（二）社会事务和社会福利股（行政审批办公室）。按照管理权限对社会团体、民办非企业单位进行登记管理和执法监察</w:t>
      </w:r>
      <w:r>
        <w:rPr>
          <w:rFonts w:ascii="仿宋_GB2312" w:hAnsi="黑体" w:eastAsia="仿宋_GB2312" w:cs="黑体"/>
          <w:sz w:val="32"/>
          <w:szCs w:val="32"/>
        </w:rPr>
        <w:t>,</w:t>
      </w:r>
      <w:r>
        <w:rPr>
          <w:rFonts w:hint="eastAsia" w:ascii="仿宋_GB2312" w:hAnsi="黑体" w:eastAsia="仿宋_GB2312" w:cs="黑体"/>
          <w:sz w:val="32"/>
          <w:szCs w:val="32"/>
        </w:rPr>
        <w:t>承担和监督全县社会团体、民办非企业单位的登记管理工作，牵头负责本局行政审批事项</w:t>
      </w:r>
      <w:r>
        <w:rPr>
          <w:rFonts w:ascii="仿宋_GB2312" w:hAnsi="黑体" w:eastAsia="仿宋_GB2312" w:cs="黑体"/>
          <w:sz w:val="32"/>
          <w:szCs w:val="32"/>
        </w:rPr>
        <w:t>;</w:t>
      </w:r>
      <w:r>
        <w:rPr>
          <w:rFonts w:hint="eastAsia" w:ascii="仿宋_GB2312" w:hAnsi="黑体" w:eastAsia="仿宋_GB2312" w:cs="黑体"/>
          <w:sz w:val="32"/>
          <w:szCs w:val="32"/>
        </w:rPr>
        <w:t>拟订全县社会工作发展规划、政策和职业规范，推进社会工作人才队伍建设及相关志愿者队伍建设工作</w:t>
      </w:r>
      <w:r>
        <w:rPr>
          <w:rFonts w:ascii="仿宋_GB2312" w:hAnsi="黑体" w:eastAsia="仿宋_GB2312" w:cs="黑体"/>
          <w:sz w:val="32"/>
          <w:szCs w:val="32"/>
        </w:rPr>
        <w:t>;</w:t>
      </w:r>
      <w:r>
        <w:rPr>
          <w:rFonts w:hint="eastAsia" w:ascii="仿宋_GB2312" w:hAnsi="黑体" w:eastAsia="仿宋_GB2312" w:cs="黑体"/>
          <w:sz w:val="32"/>
          <w:szCs w:val="32"/>
        </w:rPr>
        <w:t>拟订全县殡葬事业发展规划、政策和标准并组织监督实施</w:t>
      </w:r>
      <w:r>
        <w:rPr>
          <w:rFonts w:ascii="仿宋_GB2312" w:hAnsi="黑体" w:eastAsia="仿宋_GB2312" w:cs="黑体"/>
          <w:sz w:val="32"/>
          <w:szCs w:val="32"/>
        </w:rPr>
        <w:t>;</w:t>
      </w:r>
      <w:r>
        <w:rPr>
          <w:rFonts w:hint="eastAsia" w:ascii="仿宋_GB2312" w:hAnsi="黑体" w:eastAsia="仿宋_GB2312" w:cs="黑体"/>
          <w:sz w:val="32"/>
          <w:szCs w:val="32"/>
        </w:rPr>
        <w:t>指导全县婚姻登记、殡葬和生活无着的流浪乞讨人员救助管理工作，负责推进婚俗和殡葬改革、全县婚姻登记信息管理工作、婚姻登记员业务培训和生活无着的流浪乞讨人员救助管理工作</w:t>
      </w:r>
      <w:r>
        <w:rPr>
          <w:rFonts w:ascii="仿宋_GB2312" w:hAnsi="黑体" w:eastAsia="仿宋_GB2312" w:cs="黑体"/>
          <w:sz w:val="32"/>
          <w:szCs w:val="32"/>
        </w:rPr>
        <w:t>;</w:t>
      </w:r>
      <w:r>
        <w:rPr>
          <w:rFonts w:hint="eastAsia" w:ascii="仿宋_GB2312" w:hAnsi="黑体" w:eastAsia="仿宋_GB2312" w:cs="黑体"/>
          <w:sz w:val="32"/>
          <w:szCs w:val="32"/>
        </w:rPr>
        <w:t>负责指导公墓的建设和管理、生态安葬及殡仪馆建设和管理，依法指导和监督殡葬行业安全生产工作</w:t>
      </w:r>
      <w:r>
        <w:rPr>
          <w:rFonts w:ascii="仿宋_GB2312" w:hAnsi="黑体" w:eastAsia="仿宋_GB2312" w:cs="黑体"/>
          <w:sz w:val="32"/>
          <w:szCs w:val="32"/>
        </w:rPr>
        <w:t>;</w:t>
      </w:r>
      <w:r>
        <w:rPr>
          <w:rFonts w:hint="eastAsia" w:ascii="仿宋_GB2312" w:hAnsi="黑体" w:eastAsia="仿宋_GB2312" w:cs="黑体"/>
          <w:sz w:val="32"/>
          <w:szCs w:val="32"/>
        </w:rPr>
        <w:t>指导全县婚姻、殡葬和流浪乞讨人员救助服务机构建设和管理工作</w:t>
      </w:r>
      <w:r>
        <w:rPr>
          <w:rFonts w:ascii="仿宋_GB2312" w:hAnsi="黑体" w:eastAsia="仿宋_GB2312" w:cs="黑体"/>
          <w:sz w:val="32"/>
          <w:szCs w:val="32"/>
        </w:rPr>
        <w:t>;</w:t>
      </w:r>
      <w:r>
        <w:rPr>
          <w:rFonts w:hint="eastAsia" w:ascii="仿宋_GB2312" w:hAnsi="黑体" w:eastAsia="仿宋_GB2312" w:cs="黑体"/>
          <w:sz w:val="32"/>
          <w:szCs w:val="32"/>
        </w:rPr>
        <w:t>配合做好各项残疾人福利工作，指导落实困难残疾人生活补贴和重度残疾人护理补贴制度</w:t>
      </w:r>
      <w:r>
        <w:rPr>
          <w:rFonts w:ascii="仿宋_GB2312" w:hAnsi="黑体" w:eastAsia="仿宋_GB2312" w:cs="黑体"/>
          <w:sz w:val="32"/>
          <w:szCs w:val="32"/>
        </w:rPr>
        <w:t>;</w:t>
      </w:r>
      <w:r>
        <w:rPr>
          <w:rFonts w:hint="eastAsia" w:ascii="仿宋_GB2312" w:hAnsi="黑体" w:eastAsia="仿宋_GB2312" w:cs="黑体"/>
          <w:sz w:val="32"/>
          <w:szCs w:val="32"/>
        </w:rPr>
        <w:t>拟订全县养老服务事业发展规划、政策和有关标准</w:t>
      </w:r>
      <w:r>
        <w:rPr>
          <w:rFonts w:ascii="仿宋_GB2312" w:hAnsi="黑体" w:eastAsia="仿宋_GB2312" w:cs="黑体"/>
          <w:sz w:val="32"/>
          <w:szCs w:val="32"/>
        </w:rPr>
        <w:t>;</w:t>
      </w:r>
      <w:r>
        <w:rPr>
          <w:rFonts w:hint="eastAsia" w:ascii="仿宋_GB2312" w:hAnsi="黑体" w:eastAsia="仿宋_GB2312" w:cs="黑体"/>
          <w:sz w:val="32"/>
          <w:szCs w:val="32"/>
        </w:rPr>
        <w:t>拟订老年人权益保护政策并指导落实，指导全县养老福利机构、农村特困人员供养机构建设和管理，依法指导和监督养老机构安全生产工作</w:t>
      </w:r>
      <w:r>
        <w:rPr>
          <w:rFonts w:ascii="仿宋_GB2312" w:hAnsi="黑体" w:eastAsia="仿宋_GB2312" w:cs="黑体"/>
          <w:sz w:val="32"/>
          <w:szCs w:val="32"/>
        </w:rPr>
        <w:t>;</w:t>
      </w:r>
      <w:r>
        <w:rPr>
          <w:rFonts w:hint="eastAsia" w:ascii="仿宋_GB2312" w:hAnsi="黑体" w:eastAsia="仿宋_GB2312" w:cs="黑体"/>
          <w:sz w:val="32"/>
          <w:szCs w:val="32"/>
        </w:rPr>
        <w:t>拟订促进慈善事业发展的政策，组织和指导社会捐赠工作；拟订全县儿童福利事业、儿童权益保护发展规划、政策和标准并监督实施；指导全县慈善事业、儿童收养工作，指导全县儿童福利机构和收养、农村留守儿童、困境儿童关爱保护服务机构建设和管理工作。</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三）基层政权和区划地名股。拟订全县城乡基层群众自治建设和社区治理政策，指导城乡社区治理体系和治理能力建设，指导农村村民委员会和城市居民委员会换届选举工作；指导社区服务体系建设；提出加强和改进城乡基层政权建设和基层民主政治建设的意见和建议，推动基层民主政治建设；依法指导村（居）民自治，指导村（居）务公开。拟订全县行政区划管理和行政区域界线、地名管理办法；负责村级行政区域的设立、撤销、命名、变更、界线变更及政府驻地迁移的审核申报工作；负责地名管理，承办重要的自然地理实体地名命名、更名的审核申报工作；组织和实施行政区域界线的勘定和管理工作；调处边界争议；负责地名和地名标志的设置和管理工作。</w:t>
      </w:r>
    </w:p>
    <w:p>
      <w:pPr>
        <w:spacing w:line="580" w:lineRule="exact"/>
        <w:ind w:firstLine="537" w:firstLineChars="168"/>
        <w:rPr>
          <w:rFonts w:hint="eastAsia" w:ascii="仿宋_GB2312" w:hAnsi="黑体" w:eastAsia="仿宋_GB2312" w:cs="黑体"/>
          <w:sz w:val="32"/>
          <w:szCs w:val="32"/>
        </w:rPr>
      </w:pPr>
      <w:r>
        <w:rPr>
          <w:rFonts w:hint="eastAsia" w:ascii="仿宋_GB2312" w:hAnsi="黑体" w:eastAsia="仿宋_GB2312" w:cs="黑体"/>
          <w:sz w:val="32"/>
          <w:szCs w:val="32"/>
        </w:rPr>
        <w:t>（四）规划财务股。负责本局和全县民政事业发展规划、财务统计管理和财务检查工作；负责全县民政事业费预决算、预决算公开、资金分配和使用监管；管理县本级福利彩票公益金；依据中央、自治区、市级民政部门的资金管理办法，合理的监管和使用上级民政专项资金，负责局机关日常财务工作；负责机关和直属事业单位劳动工资的调整申报工作；负责全县民政统计工作。</w:t>
      </w:r>
    </w:p>
    <w:p>
      <w:pPr>
        <w:spacing w:line="56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人员编制总数为</w:t>
      </w:r>
      <w:r>
        <w:rPr>
          <w:rFonts w:ascii="仿宋_GB2312" w:hAnsi="黑体" w:eastAsia="仿宋_GB2312" w:cs="黑体"/>
          <w:sz w:val="32"/>
          <w:szCs w:val="32"/>
        </w:rPr>
        <w:t>30</w:t>
      </w:r>
      <w:r>
        <w:rPr>
          <w:rFonts w:hint="eastAsia" w:ascii="仿宋_GB2312" w:hAnsi="黑体" w:eastAsia="仿宋_GB2312" w:cs="黑体"/>
          <w:sz w:val="32"/>
          <w:szCs w:val="32"/>
        </w:rPr>
        <w:t>人，其中行政编制</w:t>
      </w:r>
      <w:r>
        <w:rPr>
          <w:rFonts w:ascii="仿宋_GB2312" w:hAnsi="黑体" w:eastAsia="仿宋_GB2312" w:cs="黑体"/>
          <w:sz w:val="32"/>
          <w:szCs w:val="32"/>
        </w:rPr>
        <w:t>8</w:t>
      </w:r>
      <w:r>
        <w:rPr>
          <w:rFonts w:hint="eastAsia" w:ascii="仿宋_GB2312" w:hAnsi="黑体" w:eastAsia="仿宋_GB2312" w:cs="黑体"/>
          <w:sz w:val="32"/>
          <w:szCs w:val="32"/>
        </w:rPr>
        <w:t>人，事业编制</w:t>
      </w:r>
      <w:r>
        <w:rPr>
          <w:rFonts w:ascii="仿宋_GB2312" w:hAnsi="黑体" w:eastAsia="仿宋_GB2312" w:cs="黑体"/>
          <w:sz w:val="32"/>
          <w:szCs w:val="32"/>
        </w:rPr>
        <w:t>22</w:t>
      </w:r>
      <w:r>
        <w:rPr>
          <w:rFonts w:hint="eastAsia" w:ascii="仿宋_GB2312" w:hAnsi="黑体" w:eastAsia="仿宋_GB2312" w:cs="黑体"/>
          <w:sz w:val="32"/>
          <w:szCs w:val="32"/>
        </w:rPr>
        <w:t>人，实有财政供养人数29人，其中行政在职8人，事业在职</w:t>
      </w:r>
      <w:r>
        <w:rPr>
          <w:rFonts w:ascii="仿宋_GB2312" w:hAnsi="黑体" w:eastAsia="仿宋_GB2312" w:cs="黑体"/>
          <w:sz w:val="32"/>
          <w:szCs w:val="32"/>
        </w:rPr>
        <w:t>21</w:t>
      </w:r>
      <w:r>
        <w:rPr>
          <w:rFonts w:hint="eastAsia" w:ascii="仿宋_GB2312" w:hAnsi="黑体" w:eastAsia="仿宋_GB2312" w:cs="黑体"/>
          <w:sz w:val="32"/>
          <w:szCs w:val="32"/>
        </w:rPr>
        <w:t>人。</w:t>
      </w:r>
    </w:p>
    <w:p>
      <w:pPr>
        <w:ind w:firstLine="640" w:firstLineChars="200"/>
        <w:jc w:val="left"/>
        <w:rPr>
          <w:rFonts w:hint="eastAsia" w:ascii="仿宋" w:hAnsi="仿宋" w:eastAsia="仿宋" w:cs="仿宋"/>
          <w:color w:val="FF0000"/>
          <w:sz w:val="32"/>
          <w:szCs w:val="32"/>
        </w:rPr>
      </w:pPr>
    </w:p>
    <w:p>
      <w:pPr>
        <w:jc w:val="center"/>
        <w:rPr>
          <w:rFonts w:hint="eastAsia" w:ascii="黑体" w:hAnsi="黑体" w:eastAsia="黑体" w:cs="黑体"/>
          <w:sz w:val="32"/>
          <w:szCs w:val="32"/>
          <w:highlight w:val="none"/>
          <w:lang w:val="en-US" w:eastAsia="zh-CN"/>
        </w:rPr>
        <w:sectPr>
          <w:footerReference r:id="rId5" w:type="default"/>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民政局</w:t>
      </w:r>
      <w:r>
        <w:rPr>
          <w:rFonts w:hint="eastAsia" w:ascii="黑体" w:hAnsi="黑体" w:eastAsia="黑体" w:cs="黑体"/>
          <w:sz w:val="32"/>
          <w:szCs w:val="32"/>
          <w:highlight w:val="none"/>
        </w:rPr>
        <w:t>2022年度部门决算报表</w:t>
      </w: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eastAsia="zh-CN"/>
        </w:rPr>
        <w:t>一</w:t>
      </w:r>
      <w:r>
        <w:rPr>
          <w:rFonts w:hint="eastAsia" w:ascii="仿宋" w:hAnsi="仿宋" w:eastAsia="仿宋" w:cs="仿宋"/>
          <w:sz w:val="24"/>
          <w:highlight w:val="none"/>
        </w:rPr>
        <w:t>：收入支出决算总表</w:t>
      </w:r>
    </w:p>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32"/>
          <w:szCs w:val="32"/>
          <w:highlight w:val="none"/>
          <w:lang w:val="en-US" w:eastAsia="zh-CN" w:bidi="ar"/>
        </w:rPr>
      </w:pPr>
      <w:r>
        <w:rPr>
          <w:rFonts w:hint="eastAsia" w:ascii="仿宋" w:hAnsi="仿宋" w:eastAsia="仿宋" w:cs="仿宋"/>
          <w:sz w:val="24"/>
          <w:highlight w:val="none"/>
          <w:lang w:val="en-US" w:eastAsia="zh-CN"/>
        </w:rPr>
        <w:t xml:space="preserve">                                           </w:t>
      </w:r>
      <w:r>
        <w:rPr>
          <w:rFonts w:hint="eastAsia" w:ascii="宋体" w:hAnsi="宋体" w:eastAsia="宋体" w:cs="宋体"/>
          <w:color w:val="000000"/>
          <w:kern w:val="0"/>
          <w:sz w:val="32"/>
          <w:szCs w:val="32"/>
          <w:highlight w:val="none"/>
          <w:lang w:val="en-US" w:eastAsia="zh-CN" w:bidi="ar"/>
        </w:rPr>
        <w:t>收入支出决算总表</w:t>
      </w:r>
    </w:p>
    <w:p>
      <w:pPr>
        <w:jc w:val="both"/>
        <w:rPr>
          <w:rFonts w:hint="eastAsia" w:ascii="黑体" w:hAnsi="黑体" w:eastAsia="黑体" w:cs="黑体"/>
          <w:sz w:val="32"/>
          <w:szCs w:val="32"/>
          <w:highlight w:val="none"/>
        </w:rPr>
      </w:pPr>
    </w:p>
    <w:tbl>
      <w:tblPr>
        <w:tblStyle w:val="6"/>
        <w:tblW w:w="131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95"/>
        <w:gridCol w:w="570"/>
        <w:gridCol w:w="2149"/>
        <w:gridCol w:w="3675"/>
        <w:gridCol w:w="795"/>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79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57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49"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7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45" w:type="dxa"/>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795" w:type="dxa"/>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部门：广西河池市环江毛南族自治县民政局</w:t>
            </w:r>
          </w:p>
        </w:tc>
        <w:tc>
          <w:tcPr>
            <w:tcW w:w="57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49"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7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45" w:type="dxa"/>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514"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615" w:type="dxa"/>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14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1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4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13,276.23</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3,591.71</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16,867.93</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95"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14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16,867.93</w:t>
            </w:r>
          </w:p>
        </w:tc>
        <w:tc>
          <w:tcPr>
            <w:tcW w:w="367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1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3129" w:type="dxa"/>
            <w:gridSpan w:val="6"/>
            <w:tcBorders>
              <w:top w:val="nil"/>
              <w:left w:val="nil"/>
              <w:bottom w:val="nil"/>
              <w:right w:val="nil"/>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29" w:type="dxa"/>
            <w:gridSpan w:val="6"/>
            <w:tcBorders>
              <w:top w:val="nil"/>
              <w:left w:val="nil"/>
              <w:bottom w:val="nil"/>
              <w:right w:val="nil"/>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ascii="宋体" w:hAnsi="宋体" w:eastAsia="宋体" w:cs="宋体"/>
          <w:color w:val="000000"/>
          <w:kern w:val="0"/>
          <w:sz w:val="30"/>
          <w:szCs w:val="30"/>
          <w:highlight w:val="none"/>
          <w:lang w:bidi="ar"/>
        </w:rPr>
      </w:pPr>
    </w:p>
    <w:tbl>
      <w:tblPr>
        <w:tblStyle w:val="6"/>
        <w:tblW w:w="13980" w:type="dxa"/>
        <w:tblInd w:w="96" w:type="dxa"/>
        <w:tblLayout w:type="fixed"/>
        <w:tblCellMar>
          <w:top w:w="0" w:type="dxa"/>
          <w:left w:w="108" w:type="dxa"/>
          <w:bottom w:w="0" w:type="dxa"/>
          <w:right w:w="108" w:type="dxa"/>
        </w:tblCellMar>
      </w:tblPr>
      <w:tblGrid>
        <w:gridCol w:w="2962"/>
        <w:gridCol w:w="236"/>
        <w:gridCol w:w="236"/>
        <w:gridCol w:w="524"/>
        <w:gridCol w:w="1520"/>
        <w:gridCol w:w="1453"/>
        <w:gridCol w:w="1373"/>
        <w:gridCol w:w="1467"/>
        <w:gridCol w:w="1480"/>
        <w:gridCol w:w="2709"/>
        <w:gridCol w:w="20"/>
      </w:tblGrid>
      <w:tr>
        <w:trPr>
          <w:gridAfter w:val="1"/>
          <w:wAfter w:w="20" w:type="dxa"/>
          <w:trHeight w:val="951" w:hRule="atLeast"/>
        </w:trPr>
        <w:tc>
          <w:tcPr>
            <w:tcW w:w="13960" w:type="dxa"/>
            <w:gridSpan w:val="10"/>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rPr>
          <w:gridAfter w:val="1"/>
          <w:wAfter w:w="20" w:type="dxa"/>
          <w:trHeight w:val="317" w:hRule="atLeast"/>
        </w:trPr>
        <w:tc>
          <w:tcPr>
            <w:tcW w:w="296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gridAfter w:val="1"/>
          <w:wAfter w:w="20" w:type="dxa"/>
          <w:trHeight w:val="317" w:hRule="atLeast"/>
        </w:trPr>
        <w:tc>
          <w:tcPr>
            <w:tcW w:w="6931"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民政局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tbl>
            <w:tblPr>
              <w:tblStyle w:val="6"/>
              <w:tblW w:w="13365"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3930"/>
              <w:gridCol w:w="1440"/>
              <w:gridCol w:w="1800"/>
              <w:gridCol w:w="1050"/>
              <w:gridCol w:w="1035"/>
              <w:gridCol w:w="1020"/>
              <w:gridCol w:w="108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2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4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5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3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2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08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02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930"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4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30"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30"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20"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4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2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2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20"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16,867.93</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16,867.93</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13,129.81</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13,129.81</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500.56</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500.56</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297.62</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297.62</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2080207</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行政区划和地名管理</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26.16</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26.16</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2080208</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基层政权建设和社区治理</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67.98</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67.98</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1,304.66</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1,304.66</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229.63</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229.63</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883.70</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883.70</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151.41</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151.41</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2081099</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其他社会福利支出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39.92</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39.92</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920.80</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920.80</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920.80</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920.80</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最低生活保障</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8,786.36</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8,786.36</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8,786.36</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8,786.36</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142.61</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142.61</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135.45</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135.45</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2082002</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特困人员救助供养</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1,421.89</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1,421.89</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1,421.89</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1,421.89</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2082502</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其他农村生活救助</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3,584.50</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3,584.50</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年初预留</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2290201</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年初预留</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108.45</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108.45</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9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108.45</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108.45</w:t>
                  </w: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eastAsia="zh-CN"/>
        </w:rPr>
        <w:t>三</w:t>
      </w:r>
      <w:r>
        <w:rPr>
          <w:rFonts w:hint="eastAsia" w:ascii="仿宋" w:hAnsi="仿宋" w:eastAsia="仿宋" w:cs="仿宋"/>
          <w:sz w:val="24"/>
          <w:highlight w:val="none"/>
        </w:rPr>
        <w:t>：支出决算表</w:t>
      </w: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41"/>
        <w:gridCol w:w="222"/>
        <w:gridCol w:w="240"/>
        <w:gridCol w:w="2916"/>
        <w:gridCol w:w="1800"/>
        <w:gridCol w:w="1395"/>
        <w:gridCol w:w="1316"/>
        <w:gridCol w:w="829"/>
        <w:gridCol w:w="495"/>
        <w:gridCol w:w="1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41"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16"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9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16"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29"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27" w:type="dxa"/>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41" w:type="dxa"/>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部门：广西河池市环江毛南族自治县民政局</w:t>
            </w:r>
          </w:p>
        </w:tc>
        <w:tc>
          <w:tcPr>
            <w:tcW w:w="222"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16"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9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16"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29"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27" w:type="dxa"/>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919"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9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16"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829"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49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27"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916"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9"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16"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9"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16"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9"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919"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9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1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2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9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919"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16,867.93</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462.24</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16,405.69</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13,129.81</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350.25</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12,779.57</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500.56</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297.32</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203.25</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297.62</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297.32</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2080207</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行政区划和地名管理</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26.16</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26.16</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2080208</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基层政权建设和社区治理</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67.98</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67.98</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1,304.66</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1,304.66</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229.63</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229.63</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883.70</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883.70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151.41</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151.41</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2081099</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其他社会福利支出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39.92</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39.92</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920.80</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920.80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920.80</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920.80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最低生活保障</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8,786.36</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8,786.36</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8,786.36</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8,786.36</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142.61</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142.61</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135.45</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135.45</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2082002</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特困人员救助供养</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1,421.89</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1,421.89</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1,421.89</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1,421.89</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2082502</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其他农村生活救助</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3,584.50</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74.54</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3,509.96</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年初预留</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2290201</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年初预留</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108.45</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74.03</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34.42</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0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108.45</w:t>
            </w:r>
          </w:p>
        </w:tc>
        <w:tc>
          <w:tcPr>
            <w:tcW w:w="13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74.03</w:t>
            </w:r>
          </w:p>
        </w:tc>
        <w:tc>
          <w:tcPr>
            <w:tcW w:w="13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34.42</w:t>
            </w:r>
          </w:p>
        </w:tc>
        <w:tc>
          <w:tcPr>
            <w:tcW w:w="8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 xml:space="preserve">                          </w:t>
      </w:r>
    </w:p>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tbl>
      <w:tblPr>
        <w:tblStyle w:val="6"/>
        <w:tblW w:w="135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16"/>
        <w:gridCol w:w="480"/>
        <w:gridCol w:w="1230"/>
        <w:gridCol w:w="2062"/>
        <w:gridCol w:w="631"/>
        <w:gridCol w:w="1305"/>
        <w:gridCol w:w="1155"/>
        <w:gridCol w:w="12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79" w:type="dxa"/>
            <w:gridSpan w:val="9"/>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016"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48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3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62" w:type="dxa"/>
            <w:tcBorders>
              <w:top w:val="nil"/>
              <w:left w:val="nil"/>
              <w:bottom w:val="nil"/>
              <w:right w:val="nil"/>
            </w:tcBorders>
            <w:shd w:val="clear" w:color="auto" w:fill="FFFFFF"/>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31"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0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00" w:type="dxa"/>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016" w:type="dxa"/>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部门：广西河池市环江毛南族自治县民政局</w:t>
            </w:r>
          </w:p>
        </w:tc>
        <w:tc>
          <w:tcPr>
            <w:tcW w:w="48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3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62" w:type="dxa"/>
            <w:tcBorders>
              <w:top w:val="nil"/>
              <w:left w:val="nil"/>
              <w:bottom w:val="nil"/>
              <w:right w:val="nil"/>
            </w:tcBorders>
            <w:shd w:val="clear" w:color="auto" w:fill="FFFFFF"/>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31"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0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00" w:type="dxa"/>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26"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7853" w:type="dxa"/>
            <w:gridSpan w:val="6"/>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4016"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3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06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31"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05"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0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50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4016" w:type="dxa"/>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62"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31"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5"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13,276.23</w:t>
            </w: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3,591.71</w:t>
            </w: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13,129.81</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13,129.81</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3,584.50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108.96</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3,475.54</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16,867.93</w:t>
            </w: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16,867.93</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13,276.23</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3,591.71</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01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1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16,867.93</w:t>
            </w:r>
          </w:p>
        </w:tc>
        <w:tc>
          <w:tcPr>
            <w:tcW w:w="20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3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16,867.93</w:t>
            </w:r>
          </w:p>
        </w:tc>
        <w:tc>
          <w:tcPr>
            <w:tcW w:w="11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13,276.23</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3,591.71</w:t>
            </w:r>
          </w:p>
        </w:tc>
        <w:tc>
          <w:tcPr>
            <w:tcW w:w="15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579" w:type="dxa"/>
            <w:gridSpan w:val="9"/>
            <w:tcBorders>
              <w:top w:val="nil"/>
              <w:left w:val="nil"/>
              <w:bottom w:val="nil"/>
              <w:right w:val="nil"/>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jc w:val="left"/>
        <w:rPr>
          <w:rFonts w:hint="eastAsia" w:ascii="仿宋" w:hAnsi="仿宋" w:eastAsia="仿宋" w:cs="仿宋"/>
          <w:sz w:val="24"/>
          <w:highlight w:val="none"/>
        </w:rPr>
      </w:pPr>
    </w:p>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5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16"/>
        <w:gridCol w:w="222"/>
        <w:gridCol w:w="240"/>
        <w:gridCol w:w="4196"/>
        <w:gridCol w:w="1470"/>
        <w:gridCol w:w="141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579" w:type="dxa"/>
            <w:gridSpan w:val="7"/>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4016"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196"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7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1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25" w:type="dxa"/>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016" w:type="dxa"/>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部门：广西河池市环江毛南族自治县民政局</w:t>
            </w:r>
          </w:p>
        </w:tc>
        <w:tc>
          <w:tcPr>
            <w:tcW w:w="222"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196"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7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10" w:type="dxa"/>
            <w:tcBorders>
              <w:top w:val="nil"/>
              <w:left w:val="nil"/>
              <w:bottom w:val="nil"/>
              <w:right w:val="nil"/>
            </w:tcBorders>
            <w:shd w:val="clear" w:color="auto" w:fill="FFFFFF"/>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25" w:type="dxa"/>
            <w:tcBorders>
              <w:top w:val="nil"/>
              <w:left w:val="nil"/>
              <w:bottom w:val="nil"/>
              <w:right w:val="nil"/>
            </w:tcBorders>
            <w:shd w:val="clear" w:color="auto" w:fill="FFFFFF"/>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674"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05"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196"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7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2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4478"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196"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2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478"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196" w:type="dxa"/>
            <w:vMerge w:val="continue"/>
            <w:tcBorders>
              <w:top w:val="nil"/>
              <w:left w:val="nil"/>
              <w:bottom w:val="single" w:color="000000" w:sz="4" w:space="0"/>
              <w:right w:val="single" w:color="000000" w:sz="4" w:space="0"/>
            </w:tcBorders>
            <w:shd w:val="clear" w:color="FFFFFF" w:fill="FFFFFF"/>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25" w:type="dxa"/>
            <w:vMerge w:val="continue"/>
            <w:tcBorders>
              <w:top w:val="nil"/>
              <w:left w:val="nil"/>
              <w:bottom w:val="single" w:color="000000" w:sz="4" w:space="0"/>
              <w:right w:val="single" w:color="000000" w:sz="4" w:space="0"/>
            </w:tcBorders>
            <w:shd w:val="clear" w:color="FFFFFF"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674"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2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674"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13,276.23</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462.24</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12,813.99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13,129.81</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350.25</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12,779.57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500.56</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297.32</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297.62</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297.32</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2080207</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行政区划和地名管理</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26.16</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2080208</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基层政权建设和社区治理</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67.98</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1,304.66</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229.63</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883.70</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151.41</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2081099</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其他社会福利支出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39.92</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920.80</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920.80</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最低生活保障</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8,786.36</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8,786.36</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142.61</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135.45</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2082002</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特困人员救助供养</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1,421.89</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1,421.89</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2082502</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其他农村生活救助</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108.96</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74.54</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年初预留</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2290201</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年初预留</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108.45</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74.03</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7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1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108.45</w:t>
            </w:r>
          </w:p>
        </w:tc>
        <w:tc>
          <w:tcPr>
            <w:tcW w:w="14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74.03</w:t>
            </w:r>
          </w:p>
        </w:tc>
        <w:tc>
          <w:tcPr>
            <w:tcW w:w="20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79" w:type="dxa"/>
            <w:gridSpan w:val="7"/>
            <w:tcBorders>
              <w:top w:val="nil"/>
              <w:left w:val="nil"/>
              <w:bottom w:val="nil"/>
              <w:right w:val="nil"/>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13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20"/>
        <w:gridCol w:w="2564"/>
        <w:gridCol w:w="686"/>
        <w:gridCol w:w="608"/>
        <w:gridCol w:w="1782"/>
        <w:gridCol w:w="608"/>
        <w:gridCol w:w="608"/>
        <w:gridCol w:w="3192"/>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1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部门：广西河池市环江毛南族自治县民政局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89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49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4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9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49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444.55</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3"/>
        <w:gridCol w:w="222"/>
        <w:gridCol w:w="239"/>
        <w:gridCol w:w="3575"/>
        <w:gridCol w:w="1155"/>
        <w:gridCol w:w="1125"/>
        <w:gridCol w:w="1234"/>
        <w:gridCol w:w="731"/>
        <w:gridCol w:w="1170"/>
        <w:gridCol w:w="1117"/>
      </w:tblGrid>
      <w:tr>
        <w:tblPrEx>
          <w:shd w:val="clear" w:color="auto" w:fill="auto"/>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1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1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部门：广西河池市环江毛南族自治县民政局</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3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4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5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1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13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11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74"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57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5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3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1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7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7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4"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7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7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4"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4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4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3,591.71</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3,591.71</w:t>
            </w: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3,591.71</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3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116.17</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3,475.54</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3,475.54</w:t>
            </w: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3,475.54</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3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3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3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35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175.54</w:t>
            </w: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5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3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tbl>
      <w:tblPr>
        <w:tblStyle w:val="6"/>
        <w:tblW w:w="136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16"/>
        <w:gridCol w:w="222"/>
        <w:gridCol w:w="222"/>
        <w:gridCol w:w="1769"/>
        <w:gridCol w:w="1680"/>
        <w:gridCol w:w="1365"/>
        <w:gridCol w:w="4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3699"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0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0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部门：广西河池市环江毛南族自治县民政局</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2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47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769"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4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9"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9"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2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29"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4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bl>
    <w:p>
      <w:pPr>
        <w:jc w:val="left"/>
        <w:rPr>
          <w:rFonts w:hint="eastAsia" w:ascii="仿宋" w:hAnsi="仿宋" w:eastAsia="仿宋" w:cs="仿宋"/>
          <w:sz w:val="24"/>
          <w:highlight w:val="none"/>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878"/>
        <w:gridCol w:w="560"/>
        <w:gridCol w:w="998"/>
        <w:gridCol w:w="427"/>
        <w:gridCol w:w="1034"/>
        <w:gridCol w:w="60"/>
        <w:gridCol w:w="1159"/>
        <w:gridCol w:w="86"/>
        <w:gridCol w:w="1047"/>
        <w:gridCol w:w="26"/>
        <w:gridCol w:w="1014"/>
        <w:gridCol w:w="1032"/>
        <w:gridCol w:w="34"/>
        <w:gridCol w:w="1058"/>
        <w:gridCol w:w="103"/>
        <w:gridCol w:w="1053"/>
        <w:gridCol w:w="35"/>
        <w:gridCol w:w="1112"/>
        <w:gridCol w:w="1"/>
        <w:gridCol w:w="894"/>
        <w:gridCol w:w="239"/>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2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2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民政局</w:t>
            </w:r>
          </w:p>
        </w:tc>
        <w:tc>
          <w:tcPr>
            <w:tcW w:w="1066"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预算数</w:t>
            </w:r>
          </w:p>
        </w:tc>
        <w:tc>
          <w:tcPr>
            <w:tcW w:w="6634" w:type="dxa"/>
            <w:gridSpan w:val="11"/>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gridAfter w:val="1"/>
          <w:wAfter w:w="17" w:type="dxa"/>
          <w:trHeight w:val="326" w:hRule="atLeast"/>
        </w:trPr>
        <w:tc>
          <w:tcPr>
            <w:tcW w:w="97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合计</w:t>
            </w:r>
          </w:p>
        </w:tc>
        <w:tc>
          <w:tcPr>
            <w:tcW w:w="1558"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839"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01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公务接待费</w:t>
            </w:r>
          </w:p>
        </w:tc>
        <w:tc>
          <w:tcPr>
            <w:tcW w:w="103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合计</w:t>
            </w:r>
          </w:p>
        </w:tc>
        <w:tc>
          <w:tcPr>
            <w:tcW w:w="1092"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98"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312"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gridAfter w:val="1"/>
          <w:wAfter w:w="17" w:type="dxa"/>
          <w:trHeight w:val="642" w:hRule="atLeast"/>
        </w:trPr>
        <w:tc>
          <w:tcPr>
            <w:tcW w:w="9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58" w:type="dxa"/>
            <w:gridSpan w:val="2"/>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1"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小计</w:t>
            </w:r>
          </w:p>
        </w:tc>
        <w:tc>
          <w:tcPr>
            <w:tcW w:w="130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7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014"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3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2" w:type="dxa"/>
            <w:gridSpan w:val="2"/>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9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小计</w:t>
            </w:r>
          </w:p>
        </w:tc>
        <w:tc>
          <w:tcPr>
            <w:tcW w:w="11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8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312" w:type="dxa"/>
            <w:gridSpan w:val="2"/>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97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155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c>
          <w:tcPr>
            <w:tcW w:w="1461"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w:t>
            </w:r>
          </w:p>
        </w:tc>
        <w:tc>
          <w:tcPr>
            <w:tcW w:w="130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w:t>
            </w:r>
          </w:p>
        </w:tc>
        <w:tc>
          <w:tcPr>
            <w:tcW w:w="107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w:t>
            </w:r>
          </w:p>
        </w:tc>
        <w:tc>
          <w:tcPr>
            <w:tcW w:w="10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w:t>
            </w:r>
          </w:p>
        </w:tc>
        <w:tc>
          <w:tcPr>
            <w:tcW w:w="10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w:t>
            </w:r>
          </w:p>
        </w:tc>
        <w:tc>
          <w:tcPr>
            <w:tcW w:w="109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w:t>
            </w:r>
          </w:p>
        </w:tc>
        <w:tc>
          <w:tcPr>
            <w:tcW w:w="119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w:t>
            </w:r>
          </w:p>
        </w:tc>
        <w:tc>
          <w:tcPr>
            <w:tcW w:w="11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w:t>
            </w:r>
          </w:p>
        </w:tc>
        <w:tc>
          <w:tcPr>
            <w:tcW w:w="89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w:t>
            </w:r>
          </w:p>
        </w:tc>
        <w:tc>
          <w:tcPr>
            <w:tcW w:w="131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gridAfter w:val="1"/>
          <w:wAfter w:w="17" w:type="dxa"/>
          <w:trHeight w:val="642" w:hRule="atLeast"/>
        </w:trPr>
        <w:tc>
          <w:tcPr>
            <w:tcW w:w="97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6.18</w:t>
            </w:r>
          </w:p>
        </w:tc>
        <w:tc>
          <w:tcPr>
            <w:tcW w:w="155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46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2.30</w:t>
            </w:r>
          </w:p>
        </w:tc>
        <w:tc>
          <w:tcPr>
            <w:tcW w:w="130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7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2.30</w:t>
            </w:r>
          </w:p>
        </w:tc>
        <w:tc>
          <w:tcPr>
            <w:tcW w:w="10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3.88</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6.18</w:t>
            </w:r>
          </w:p>
        </w:tc>
        <w:tc>
          <w:tcPr>
            <w:tcW w:w="109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9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2.30</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9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2.30</w:t>
            </w:r>
          </w:p>
        </w:tc>
        <w:tc>
          <w:tcPr>
            <w:tcW w:w="131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3.88</w:t>
            </w:r>
          </w:p>
        </w:tc>
      </w:tr>
      <w:tr>
        <w:tblPrEx>
          <w:tblCellMar>
            <w:top w:w="0" w:type="dxa"/>
            <w:left w:w="108" w:type="dxa"/>
            <w:bottom w:w="0" w:type="dxa"/>
            <w:right w:w="108" w:type="dxa"/>
          </w:tblCellMar>
        </w:tblPrEx>
        <w:trPr>
          <w:gridAfter w:val="1"/>
          <w:wAfter w:w="17" w:type="dxa"/>
          <w:trHeight w:val="642" w:hRule="atLeast"/>
        </w:trPr>
        <w:tc>
          <w:tcPr>
            <w:tcW w:w="14019" w:type="dxa"/>
            <w:gridSpan w:val="2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民政局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16867.93</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3053.9</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22.11</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rPr>
        <w:t>16867.93</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eastAsia="zh-CN"/>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rPr>
        <w:t>13276.23</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2893.69</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27.87</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困难群众</w:t>
      </w:r>
      <w:r>
        <w:rPr>
          <w:rFonts w:hint="eastAsia" w:ascii="仿宋_GB2312" w:hAnsi="仿宋_GB2312" w:eastAsia="仿宋_GB2312" w:cs="仿宋_GB2312"/>
          <w:kern w:val="0"/>
          <w:sz w:val="32"/>
          <w:szCs w:val="32"/>
        </w:rPr>
        <w:t>人员人数</w:t>
      </w:r>
      <w:r>
        <w:rPr>
          <w:rFonts w:hint="eastAsia" w:ascii="仿宋_GB2312" w:hAnsi="仿宋_GB2312" w:eastAsia="仿宋_GB2312" w:cs="仿宋_GB2312"/>
          <w:kern w:val="0"/>
          <w:sz w:val="32"/>
          <w:szCs w:val="32"/>
          <w:lang w:eastAsia="zh-CN"/>
        </w:rPr>
        <w:t>增加和补助水平提高。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hint="eastAsia" w:ascii="仿宋" w:hAnsi="仿宋" w:eastAsia="仿宋" w:cs="仿宋"/>
          <w:sz w:val="32"/>
          <w:u w:color="auto"/>
        </w:rPr>
        <w:t>3591.71</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222.3</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6.6</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auto"/>
          <w:kern w:val="2"/>
          <w:sz w:val="32"/>
          <w:szCs w:val="32"/>
          <w:highlight w:val="none"/>
          <w:lang w:val="en-US" w:eastAsia="zh-CN" w:bidi="ar"/>
        </w:rPr>
        <w:t>主要原因：养老和殡葬服务项目增加，资金增加。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w:t>
      </w:r>
      <w:r>
        <w:rPr>
          <w:rFonts w:ascii="仿宋" w:hAnsi="仿宋" w:eastAsia="仿宋" w:cs="仿宋"/>
          <w:color w:val="auto"/>
          <w:sz w:val="32"/>
          <w:u w:color="auto"/>
        </w:rPr>
        <w:t>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w:t>
      </w:r>
      <w:r>
        <w:rPr>
          <w:rFonts w:ascii="仿宋" w:hAnsi="仿宋" w:eastAsia="仿宋" w:cs="仿宋"/>
          <w:color w:val="auto"/>
          <w:sz w:val="32"/>
          <w:u w:color="auto"/>
        </w:rPr>
        <w:t>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eastAsia="zh-CN"/>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eastAsia="zh-CN"/>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drawing>
          <wp:inline distT="0" distB="0" distL="114300" distR="114300">
            <wp:extent cx="4747260" cy="3187065"/>
            <wp:effectExtent l="0" t="0" r="15240" b="13335"/>
            <wp:docPr id="2" name="图片 2" descr="微信图片_2023111509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1115095400"/>
                    <pic:cNvPicPr>
                      <a:picLocks noChangeAspect="1"/>
                    </pic:cNvPicPr>
                  </pic:nvPicPr>
                  <pic:blipFill>
                    <a:blip r:embed="rId7"/>
                    <a:stretch>
                      <a:fillRect/>
                    </a:stretch>
                  </pic:blipFill>
                  <pic:spPr>
                    <a:xfrm>
                      <a:off x="0" y="0"/>
                      <a:ext cx="4747260" cy="3187065"/>
                    </a:xfrm>
                    <a:prstGeom prst="rect">
                      <a:avLst/>
                    </a:prstGeom>
                  </pic:spPr>
                </pic:pic>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16867.93</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16867.93</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3053.9</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22.11</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5.43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lang w:val="en-US" w:eastAsia="zh-CN"/>
        </w:rPr>
        <w:t>主要用于工会经费支出。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1.58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41.04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2022年度工会经费有所增加。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13129.81</w:t>
      </w:r>
      <w:r>
        <w:rPr>
          <w:rFonts w:hint="eastAsia" w:ascii="仿宋" w:hAnsi="仿宋" w:eastAsia="仿宋" w:cs="仿宋"/>
          <w:sz w:val="32"/>
          <w:szCs w:val="32"/>
          <w:highlight w:val="none"/>
        </w:rPr>
        <w:t>万元：</w:t>
      </w:r>
      <w:r>
        <w:rPr>
          <w:rFonts w:hint="eastAsia" w:ascii="仿宋_GB2312" w:hAnsi="仿宋_GB2312" w:eastAsia="仿宋_GB2312" w:cs="仿宋_GB2312"/>
          <w:kern w:val="0"/>
          <w:sz w:val="32"/>
          <w:szCs w:val="32"/>
        </w:rPr>
        <w:t>主要用于民政局按国家规定发放的在职人员、离退休人员工资津补贴及人员管理方面的支出，还有孤儿生活补助、高龄老人生活补助、重度残疾人生活补助、城乡最低生活补助、临时救助、流浪乞讨人员救助、五保生活补助、职业民警生活补助等各种困难群众的生活补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2902.1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28.37</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困难群众</w:t>
      </w:r>
      <w:r>
        <w:rPr>
          <w:rFonts w:hint="eastAsia" w:ascii="仿宋_GB2312" w:hAnsi="仿宋_GB2312" w:eastAsia="仿宋_GB2312" w:cs="仿宋_GB2312"/>
          <w:kern w:val="0"/>
          <w:sz w:val="32"/>
          <w:szCs w:val="32"/>
        </w:rPr>
        <w:t>人员人数</w:t>
      </w:r>
      <w:r>
        <w:rPr>
          <w:rFonts w:hint="eastAsia" w:ascii="仿宋_GB2312" w:hAnsi="仿宋_GB2312" w:eastAsia="仿宋_GB2312" w:cs="仿宋_GB2312"/>
          <w:kern w:val="0"/>
          <w:sz w:val="32"/>
          <w:szCs w:val="32"/>
          <w:lang w:eastAsia="zh-CN"/>
        </w:rPr>
        <w:t>增加和补助水平提高。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城乡社区支出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w:t>
      </w:r>
      <w:r>
        <w:rPr>
          <w:rFonts w:hint="eastAsia" w:ascii="仿宋" w:hAnsi="仿宋" w:eastAsia="仿宋" w:cs="仿宋"/>
          <w:sz w:val="32"/>
          <w:szCs w:val="32"/>
          <w:highlight w:val="none"/>
          <w:lang w:val="en-US" w:eastAsia="zh-CN" w:bidi="ar"/>
        </w:rPr>
        <w:t>2</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116.17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殡葬服务站专项债券的利息和手续费支出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eastAsia="zh-CN" w:bidi="ar"/>
        </w:rPr>
        <w:t>增加</w:t>
      </w:r>
      <w:r>
        <w:rPr>
          <w:rFonts w:hint="eastAsia" w:ascii="仿宋" w:hAnsi="仿宋" w:eastAsia="仿宋" w:cs="仿宋"/>
          <w:color w:val="auto"/>
          <w:sz w:val="32"/>
          <w:szCs w:val="32"/>
          <w:highlight w:val="none"/>
          <w:lang w:val="en-US" w:eastAsia="zh-CN" w:bidi="ar"/>
        </w:rPr>
        <w:t>116.17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bidi="ar"/>
        </w:rPr>
        <w:t>增加</w:t>
      </w:r>
      <w:r>
        <w:rPr>
          <w:rFonts w:hint="eastAsia" w:ascii="仿宋" w:hAnsi="仿宋" w:eastAsia="仿宋" w:cs="仿宋"/>
          <w:color w:val="auto"/>
          <w:sz w:val="32"/>
          <w:szCs w:val="32"/>
          <w:highlight w:val="none"/>
          <w:lang w:val="en-US" w:eastAsia="zh-CN" w:bidi="ar"/>
        </w:rPr>
        <w:t>100</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主要原因是：2021年</w:t>
      </w:r>
      <w:r>
        <w:rPr>
          <w:rFonts w:hint="eastAsia" w:ascii="仿宋" w:hAnsi="仿宋" w:eastAsia="仿宋" w:cs="仿宋"/>
          <w:color w:val="auto"/>
          <w:sz w:val="32"/>
          <w:szCs w:val="32"/>
          <w:highlight w:val="none"/>
          <w:lang w:val="en-US" w:eastAsia="zh-CN"/>
        </w:rPr>
        <w:t>殡葬服务站专项债券的利息和手续费支出不在本科目反映</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kern w:val="0"/>
          <w:sz w:val="32"/>
          <w:szCs w:val="32"/>
        </w:rPr>
      </w:pPr>
      <w:r>
        <w:rPr>
          <w:rFonts w:hint="eastAsia" w:ascii="仿宋" w:hAnsi="仿宋" w:eastAsia="仿宋" w:cs="仿宋"/>
          <w:sz w:val="32"/>
          <w:szCs w:val="32"/>
          <w:highlight w:val="none"/>
          <w:lang w:val="en-US" w:eastAsia="zh-CN"/>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32.02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rPr>
        <w:t>主要用于民政局干部职工的住房公积金支出。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0.41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1.3</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年职工的住房公积金</w:t>
      </w:r>
      <w:r>
        <w:rPr>
          <w:rFonts w:hint="eastAsia" w:ascii="仿宋_GB2312" w:hAnsi="仿宋_GB2312" w:eastAsia="仿宋_GB2312" w:cs="仿宋_GB2312"/>
          <w:kern w:val="0"/>
          <w:sz w:val="32"/>
          <w:szCs w:val="32"/>
          <w:lang w:eastAsia="zh-CN"/>
        </w:rPr>
        <w:t>基数提高</w:t>
      </w:r>
      <w:r>
        <w:rPr>
          <w:rFonts w:hint="eastAsia" w:ascii="仿宋_GB2312" w:hAnsi="仿宋_GB2312" w:eastAsia="仿宋_GB2312" w:cs="仿宋_GB2312"/>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val="en-US"/>
        </w:rPr>
      </w:pPr>
      <w:r>
        <w:rPr>
          <w:rFonts w:hint="eastAsia" w:ascii="仿宋" w:hAnsi="仿宋" w:eastAsia="仿宋" w:cs="仿宋"/>
          <w:sz w:val="32"/>
          <w:szCs w:val="32"/>
          <w:highlight w:val="none"/>
          <w:lang w:val="en-US" w:eastAsia="zh-CN"/>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w:t>
      </w:r>
      <w:r>
        <w:rPr>
          <w:rFonts w:hint="eastAsia" w:ascii="仿宋" w:hAnsi="仿宋" w:eastAsia="仿宋" w:cs="仿宋"/>
          <w:sz w:val="32"/>
          <w:szCs w:val="32"/>
          <w:highlight w:val="none"/>
          <w:lang w:val="en-US" w:eastAsia="zh-CN" w:bidi="ar"/>
        </w:rPr>
        <w:t>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3584.5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rPr>
        <w:t>主要用于彩票公益金的支出，包括各种五保村敬老院、殡葬服务站、光荣院、幸福院、社区建设、春节慰问等支出。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33.63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0.95</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年的彩票公益金支出</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t>。</w:t>
      </w:r>
    </w:p>
    <w:p>
      <w:pPr>
        <w:ind w:firstLine="640" w:firstLineChars="200"/>
        <w:jc w:val="center"/>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drawing>
          <wp:inline distT="0" distB="0" distL="114300" distR="114300">
            <wp:extent cx="4725035" cy="2534285"/>
            <wp:effectExtent l="0" t="0" r="18415" b="18415"/>
            <wp:docPr id="6" name="图片 6" descr="微信图片_2023111616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1116162538"/>
                    <pic:cNvPicPr>
                      <a:picLocks noChangeAspect="1"/>
                    </pic:cNvPicPr>
                  </pic:nvPicPr>
                  <pic:blipFill>
                    <a:blip r:embed="rId8"/>
                    <a:stretch>
                      <a:fillRect/>
                    </a:stretch>
                  </pic:blipFill>
                  <pic:spPr>
                    <a:xfrm>
                      <a:off x="0" y="0"/>
                      <a:ext cx="4725035" cy="2534285"/>
                    </a:xfrm>
                    <a:prstGeom prst="rect">
                      <a:avLst/>
                    </a:prstGeom>
                  </pic:spPr>
                </pic:pic>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民政局</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13276.23</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2893.69</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27.87</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462.24</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12813.99</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民政局</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1513.79</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13276.23</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877.02</w:t>
      </w:r>
      <w:r>
        <w:rPr>
          <w:rFonts w:ascii="仿宋" w:hAnsi="仿宋" w:eastAsia="仿宋" w:cs="仿宋"/>
          <w:sz w:val="32"/>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5.43</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5.43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p>
      <w:pPr>
        <w:jc w:val="left"/>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drawing>
          <wp:inline distT="0" distB="0" distL="114300" distR="114300">
            <wp:extent cx="5457825" cy="690880"/>
            <wp:effectExtent l="0" t="0" r="9525" b="13970"/>
            <wp:docPr id="4" name="图片 4" descr="微信图片_2023111516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1115164740"/>
                    <pic:cNvPicPr>
                      <a:picLocks noChangeAspect="1"/>
                    </pic:cNvPicPr>
                  </pic:nvPicPr>
                  <pic:blipFill>
                    <a:blip r:embed="rId9"/>
                    <a:stretch>
                      <a:fillRect/>
                    </a:stretch>
                  </pic:blipFill>
                  <pic:spPr>
                    <a:xfrm>
                      <a:off x="0" y="0"/>
                      <a:ext cx="5457825" cy="690880"/>
                    </a:xfrm>
                    <a:prstGeom prst="rect">
                      <a:avLst/>
                    </a:prstGeom>
                  </pic:spPr>
                </pic:pic>
              </a:graphicData>
            </a:graphic>
          </wp:inline>
        </w:drawing>
      </w:r>
    </w:p>
    <w:p>
      <w:pPr>
        <w:jc w:val="center"/>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drawing>
          <wp:inline distT="0" distB="0" distL="114300" distR="114300">
            <wp:extent cx="5172075" cy="2286635"/>
            <wp:effectExtent l="0" t="0" r="9525" b="18415"/>
            <wp:docPr id="7" name="图片 7" descr="微信图片_2023111616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31116160213"/>
                    <pic:cNvPicPr>
                      <a:picLocks noChangeAspect="1"/>
                    </pic:cNvPicPr>
                  </pic:nvPicPr>
                  <pic:blipFill>
                    <a:blip r:embed="rId10"/>
                    <a:stretch>
                      <a:fillRect/>
                    </a:stretch>
                  </pic:blipFill>
                  <pic:spPr>
                    <a:xfrm>
                      <a:off x="0" y="0"/>
                      <a:ext cx="5172075" cy="2286635"/>
                    </a:xfrm>
                    <a:prstGeom prst="rect">
                      <a:avLst/>
                    </a:prstGeom>
                  </pic:spPr>
                </pic:pic>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1475.51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13129.82</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889.85</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见明细表。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p>
      <w:pPr>
        <w:jc w:val="left"/>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drawing>
          <wp:inline distT="0" distB="0" distL="114300" distR="114300">
            <wp:extent cx="5521960" cy="4572635"/>
            <wp:effectExtent l="0" t="0" r="2540" b="18415"/>
            <wp:docPr id="5" name="图片 5" descr="微信图片_2023111516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1115165125"/>
                    <pic:cNvPicPr>
                      <a:picLocks noChangeAspect="1"/>
                    </pic:cNvPicPr>
                  </pic:nvPicPr>
                  <pic:blipFill>
                    <a:blip r:embed="rId11"/>
                    <a:stretch>
                      <a:fillRect/>
                    </a:stretch>
                  </pic:blipFill>
                  <pic:spPr>
                    <a:xfrm>
                      <a:off x="0" y="0"/>
                      <a:ext cx="5521960" cy="4572635"/>
                    </a:xfrm>
                    <a:prstGeom prst="rect">
                      <a:avLst/>
                    </a:prstGeom>
                  </pic:spPr>
                </pic:pic>
              </a:graphicData>
            </a:graphic>
          </wp:inline>
        </w:drawing>
      </w:r>
    </w:p>
    <w:p>
      <w:pPr>
        <w:jc w:val="center"/>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drawing>
          <wp:inline distT="0" distB="0" distL="114300" distR="114300">
            <wp:extent cx="5389245" cy="3496310"/>
            <wp:effectExtent l="0" t="0" r="1905" b="8890"/>
            <wp:docPr id="8" name="图片 8" descr="微信图片_2023111616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31116160218"/>
                    <pic:cNvPicPr>
                      <a:picLocks noChangeAspect="1"/>
                    </pic:cNvPicPr>
                  </pic:nvPicPr>
                  <pic:blipFill>
                    <a:blip r:embed="rId12"/>
                    <a:stretch>
                      <a:fillRect/>
                    </a:stretch>
                  </pic:blipFill>
                  <pic:spPr>
                    <a:xfrm>
                      <a:off x="0" y="0"/>
                      <a:ext cx="5389245" cy="3496310"/>
                    </a:xfrm>
                    <a:prstGeom prst="rect">
                      <a:avLst/>
                    </a:prstGeom>
                  </pic:spPr>
                </pic:pic>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（21</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32.85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32.02</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97.47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人员工资有变动。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p>
      <w:pPr>
        <w:jc w:val="left"/>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drawing>
          <wp:inline distT="0" distB="0" distL="114300" distR="114300">
            <wp:extent cx="5344160" cy="624840"/>
            <wp:effectExtent l="0" t="0" r="8890" b="3810"/>
            <wp:docPr id="9" name="图片 9" descr="微信图片_2023111517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31115170246"/>
                    <pic:cNvPicPr>
                      <a:picLocks noChangeAspect="1"/>
                    </pic:cNvPicPr>
                  </pic:nvPicPr>
                  <pic:blipFill>
                    <a:blip r:embed="rId13"/>
                    <a:stretch>
                      <a:fillRect/>
                    </a:stretch>
                  </pic:blipFill>
                  <pic:spPr>
                    <a:xfrm>
                      <a:off x="0" y="0"/>
                      <a:ext cx="5344160" cy="624840"/>
                    </a:xfrm>
                    <a:prstGeom prst="rect">
                      <a:avLst/>
                    </a:prstGeom>
                  </pic:spPr>
                </pic:pic>
              </a:graphicData>
            </a:graphic>
          </wp:inline>
        </w:drawing>
      </w:r>
    </w:p>
    <w:p>
      <w:pPr>
        <w:jc w:val="center"/>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drawing>
          <wp:inline distT="0" distB="0" distL="114300" distR="114300">
            <wp:extent cx="4581525" cy="2543810"/>
            <wp:effectExtent l="0" t="0" r="9525" b="8890"/>
            <wp:docPr id="10" name="图片 10" descr="微信图片_2023111616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31116160223"/>
                    <pic:cNvPicPr>
                      <a:picLocks noChangeAspect="1"/>
                    </pic:cNvPicPr>
                  </pic:nvPicPr>
                  <pic:blipFill>
                    <a:blip r:embed="rId14"/>
                    <a:stretch>
                      <a:fillRect/>
                    </a:stretch>
                  </pic:blipFill>
                  <pic:spPr>
                    <a:xfrm>
                      <a:off x="0" y="0"/>
                      <a:ext cx="4581525" cy="2543810"/>
                    </a:xfrm>
                    <a:prstGeom prst="rect">
                      <a:avLst/>
                    </a:prstGeom>
                  </pic:spPr>
                </pic:pic>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w:t>
      </w:r>
      <w:r>
        <w:rPr>
          <w:rFonts w:hint="eastAsia" w:ascii="仿宋" w:hAnsi="仿宋" w:eastAsia="仿宋"/>
          <w:sz w:val="32"/>
          <w:u w:color="auto"/>
        </w:rPr>
        <w:t>229</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108.95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见明细表。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p>
      <w:pPr>
        <w:jc w:val="left"/>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drawing>
          <wp:inline distT="0" distB="0" distL="114300" distR="114300">
            <wp:extent cx="5357495" cy="1048385"/>
            <wp:effectExtent l="0" t="0" r="14605" b="18415"/>
            <wp:docPr id="11" name="图片 11" descr="微信图片_2023111517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31115171154"/>
                    <pic:cNvPicPr>
                      <a:picLocks noChangeAspect="1"/>
                    </pic:cNvPicPr>
                  </pic:nvPicPr>
                  <pic:blipFill>
                    <a:blip r:embed="rId15"/>
                    <a:stretch>
                      <a:fillRect/>
                    </a:stretch>
                  </pic:blipFill>
                  <pic:spPr>
                    <a:xfrm>
                      <a:off x="0" y="0"/>
                      <a:ext cx="5357495" cy="1048385"/>
                    </a:xfrm>
                    <a:prstGeom prst="rect">
                      <a:avLst/>
                    </a:prstGeom>
                  </pic:spPr>
                </pic:pic>
              </a:graphicData>
            </a:graphic>
          </wp:inline>
        </w:drawing>
      </w:r>
    </w:p>
    <w:p>
      <w:pPr>
        <w:jc w:val="center"/>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drawing>
          <wp:inline distT="0" distB="0" distL="114300" distR="114300">
            <wp:extent cx="4572000" cy="2496185"/>
            <wp:effectExtent l="0" t="0" r="0" b="18415"/>
            <wp:docPr id="12" name="图片 12" descr="微信图片_2023111616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31116160228"/>
                    <pic:cNvPicPr>
                      <a:picLocks noChangeAspect="1"/>
                    </pic:cNvPicPr>
                  </pic:nvPicPr>
                  <pic:blipFill>
                    <a:blip r:embed="rId16"/>
                    <a:stretch>
                      <a:fillRect/>
                    </a:stretch>
                  </pic:blipFill>
                  <pic:spPr>
                    <a:xfrm>
                      <a:off x="0" y="0"/>
                      <a:ext cx="4572000" cy="2496185"/>
                    </a:xfrm>
                    <a:prstGeom prst="rect">
                      <a:avLst/>
                    </a:prstGeom>
                  </pic:spPr>
                </pic:pic>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民政局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462.24</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444.55</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17.69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rPr>
        <w:t>410.17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125.12</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人员工资增资。</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120.09万元，30102津贴补贴52.01万元，30103奖金36.41万元，30107绩效工资92.83万元，30108机关事业单位基本养老保险缴费42.52万元，30110职工基本医疗保险缴费17.06万元，30112其他社会保障缴费1.7万元，30113住房公积金98.52万元，30199其他工资福利支出15.51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drawing>
          <wp:inline distT="0" distB="0" distL="114300" distR="114300">
            <wp:extent cx="4781550" cy="2638425"/>
            <wp:effectExtent l="0" t="0" r="0" b="9525"/>
            <wp:docPr id="13" name="图片 13" descr="微信图片_2023111616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231116160811"/>
                    <pic:cNvPicPr>
                      <a:picLocks noChangeAspect="1"/>
                    </pic:cNvPicPr>
                  </pic:nvPicPr>
                  <pic:blipFill>
                    <a:blip r:embed="rId17"/>
                    <a:stretch>
                      <a:fillRect/>
                    </a:stretch>
                  </pic:blipFill>
                  <pic:spPr>
                    <a:xfrm>
                      <a:off x="0" y="0"/>
                      <a:ext cx="4781550" cy="2638425"/>
                    </a:xfrm>
                    <a:prstGeom prst="rect">
                      <a:avLst/>
                    </a:prstGeom>
                  </pic:spPr>
                </pic:pic>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rPr>
        <w:t>17.69</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56.55</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主要原因是：年初数的其他交通费用放在工资福利支出了</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30205水费0.15万元，30206电费2.49万元，30207邮电费3.53万元，30217公务接待费3.79万元，30228工会经费5.43万元，30231公务用车运行维护费2.3万元。</w:t>
      </w:r>
    </w:p>
    <w:p>
      <w:pPr>
        <w:jc w:val="center"/>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drawing>
          <wp:inline distT="0" distB="0" distL="114300" distR="114300">
            <wp:extent cx="4581525" cy="2771775"/>
            <wp:effectExtent l="0" t="0" r="9525" b="9525"/>
            <wp:docPr id="14" name="图片 14" descr="微信图片_2023111616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31116160820"/>
                    <pic:cNvPicPr>
                      <a:picLocks noChangeAspect="1"/>
                    </pic:cNvPicPr>
                  </pic:nvPicPr>
                  <pic:blipFill>
                    <a:blip r:embed="rId18"/>
                    <a:stretch>
                      <a:fillRect/>
                    </a:stretch>
                  </pic:blipFill>
                  <pic:spPr>
                    <a:xfrm>
                      <a:off x="0" y="0"/>
                      <a:ext cx="4581525" cy="2771775"/>
                    </a:xfrm>
                    <a:prstGeom prst="rect">
                      <a:avLst/>
                    </a:prstGeom>
                  </pic:spPr>
                </pic:pic>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34.38</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3.58</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主要原因是：年初预算的高龄老人生活补助，支出时放在老年福利类项目支出了。</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30304抚恤金0.5万元，30305生活补助18.23万元，30306救济费10.41万元，30309奖励金0.04万元，30399其他对个人和家庭的补助5.2万元。</w:t>
      </w:r>
    </w:p>
    <w:p>
      <w:pPr>
        <w:jc w:val="center"/>
        <w:rPr>
          <w:rFonts w:ascii="仿宋" w:hAnsi="仿宋" w:eastAsia="仿宋" w:cs="仿宋"/>
          <w:sz w:val="32"/>
          <w:szCs w:val="32"/>
          <w:highlight w:val="none"/>
        </w:rPr>
      </w:pPr>
      <w:r>
        <w:rPr>
          <w:rFonts w:hint="eastAsia" w:ascii="仿宋" w:hAnsi="仿宋" w:eastAsia="仿宋" w:cs="仿宋"/>
          <w:sz w:val="32"/>
          <w:szCs w:val="32"/>
          <w:highlight w:val="none"/>
          <w:lang w:eastAsia="zh-CN"/>
        </w:rPr>
        <w:drawing>
          <wp:inline distT="0" distB="0" distL="114300" distR="114300">
            <wp:extent cx="4600575" cy="2771775"/>
            <wp:effectExtent l="0" t="0" r="9525" b="9525"/>
            <wp:docPr id="15" name="图片 15" descr="微信图片_2023111616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231116160816"/>
                    <pic:cNvPicPr>
                      <a:picLocks noChangeAspect="1"/>
                    </pic:cNvPicPr>
                  </pic:nvPicPr>
                  <pic:blipFill>
                    <a:blip r:embed="rId19"/>
                    <a:stretch>
                      <a:fillRect/>
                    </a:stretch>
                  </pic:blipFill>
                  <pic:spPr>
                    <a:xfrm>
                      <a:off x="0" y="0"/>
                      <a:ext cx="4600575" cy="2771775"/>
                    </a:xfrm>
                    <a:prstGeom prst="rect">
                      <a:avLst/>
                    </a:prstGeom>
                  </pic:spPr>
                </pic:pic>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民政局</w:t>
      </w:r>
      <w:r>
        <w:rPr>
          <w:rFonts w:hint="eastAsia" w:ascii="仿宋" w:hAnsi="仿宋" w:eastAsia="仿宋" w:cs="仿宋"/>
          <w:sz w:val="32"/>
          <w:szCs w:val="32"/>
          <w:highlight w:val="none"/>
        </w:rPr>
        <w:t>2022年度政府性基金支出</w:t>
      </w:r>
      <w:r>
        <w:rPr>
          <w:rFonts w:hint="eastAsia" w:ascii="仿宋" w:hAnsi="仿宋" w:eastAsia="仿宋" w:cs="仿宋"/>
          <w:sz w:val="32"/>
          <w:szCs w:val="32"/>
          <w:highlight w:val="none"/>
          <w:lang w:val="en-US" w:eastAsia="zh-CN"/>
        </w:rPr>
        <w:t>3591.71</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182.64</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5.36</w:t>
      </w:r>
      <w:r>
        <w:rPr>
          <w:rFonts w:ascii="仿宋" w:hAnsi="仿宋" w:eastAsia="仿宋" w:cs="仿宋"/>
          <w:sz w:val="32"/>
          <w:szCs w:val="32"/>
          <w:highlight w:val="none"/>
        </w:rPr>
        <w:t>%</w:t>
      </w:r>
      <w:r>
        <w:rPr>
          <w:rFonts w:hint="eastAsia" w:ascii="仿宋" w:hAnsi="仿宋" w:eastAsia="仿宋" w:cs="仿宋"/>
          <w:sz w:val="32"/>
          <w:szCs w:val="32"/>
          <w:highlight w:val="none"/>
        </w:rPr>
        <w:t>其中：基本支出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万元，项目支出</w:t>
      </w:r>
      <w:r>
        <w:rPr>
          <w:rFonts w:hint="eastAsia" w:ascii="仿宋" w:hAnsi="仿宋" w:eastAsia="仿宋" w:cs="仿宋"/>
          <w:sz w:val="32"/>
          <w:szCs w:val="32"/>
          <w:highlight w:val="none"/>
          <w:lang w:val="en-US" w:eastAsia="zh-CN"/>
        </w:rPr>
        <w:t>3591.71</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民政局</w:t>
      </w:r>
      <w:r>
        <w:rPr>
          <w:rFonts w:hint="eastAsia" w:ascii="仿宋" w:hAnsi="仿宋" w:eastAsia="仿宋" w:cs="仿宋"/>
          <w:sz w:val="32"/>
          <w:szCs w:val="32"/>
          <w:highlight w:val="none"/>
        </w:rPr>
        <w:t>2022年度政府性基金支出年初预算为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3591.71</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hint="default" w:ascii="仿宋" w:hAnsi="仿宋" w:eastAsia="仿宋" w:cs="仿宋"/>
          <w:sz w:val="32"/>
          <w:szCs w:val="32"/>
          <w:highlight w:val="none"/>
          <w:lang w:val="en-US"/>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_GB2312" w:cs="仿宋"/>
          <w:color w:val="auto"/>
          <w:sz w:val="32"/>
          <w:szCs w:val="32"/>
          <w:highlight w:val="none"/>
          <w:lang w:eastAsia="zh-CN"/>
        </w:rPr>
      </w:pPr>
      <w:bookmarkStart w:id="2" w:name="PO_part3A5B1C1DiffReason1"/>
      <w:r>
        <w:rPr>
          <w:rFonts w:hint="eastAsia" w:ascii="仿宋_GB2312" w:hAnsi="Times New Roman" w:eastAsia="仿宋_GB2312" w:cs="Times New Roman"/>
          <w:color w:val="auto"/>
          <w:sz w:val="32"/>
          <w:szCs w:val="32"/>
          <w:lang w:eastAsia="zh-CN"/>
        </w:rPr>
        <w:t>民政局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2"/>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6.18</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3.45</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2021年的公务接待因财政资金困难未能安排支付，2022年再支付。</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万元，公务用车购置及运行费支出决算</w:t>
      </w:r>
      <w:r>
        <w:rPr>
          <w:rFonts w:hint="eastAsia" w:ascii="仿宋" w:hAnsi="仿宋" w:eastAsia="仿宋" w:cs="仿宋"/>
          <w:sz w:val="32"/>
          <w:szCs w:val="32"/>
          <w:highlight w:val="none"/>
          <w:lang w:val="en-US" w:eastAsia="zh-CN"/>
        </w:rPr>
        <w:t>2.3</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3.88</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 xml:space="preserve"> 万元。</w:t>
      </w:r>
    </w:p>
    <w:p>
      <w:pPr>
        <w:numPr>
          <w:ilvl w:val="0"/>
          <w:numId w:val="3"/>
        </w:numPr>
        <w:ind w:left="0" w:leftChars="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公务用车购置及运行维护费</w:t>
      </w:r>
      <w:r>
        <w:rPr>
          <w:rFonts w:hint="eastAsia" w:ascii="仿宋" w:hAnsi="仿宋" w:eastAsia="仿宋" w:cs="仿宋"/>
          <w:sz w:val="32"/>
          <w:u w:color="auto"/>
          <w:lang w:val="en-US" w:eastAsia="zh-CN"/>
        </w:rPr>
        <w:t>2.3</w:t>
      </w:r>
      <w:r>
        <w:rPr>
          <w:rFonts w:hint="eastAsia" w:ascii="仿宋" w:hAnsi="仿宋" w:eastAsia="仿宋" w:cs="仿宋"/>
          <w:sz w:val="32"/>
          <w:szCs w:val="32"/>
          <w:highlight w:val="none"/>
        </w:rPr>
        <w:t>万元。其中：公务用车购置支出</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lang w:val="en-US" w:eastAsia="zh-CN"/>
        </w:rPr>
        <w:t>。</w:t>
      </w:r>
    </w:p>
    <w:p>
      <w:pPr>
        <w:numPr>
          <w:ilvl w:val="0"/>
          <w:numId w:val="3"/>
        </w:numPr>
        <w:ind w:left="0" w:leftChars="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hint="eastAsia" w:ascii="仿宋" w:hAnsi="仿宋" w:eastAsia="仿宋" w:cs="仿宋"/>
          <w:color w:val="auto"/>
          <w:sz w:val="32"/>
          <w:u w:color="auto"/>
          <w:lang w:val="en-US" w:eastAsia="zh-CN"/>
        </w:rPr>
        <w:t>2.3</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u w:color="auto"/>
          <w:lang w:val="en-US" w:eastAsia="zh-CN"/>
        </w:rPr>
        <w:t>100</w:t>
      </w:r>
      <w:r>
        <w:rPr>
          <w:rFonts w:ascii="仿宋" w:hAnsi="仿宋" w:eastAsia="仿宋" w:cs="仿宋"/>
          <w:color w:val="auto"/>
          <w:sz w:val="32"/>
          <w:u w:color="auto"/>
        </w:rPr>
        <w:t>%</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万元。2022年，</w:t>
      </w:r>
      <w:r>
        <w:rPr>
          <w:rFonts w:hint="eastAsia" w:ascii="仿宋" w:hAnsi="仿宋" w:eastAsia="仿宋" w:cs="仿宋"/>
          <w:color w:val="auto"/>
          <w:sz w:val="32"/>
          <w:u w:color="auto"/>
          <w:lang w:eastAsia="zh-CN"/>
        </w:rPr>
        <w:t>民政局</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none"/>
          <w:lang w:val="en-US" w:eastAsia="zh-CN"/>
        </w:rPr>
        <w:t xml:space="preserve">  1 个</w:t>
      </w:r>
      <w:r>
        <w:rPr>
          <w:rFonts w:hint="eastAsia" w:ascii="仿宋" w:hAnsi="仿宋" w:eastAsia="仿宋" w:cs="仿宋"/>
          <w:color w:val="auto"/>
          <w:sz w:val="32"/>
          <w:szCs w:val="32"/>
          <w:highlight w:val="none"/>
        </w:rPr>
        <w:t>所属单位开支财政拨款的公务用车保有量为</w:t>
      </w:r>
      <w:r>
        <w:rPr>
          <w:rFonts w:hint="eastAsia" w:ascii="仿宋" w:hAnsi="仿宋" w:eastAsia="仿宋" w:cs="仿宋"/>
          <w:color w:val="auto"/>
          <w:sz w:val="32"/>
          <w:u w:color="auto"/>
          <w:lang w:val="en-US" w:eastAsia="zh-CN"/>
        </w:rPr>
        <w:t>1</w:t>
      </w:r>
      <w:r>
        <w:rPr>
          <w:rFonts w:hint="eastAsia" w:ascii="仿宋" w:hAnsi="仿宋" w:eastAsia="仿宋" w:cs="仿宋"/>
          <w:color w:val="auto"/>
          <w:sz w:val="32"/>
          <w:szCs w:val="32"/>
          <w:highlight w:val="none"/>
        </w:rPr>
        <w:t>辆，全年运行费支出</w:t>
      </w:r>
      <w:r>
        <w:rPr>
          <w:rFonts w:hint="eastAsia" w:ascii="仿宋" w:hAnsi="仿宋" w:eastAsia="仿宋" w:cs="仿宋"/>
          <w:color w:val="auto"/>
          <w:sz w:val="32"/>
          <w:u w:color="auto"/>
          <w:lang w:val="en-US" w:eastAsia="zh-CN"/>
        </w:rPr>
        <w:t>2.3</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3.88</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3.27</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主要原因是：2021年的公务接待因财政资金困难未能安排支付，2022年再支付。</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30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350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17.69</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6.4</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56.69</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2022年工会经费增加。</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3728.99</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61.33</w:t>
      </w:r>
      <w:r>
        <w:rPr>
          <w:rFonts w:hint="eastAsia" w:ascii="仿宋" w:hAnsi="仿宋" w:eastAsia="仿宋" w:cs="仿宋"/>
          <w:sz w:val="32"/>
          <w:szCs w:val="32"/>
          <w:highlight w:val="none"/>
        </w:rPr>
        <w:t>万元、政府采购工程支出</w:t>
      </w:r>
      <w:r>
        <w:rPr>
          <w:rFonts w:hint="eastAsia" w:ascii="仿宋" w:hAnsi="仿宋" w:eastAsia="仿宋" w:cs="仿宋"/>
          <w:sz w:val="32"/>
          <w:szCs w:val="32"/>
          <w:highlight w:val="none"/>
          <w:lang w:val="en-US" w:eastAsia="zh-CN"/>
        </w:rPr>
        <w:t>3534.28</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133.38</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，其中：授予小微企业合同金额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辆，其中：副部（省）级领导干部用车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11874.59</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89.44</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11.83</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0.33</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13084.3</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完成民政局职责和预期绩效目标，通过社会救助政策的全面实施，为困难群众提供基本生活保障，提高群众幸福感，社会融入</w:t>
      </w:r>
      <w:r>
        <w:rPr>
          <w:rFonts w:hint="eastAsia" w:ascii="仿宋" w:hAnsi="仿宋" w:eastAsia="仿宋" w:cs="仿宋"/>
          <w:color w:val="auto"/>
          <w:sz w:val="32"/>
          <w:szCs w:val="32"/>
          <w:lang w:eastAsia="zh-CN"/>
        </w:rPr>
        <w:t>感。</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w:t>
      </w:r>
      <w:r>
        <w:rPr>
          <w:rFonts w:hint="eastAsia" w:ascii="仿宋" w:hAnsi="仿宋" w:eastAsia="仿宋" w:cs="仿宋"/>
          <w:color w:val="auto"/>
          <w:sz w:val="32"/>
          <w:szCs w:val="32"/>
        </w:rPr>
        <w:t>结果。</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w:t>
      </w:r>
      <w:r>
        <w:rPr>
          <w:rFonts w:hint="eastAsia" w:ascii="仿宋" w:hAnsi="仿宋" w:eastAsia="仿宋" w:cs="仿宋"/>
          <w:color w:val="000000" w:themeColor="text1"/>
          <w:sz w:val="32"/>
          <w:szCs w:val="32"/>
          <w:lang w:val="en-US" w:eastAsia="zh-CN"/>
          <w14:textFill>
            <w14:solidFill>
              <w14:schemeClr w14:val="tx1"/>
            </w14:solidFill>
          </w14:textFill>
        </w:rPr>
        <w:t>25个</w:t>
      </w:r>
      <w:r>
        <w:rPr>
          <w:rFonts w:hint="eastAsia" w:ascii="仿宋" w:hAnsi="仿宋" w:eastAsia="仿宋" w:cs="仿宋"/>
          <w:color w:val="000000" w:themeColor="text1"/>
          <w:sz w:val="32"/>
          <w:szCs w:val="32"/>
          <w14:textFill>
            <w14:solidFill>
              <w14:schemeClr w14:val="tx1"/>
            </w14:solidFill>
          </w14:textFill>
        </w:rPr>
        <w:t>绩效目标</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民政日常工作经费项目自评得分为93.47分。发现的主要问题及原因：一是</w:t>
      </w:r>
      <w:r>
        <w:rPr>
          <w:rFonts w:hint="eastAsia" w:ascii="仿宋" w:hAnsi="仿宋" w:eastAsia="仿宋" w:cs="仿宋"/>
          <w:color w:val="000000" w:themeColor="text1"/>
          <w:sz w:val="32"/>
          <w:szCs w:val="32"/>
          <w:lang w:eastAsia="zh-CN"/>
          <w14:textFill>
            <w14:solidFill>
              <w14:schemeClr w14:val="tx1"/>
            </w14:solidFill>
          </w14:textFill>
        </w:rPr>
        <w:t>预算经费少，开展民政工作很被动</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财政资金困难，支付进度缓慢</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eastAsia="zh-CN"/>
          <w14:textFill>
            <w14:solidFill>
              <w14:schemeClr w14:val="tx1"/>
            </w14:solidFill>
          </w14:textFill>
        </w:rPr>
        <w:t>积极向财政争取更多的资金</w:t>
      </w:r>
      <w:r>
        <w:rPr>
          <w:rFonts w:hint="eastAsia" w:ascii="仿宋" w:hAnsi="仿宋" w:eastAsia="仿宋" w:cs="仿宋"/>
          <w:color w:val="000000" w:themeColor="text1"/>
          <w:sz w:val="32"/>
          <w:szCs w:val="32"/>
          <w14:textFill>
            <w14:solidFill>
              <w14:schemeClr w14:val="tx1"/>
            </w14:solidFill>
          </w14:textFill>
        </w:rPr>
        <w:t>；二是要提高工作效率，更好的服务困难群众。</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特困管理人员工资项目自评得分为97.12分。发现的主要问题及原因：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特困管理人员工资较低</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提高管理人员的工资，</w:t>
      </w:r>
      <w:r>
        <w:rPr>
          <w:rFonts w:hint="eastAsia" w:ascii="仿宋" w:hAnsi="仿宋" w:eastAsia="仿宋" w:cs="仿宋"/>
          <w:color w:val="000000" w:themeColor="text1"/>
          <w:sz w:val="32"/>
          <w:szCs w:val="32"/>
          <w14:textFill>
            <w14:solidFill>
              <w14:schemeClr w14:val="tx1"/>
            </w14:solidFill>
          </w14:textFill>
        </w:rPr>
        <w:t>提升生活幸福感，对五保村敬老院入住对象的关怀不断提升。</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五保服务经费项目自评得分为95.47分。发现的主要问题及原因：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五保服务经费有限，全县特困对象多，不能全面关爱</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提高预算标准，扩大资金使用面，使特困人员的幸福感有提升，社会对弱势群体的关注更加重视</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党支部组织生活经费项目自评得分为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经费有限，开展的党员活动范围受限</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提高预算标准，扩大资金使用面，提高党员的觉悟性，发挥党员的先锋模范作用。</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乡镇民政办工作经费项目自评得分为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93.47</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全县有</w:t>
      </w:r>
      <w:r>
        <w:rPr>
          <w:rFonts w:hint="eastAsia" w:ascii="仿宋" w:hAnsi="仿宋" w:eastAsia="仿宋" w:cs="仿宋"/>
          <w:color w:val="000000" w:themeColor="text1"/>
          <w:sz w:val="32"/>
          <w:szCs w:val="32"/>
          <w:lang w:val="en-US" w:eastAsia="zh-CN"/>
          <w14:textFill>
            <w14:solidFill>
              <w14:schemeClr w14:val="tx1"/>
            </w14:solidFill>
          </w14:textFill>
        </w:rPr>
        <w:t>12个乡民政办，工作经费太少，不够分配，不能保证工作的基本核查办公费用</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提高预算标准，扩大资金使用面，提高乡民政办工作人员的工作效率。</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残疾人两项补贴县配套资金项目自评得分为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95.47</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残疾人两项补贴人数逐年增多，县级补助资金有待增加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提高预算标准，使残疾人受到关爱。</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孤儿县级配套及六一慰问资金项目自评得分为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97.47</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孤儿补助水平逐年增加，县级补助资金有待增加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提高预算标准，更好的关爱孤儿。</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全县事实无人抚养儿童基本生活补助费县级配套资金项目自评得分为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全县事实无人抚养儿童基本生活补助水平逐年增加，县级补助资金有待增加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提高预算标准，更好的关爱事实无人抚养儿童。</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行政区划调整工作经费项目自评得分为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95.78</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工作涉及全县12个乡镇，经费少，工作量大，支付资金进度缓慢。</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提高预算标准，加大资金投入，增加人手。</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lang w:eastAsia="zh-CN"/>
          <w14:textFill>
            <w14:solidFill>
              <w14:schemeClr w14:val="tx1"/>
            </w14:solidFill>
          </w14:textFill>
        </w:rPr>
        <w:t>春节慰问</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94</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困难群体人数较多，不能全部慰问，部分对象对慰问活动不满意。</w:t>
      </w:r>
      <w:r>
        <w:rPr>
          <w:rFonts w:hint="eastAsia" w:ascii="仿宋" w:hAnsi="仿宋" w:eastAsia="仿宋" w:cs="仿宋"/>
          <w:color w:val="000000" w:themeColor="text1"/>
          <w:sz w:val="32"/>
          <w:szCs w:val="32"/>
          <w14:textFill>
            <w14:solidFill>
              <w14:schemeClr w14:val="tx1"/>
            </w14:solidFill>
          </w14:textFill>
        </w:rPr>
        <w:t>下一步改进措施提高慰问的金额和力度</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lang w:eastAsia="zh-CN"/>
          <w14:textFill>
            <w14:solidFill>
              <w14:schemeClr w14:val="tx1"/>
            </w14:solidFill>
          </w14:textFill>
        </w:rPr>
        <w:t>公墓建设经费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93.4</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公墓建设工期长，投入资金大。</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：加快工程进度，尽早竣工服务人民。</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lang w:eastAsia="zh-CN"/>
          <w14:textFill>
            <w14:solidFill>
              <w14:schemeClr w14:val="tx1"/>
            </w14:solidFill>
          </w14:textFill>
        </w:rPr>
        <w:t>婚姻登记处软件设备</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96</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办公设备升级太快，更换设备频繁，工作量增加，投入大量人力财力。</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：熟悉新设备，提高工作效率，提高对登记群众的人文关怀。</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lang w:eastAsia="zh-CN"/>
          <w14:textFill>
            <w14:solidFill>
              <w14:schemeClr w14:val="tx1"/>
            </w14:solidFill>
          </w14:textFill>
        </w:rPr>
        <w:t>基层政权建设和社区治理</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90.5</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开展困境群众和服务对象的家庭探访及个案服务、组织开展困群众和社区居民小组服务、社区治理能力提升、社会组织孵化培育、社区社工人才培养、社区工作人才队伍建设等，成效影响效果有待提升，需要投入大量人力财力。</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：提高预算资金的投入，加大宣传和实施力度。</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lang w:eastAsia="zh-CN"/>
          <w14:textFill>
            <w14:solidFill>
              <w14:schemeClr w14:val="tx1"/>
            </w14:solidFill>
          </w14:textFill>
        </w:rPr>
        <w:t>其他民政管理事务</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95.47</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烈士陵园维修，成效影响效果有待提升，需要投入大量人力财力。</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：提高预算资金的投入，加大烈士陵园维修，提高民众的幸福感。</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lang w:eastAsia="zh-CN"/>
          <w14:textFill>
            <w14:solidFill>
              <w14:schemeClr w14:val="tx1"/>
            </w14:solidFill>
          </w14:textFill>
        </w:rPr>
        <w:t>敬老院维修改造</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82</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敬老院的维修改造因财政资金困难，</w:t>
      </w:r>
      <w:r>
        <w:rPr>
          <w:rFonts w:hint="eastAsia" w:ascii="仿宋" w:hAnsi="仿宋" w:eastAsia="仿宋" w:cs="仿宋"/>
          <w:color w:val="000000" w:themeColor="text1"/>
          <w:sz w:val="32"/>
          <w:szCs w:val="32"/>
          <w:lang w:val="en-US" w:eastAsia="zh-CN"/>
          <w14:textFill>
            <w14:solidFill>
              <w14:schemeClr w14:val="tx1"/>
            </w14:solidFill>
          </w14:textFill>
        </w:rPr>
        <w:t>2022年没有安排支付。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：争取在</w:t>
      </w:r>
      <w:r>
        <w:rPr>
          <w:rFonts w:hint="eastAsia" w:ascii="仿宋" w:hAnsi="仿宋" w:eastAsia="仿宋" w:cs="仿宋"/>
          <w:color w:val="000000" w:themeColor="text1"/>
          <w:sz w:val="32"/>
          <w:szCs w:val="32"/>
          <w:lang w:val="en-US" w:eastAsia="zh-CN"/>
          <w14:textFill>
            <w14:solidFill>
              <w14:schemeClr w14:val="tx1"/>
            </w14:solidFill>
          </w14:textFill>
        </w:rPr>
        <w:t>2023年完成项目的支付</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lang w:eastAsia="zh-CN"/>
          <w14:textFill>
            <w14:solidFill>
              <w14:schemeClr w14:val="tx1"/>
            </w14:solidFill>
          </w14:textFill>
        </w:rPr>
        <w:t>困难群众救助补助资金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95.47</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低保、特困、孤儿、残疾人两项补贴、临时救助、流浪乞讨人员救助人员补助水平偏底</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：补助水平和面有待提高。</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lang w:eastAsia="zh-CN"/>
          <w14:textFill>
            <w14:solidFill>
              <w14:schemeClr w14:val="tx1"/>
            </w14:solidFill>
          </w14:textFill>
        </w:rPr>
        <w:t>居民家庭经济状况核查经费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86</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低保、特困、孤儿、残疾人两项补贴、临时救助、流浪乞讨人员救助人数变动较多，由于工作人员少，核查力度不够</w:t>
      </w:r>
      <w:r>
        <w:rPr>
          <w:rFonts w:hint="eastAsia" w:ascii="仿宋" w:hAnsi="仿宋" w:eastAsia="仿宋" w:cs="仿宋"/>
          <w:color w:val="000000" w:themeColor="text1"/>
          <w:sz w:val="32"/>
          <w:szCs w:val="32"/>
          <w:lang w:val="en-US" w:eastAsia="zh-CN"/>
          <w14:textFill>
            <w14:solidFill>
              <w14:schemeClr w14:val="tx1"/>
            </w14:solidFill>
          </w14:textFill>
        </w:rPr>
        <w:t>。资金支付缓慢。</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：与财政沟通，加大预算投入，资金能及时支付。</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(18)</w:t>
      </w:r>
      <w:r>
        <w:rPr>
          <w:rFonts w:hint="eastAsia" w:ascii="仿宋" w:hAnsi="仿宋" w:eastAsia="仿宋" w:cs="仿宋"/>
          <w:color w:val="000000" w:themeColor="text1"/>
          <w:sz w:val="32"/>
          <w:szCs w:val="32"/>
          <w:lang w:eastAsia="zh-CN"/>
          <w14:textFill>
            <w14:solidFill>
              <w14:schemeClr w14:val="tx1"/>
            </w14:solidFill>
          </w14:textFill>
        </w:rPr>
        <w:t>彩票公益金养老服务和社会福利政府购买服务项</w:t>
      </w:r>
      <w:r>
        <w:rPr>
          <w:rFonts w:hint="eastAsia" w:ascii="仿宋" w:hAnsi="仿宋" w:eastAsia="仿宋" w:cs="仿宋"/>
          <w:color w:val="000000" w:themeColor="text1"/>
          <w:sz w:val="32"/>
          <w:szCs w:val="32"/>
          <w14:textFill>
            <w14:solidFill>
              <w14:schemeClr w14:val="tx1"/>
            </w14:solidFill>
          </w14:textFill>
        </w:rPr>
        <w:t>目自评得分为</w:t>
      </w:r>
      <w:r>
        <w:rPr>
          <w:rFonts w:hint="eastAsia" w:ascii="仿宋" w:hAnsi="仿宋" w:eastAsia="仿宋" w:cs="仿宋"/>
          <w:color w:val="000000" w:themeColor="text1"/>
          <w:sz w:val="32"/>
          <w:szCs w:val="32"/>
          <w:lang w:val="en-US" w:eastAsia="zh-CN"/>
          <w14:textFill>
            <w14:solidFill>
              <w14:schemeClr w14:val="tx1"/>
            </w14:solidFill>
          </w14:textFill>
        </w:rPr>
        <w:t>84</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养老服务项目推进慢，</w:t>
      </w:r>
      <w:r>
        <w:rPr>
          <w:rFonts w:hint="eastAsia" w:ascii="仿宋" w:hAnsi="仿宋" w:eastAsia="仿宋" w:cs="仿宋"/>
          <w:color w:val="000000" w:themeColor="text1"/>
          <w:sz w:val="32"/>
          <w:szCs w:val="32"/>
          <w:lang w:val="en-US" w:eastAsia="zh-CN"/>
          <w14:textFill>
            <w14:solidFill>
              <w14:schemeClr w14:val="tx1"/>
            </w14:solidFill>
          </w14:textFill>
        </w:rPr>
        <w:t>资金支付缓慢。项目内容和服务范围受限。</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：对项目的投入资金加大，养老服务机构的服务范围扩大，更好的服务人民群众。</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(19)</w:t>
      </w:r>
      <w:r>
        <w:rPr>
          <w:rFonts w:hint="eastAsia" w:ascii="仿宋" w:hAnsi="仿宋" w:eastAsia="仿宋" w:cs="仿宋"/>
          <w:color w:val="000000" w:themeColor="text1"/>
          <w:sz w:val="32"/>
          <w:szCs w:val="32"/>
          <w:lang w:eastAsia="zh-CN"/>
          <w14:textFill>
            <w14:solidFill>
              <w14:schemeClr w14:val="tx1"/>
            </w14:solidFill>
          </w14:textFill>
        </w:rPr>
        <w:t>殡葬建设项</w:t>
      </w:r>
      <w:r>
        <w:rPr>
          <w:rFonts w:hint="eastAsia" w:ascii="仿宋" w:hAnsi="仿宋" w:eastAsia="仿宋" w:cs="仿宋"/>
          <w:color w:val="000000" w:themeColor="text1"/>
          <w:sz w:val="32"/>
          <w:szCs w:val="32"/>
          <w14:textFill>
            <w14:solidFill>
              <w14:schemeClr w14:val="tx1"/>
            </w14:solidFill>
          </w14:textFill>
        </w:rPr>
        <w:t>目自评得分为</w:t>
      </w:r>
      <w:r>
        <w:rPr>
          <w:rFonts w:hint="eastAsia" w:ascii="仿宋" w:hAnsi="仿宋" w:eastAsia="仿宋" w:cs="仿宋"/>
          <w:color w:val="000000" w:themeColor="text1"/>
          <w:sz w:val="32"/>
          <w:szCs w:val="32"/>
          <w:lang w:val="en-US" w:eastAsia="zh-CN"/>
          <w14:textFill>
            <w14:solidFill>
              <w14:schemeClr w14:val="tx1"/>
            </w14:solidFill>
          </w14:textFill>
        </w:rPr>
        <w:t>82</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殡葬建设项目推进慢，</w:t>
      </w:r>
      <w:r>
        <w:rPr>
          <w:rFonts w:hint="eastAsia" w:ascii="仿宋" w:hAnsi="仿宋" w:eastAsia="仿宋" w:cs="仿宋"/>
          <w:color w:val="000000" w:themeColor="text1"/>
          <w:sz w:val="32"/>
          <w:szCs w:val="32"/>
          <w:lang w:val="en-US" w:eastAsia="zh-CN"/>
          <w14:textFill>
            <w14:solidFill>
              <w14:schemeClr w14:val="tx1"/>
            </w14:solidFill>
          </w14:textFill>
        </w:rPr>
        <w:t>资金支付缓慢。</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：加快工程进度，增强人民的生活安全感。</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lang w:eastAsia="zh-CN"/>
          <w14:textFill>
            <w14:solidFill>
              <w14:schemeClr w14:val="tx1"/>
            </w14:solidFill>
          </w14:textFill>
        </w:rPr>
        <w:t>奖励性补贴项</w:t>
      </w:r>
      <w:r>
        <w:rPr>
          <w:rFonts w:hint="eastAsia" w:ascii="仿宋" w:hAnsi="仿宋" w:eastAsia="仿宋" w:cs="仿宋"/>
          <w:color w:val="000000" w:themeColor="text1"/>
          <w:sz w:val="32"/>
          <w:szCs w:val="32"/>
          <w14:textFill>
            <w14:solidFill>
              <w14:schemeClr w14:val="tx1"/>
            </w14:solidFill>
          </w14:textFill>
        </w:rPr>
        <w:t>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资金支付缓慢。</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：加快资金支付进度，增强人民的生活安全感。</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lang w:eastAsia="zh-CN"/>
          <w14:textFill>
            <w14:solidFill>
              <w14:schemeClr w14:val="tx1"/>
            </w14:solidFill>
          </w14:textFill>
        </w:rPr>
        <w:t>困难群众补助资金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96</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低保、特困、孤儿、残疾人两项补贴、临时救助、流浪乞讨人员救助人员补助水平偏底</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：补助水平和面有待提高。</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lang w:eastAsia="zh-CN"/>
          <w14:textFill>
            <w14:solidFill>
              <w14:schemeClr w14:val="tx1"/>
            </w14:solidFill>
          </w14:textFill>
        </w:rPr>
        <w:t>自治区民政事业发展转移支付</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94</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低保、特困、孤儿、残疾人两项补贴、临时救助、流浪乞讨人员救助人员补助水平偏底</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：补助水平和面有待提高。</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(23)</w:t>
      </w:r>
      <w:r>
        <w:rPr>
          <w:rFonts w:hint="eastAsia" w:ascii="仿宋" w:hAnsi="仿宋" w:eastAsia="仿宋" w:cs="仿宋"/>
          <w:color w:val="000000" w:themeColor="text1"/>
          <w:sz w:val="32"/>
          <w:szCs w:val="32"/>
          <w:lang w:eastAsia="zh-CN"/>
          <w14:textFill>
            <w14:solidFill>
              <w14:schemeClr w14:val="tx1"/>
            </w14:solidFill>
          </w14:textFill>
        </w:rPr>
        <w:t>老年福利儿童福利彩票公益金项</w:t>
      </w:r>
      <w:r>
        <w:rPr>
          <w:rFonts w:hint="eastAsia" w:ascii="仿宋" w:hAnsi="仿宋" w:eastAsia="仿宋" w:cs="仿宋"/>
          <w:color w:val="000000" w:themeColor="text1"/>
          <w:sz w:val="32"/>
          <w:szCs w:val="32"/>
          <w14:textFill>
            <w14:solidFill>
              <w14:schemeClr w14:val="tx1"/>
            </w14:solidFill>
          </w14:textFill>
        </w:rPr>
        <w:t>目自评得分为</w:t>
      </w:r>
      <w:r>
        <w:rPr>
          <w:rFonts w:hint="eastAsia" w:ascii="仿宋" w:hAnsi="仿宋" w:eastAsia="仿宋" w:cs="仿宋"/>
          <w:color w:val="000000" w:themeColor="text1"/>
          <w:sz w:val="32"/>
          <w:szCs w:val="32"/>
          <w:lang w:val="en-US" w:eastAsia="zh-CN"/>
          <w14:textFill>
            <w14:solidFill>
              <w14:schemeClr w14:val="tx1"/>
            </w14:solidFill>
          </w14:textFill>
        </w:rPr>
        <w:t>85.68</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养老服务项目推进慢，</w:t>
      </w:r>
      <w:r>
        <w:rPr>
          <w:rFonts w:hint="eastAsia" w:ascii="仿宋" w:hAnsi="仿宋" w:eastAsia="仿宋" w:cs="仿宋"/>
          <w:color w:val="000000" w:themeColor="text1"/>
          <w:sz w:val="32"/>
          <w:szCs w:val="32"/>
          <w:lang w:val="en-US" w:eastAsia="zh-CN"/>
          <w14:textFill>
            <w14:solidFill>
              <w14:schemeClr w14:val="tx1"/>
            </w14:solidFill>
          </w14:textFill>
        </w:rPr>
        <w:t>资金支付缓慢。项目内容和服务范围受限。</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：对项目的投入资金加大，养老服务机构的服务范围扩大，更好的服务人民群众。</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(24)</w:t>
      </w:r>
      <w:r>
        <w:rPr>
          <w:rFonts w:hint="eastAsia" w:ascii="仿宋" w:hAnsi="仿宋" w:eastAsia="仿宋" w:cs="仿宋"/>
          <w:color w:val="000000" w:themeColor="text1"/>
          <w:sz w:val="32"/>
          <w:szCs w:val="32"/>
          <w:lang w:eastAsia="zh-CN"/>
          <w14:textFill>
            <w14:solidFill>
              <w14:schemeClr w14:val="tx1"/>
            </w14:solidFill>
          </w14:textFill>
        </w:rPr>
        <w:t>自治区彩票公益金项</w:t>
      </w:r>
      <w:r>
        <w:rPr>
          <w:rFonts w:hint="eastAsia" w:ascii="仿宋" w:hAnsi="仿宋" w:eastAsia="仿宋" w:cs="仿宋"/>
          <w:color w:val="000000" w:themeColor="text1"/>
          <w:sz w:val="32"/>
          <w:szCs w:val="32"/>
          <w14:textFill>
            <w14:solidFill>
              <w14:schemeClr w14:val="tx1"/>
            </w14:solidFill>
          </w14:textFill>
        </w:rPr>
        <w:t>目自评得分为</w:t>
      </w:r>
      <w:r>
        <w:rPr>
          <w:rFonts w:hint="eastAsia" w:ascii="仿宋" w:hAnsi="仿宋" w:eastAsia="仿宋" w:cs="仿宋"/>
          <w:color w:val="000000" w:themeColor="text1"/>
          <w:sz w:val="32"/>
          <w:szCs w:val="32"/>
          <w:lang w:val="en-US" w:eastAsia="zh-CN"/>
          <w14:textFill>
            <w14:solidFill>
              <w14:schemeClr w14:val="tx1"/>
            </w14:solidFill>
          </w14:textFill>
        </w:rPr>
        <w:t>82.47</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养老服务项目推进慢，</w:t>
      </w:r>
      <w:r>
        <w:rPr>
          <w:rFonts w:hint="eastAsia" w:ascii="仿宋" w:hAnsi="仿宋" w:eastAsia="仿宋" w:cs="仿宋"/>
          <w:color w:val="000000" w:themeColor="text1"/>
          <w:sz w:val="32"/>
          <w:szCs w:val="32"/>
          <w:lang w:val="en-US" w:eastAsia="zh-CN"/>
          <w14:textFill>
            <w14:solidFill>
              <w14:schemeClr w14:val="tx1"/>
            </w14:solidFill>
          </w14:textFill>
        </w:rPr>
        <w:t>资金支付缓慢。项目内容和服务范围受限。</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：对项目的投入资金加大，养老服务机构的服务范围扩大，更好的服务人民群众。</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(25)</w:t>
      </w:r>
      <w:r>
        <w:rPr>
          <w:rFonts w:hint="eastAsia" w:ascii="仿宋" w:hAnsi="仿宋" w:eastAsia="仿宋" w:cs="仿宋"/>
          <w:color w:val="000000" w:themeColor="text1"/>
          <w:sz w:val="32"/>
          <w:szCs w:val="32"/>
          <w:lang w:eastAsia="zh-CN"/>
          <w14:textFill>
            <w14:solidFill>
              <w14:schemeClr w14:val="tx1"/>
            </w14:solidFill>
          </w14:textFill>
        </w:rPr>
        <w:t>中央困难群众救助资金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97.44</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低保、特困、孤儿、残疾人两项补贴、临时救助、流浪乞讨人员救助人员补助水平偏底</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：补助水平和面有待提高。</w:t>
      </w: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027C46BC"/>
    <w:multiLevelType w:val="singleLevel"/>
    <w:tmpl w:val="027C46BC"/>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lOThhZGYyY2FjZjJjMjI5NzIxMzhkYTBmNTI5ZWI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5DC66E4"/>
    <w:rsid w:val="07B0770E"/>
    <w:rsid w:val="08EE19B4"/>
    <w:rsid w:val="0942143F"/>
    <w:rsid w:val="0A8637E4"/>
    <w:rsid w:val="0B84210D"/>
    <w:rsid w:val="0D100297"/>
    <w:rsid w:val="0D202B45"/>
    <w:rsid w:val="0ECF52D1"/>
    <w:rsid w:val="0F8D4C87"/>
    <w:rsid w:val="10505FAA"/>
    <w:rsid w:val="105F7E7E"/>
    <w:rsid w:val="11E56B5B"/>
    <w:rsid w:val="125C77AB"/>
    <w:rsid w:val="1295443F"/>
    <w:rsid w:val="142C08A0"/>
    <w:rsid w:val="14C638DD"/>
    <w:rsid w:val="14CB726E"/>
    <w:rsid w:val="170E4165"/>
    <w:rsid w:val="17E92249"/>
    <w:rsid w:val="18D304F1"/>
    <w:rsid w:val="198B0CFD"/>
    <w:rsid w:val="19F32577"/>
    <w:rsid w:val="19F45B80"/>
    <w:rsid w:val="1B0C078D"/>
    <w:rsid w:val="1B2B31E2"/>
    <w:rsid w:val="1B4C295A"/>
    <w:rsid w:val="1B973C63"/>
    <w:rsid w:val="1BA1001E"/>
    <w:rsid w:val="1BAB25CE"/>
    <w:rsid w:val="1D0C0A9A"/>
    <w:rsid w:val="1D317259"/>
    <w:rsid w:val="1D6334B4"/>
    <w:rsid w:val="1E664F5B"/>
    <w:rsid w:val="1EAB6B83"/>
    <w:rsid w:val="1EB34BE1"/>
    <w:rsid w:val="1F3D078B"/>
    <w:rsid w:val="215E639F"/>
    <w:rsid w:val="21EC3183"/>
    <w:rsid w:val="225E72CD"/>
    <w:rsid w:val="22FC6D29"/>
    <w:rsid w:val="246E2F77"/>
    <w:rsid w:val="24A865B4"/>
    <w:rsid w:val="254B4E2B"/>
    <w:rsid w:val="283D7C94"/>
    <w:rsid w:val="29480E03"/>
    <w:rsid w:val="2983634D"/>
    <w:rsid w:val="2BB02055"/>
    <w:rsid w:val="2C575A56"/>
    <w:rsid w:val="2C9C6A23"/>
    <w:rsid w:val="2F257714"/>
    <w:rsid w:val="2F3275E5"/>
    <w:rsid w:val="30AA08EF"/>
    <w:rsid w:val="30D23D1C"/>
    <w:rsid w:val="31221CF5"/>
    <w:rsid w:val="31400178"/>
    <w:rsid w:val="321E3342"/>
    <w:rsid w:val="327759C8"/>
    <w:rsid w:val="33185FE3"/>
    <w:rsid w:val="34EE2E36"/>
    <w:rsid w:val="36681C8E"/>
    <w:rsid w:val="36777241"/>
    <w:rsid w:val="36D20EFB"/>
    <w:rsid w:val="38A951DB"/>
    <w:rsid w:val="38B31605"/>
    <w:rsid w:val="39003F4F"/>
    <w:rsid w:val="3C07002B"/>
    <w:rsid w:val="3D0D152A"/>
    <w:rsid w:val="3DE46FEA"/>
    <w:rsid w:val="3DF62756"/>
    <w:rsid w:val="3F1B7587"/>
    <w:rsid w:val="40A41B24"/>
    <w:rsid w:val="41E57B4F"/>
    <w:rsid w:val="42C104E5"/>
    <w:rsid w:val="432F26F6"/>
    <w:rsid w:val="43880F63"/>
    <w:rsid w:val="43A9744D"/>
    <w:rsid w:val="441C5A6F"/>
    <w:rsid w:val="44826404"/>
    <w:rsid w:val="44C44FCC"/>
    <w:rsid w:val="44CC7369"/>
    <w:rsid w:val="45371629"/>
    <w:rsid w:val="457F5108"/>
    <w:rsid w:val="45920E90"/>
    <w:rsid w:val="46113492"/>
    <w:rsid w:val="465A6BE7"/>
    <w:rsid w:val="46951B6B"/>
    <w:rsid w:val="47B836BA"/>
    <w:rsid w:val="48E9564E"/>
    <w:rsid w:val="49875490"/>
    <w:rsid w:val="49A34401"/>
    <w:rsid w:val="49C600F0"/>
    <w:rsid w:val="4A3E30AB"/>
    <w:rsid w:val="4AC14DAC"/>
    <w:rsid w:val="4D154C85"/>
    <w:rsid w:val="4EC8553A"/>
    <w:rsid w:val="508F4E24"/>
    <w:rsid w:val="50B74DA6"/>
    <w:rsid w:val="51461E90"/>
    <w:rsid w:val="51463753"/>
    <w:rsid w:val="52553A93"/>
    <w:rsid w:val="52F97788"/>
    <w:rsid w:val="53521F8B"/>
    <w:rsid w:val="53E22F47"/>
    <w:rsid w:val="54522FF8"/>
    <w:rsid w:val="55450629"/>
    <w:rsid w:val="56692963"/>
    <w:rsid w:val="568B0F48"/>
    <w:rsid w:val="5692375F"/>
    <w:rsid w:val="5786217B"/>
    <w:rsid w:val="59337A15"/>
    <w:rsid w:val="597E3549"/>
    <w:rsid w:val="59810274"/>
    <w:rsid w:val="59F83490"/>
    <w:rsid w:val="5A166DFC"/>
    <w:rsid w:val="5C1318BA"/>
    <w:rsid w:val="5CA96A00"/>
    <w:rsid w:val="5CCD1A06"/>
    <w:rsid w:val="5CF730BC"/>
    <w:rsid w:val="5D94691B"/>
    <w:rsid w:val="5E5F0DCE"/>
    <w:rsid w:val="5EA51974"/>
    <w:rsid w:val="5FA40A7B"/>
    <w:rsid w:val="5FD56D29"/>
    <w:rsid w:val="5FEC7F3F"/>
    <w:rsid w:val="60F74BC3"/>
    <w:rsid w:val="60F77D31"/>
    <w:rsid w:val="612A30E9"/>
    <w:rsid w:val="61403BAB"/>
    <w:rsid w:val="617D3BF8"/>
    <w:rsid w:val="61841F6A"/>
    <w:rsid w:val="623007A9"/>
    <w:rsid w:val="626F0367"/>
    <w:rsid w:val="637D2A5A"/>
    <w:rsid w:val="637D7558"/>
    <w:rsid w:val="644F19AC"/>
    <w:rsid w:val="64777DD4"/>
    <w:rsid w:val="65AA4920"/>
    <w:rsid w:val="66954876"/>
    <w:rsid w:val="67694F1E"/>
    <w:rsid w:val="69597934"/>
    <w:rsid w:val="6A5C678A"/>
    <w:rsid w:val="6B964DDC"/>
    <w:rsid w:val="6C783074"/>
    <w:rsid w:val="6C9224A7"/>
    <w:rsid w:val="6D9E65C6"/>
    <w:rsid w:val="6DA81947"/>
    <w:rsid w:val="6DBD1686"/>
    <w:rsid w:val="6E107A72"/>
    <w:rsid w:val="6E480FBA"/>
    <w:rsid w:val="6EB66DE2"/>
    <w:rsid w:val="6ED3075F"/>
    <w:rsid w:val="6F2A2D4B"/>
    <w:rsid w:val="6F8A0C1E"/>
    <w:rsid w:val="703F45D4"/>
    <w:rsid w:val="71010D4E"/>
    <w:rsid w:val="715D6546"/>
    <w:rsid w:val="71BE069E"/>
    <w:rsid w:val="73953409"/>
    <w:rsid w:val="73C53689"/>
    <w:rsid w:val="73E069A3"/>
    <w:rsid w:val="7538324B"/>
    <w:rsid w:val="77AD787C"/>
    <w:rsid w:val="78104AA8"/>
    <w:rsid w:val="78E257C5"/>
    <w:rsid w:val="794B35BE"/>
    <w:rsid w:val="7B0A3A31"/>
    <w:rsid w:val="7B2B3152"/>
    <w:rsid w:val="7B3360ED"/>
    <w:rsid w:val="7B5319F3"/>
    <w:rsid w:val="7BAF63E8"/>
    <w:rsid w:val="7BDF037E"/>
    <w:rsid w:val="7BF50948"/>
    <w:rsid w:val="7CE66A78"/>
    <w:rsid w:val="7D143986"/>
    <w:rsid w:val="7D23564C"/>
    <w:rsid w:val="7D5E062D"/>
    <w:rsid w:val="7DB5358E"/>
    <w:rsid w:val="7DF76CD8"/>
    <w:rsid w:val="7E2E3EDA"/>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35</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2023-11-24T08:06:04Z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