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环江毛南族自治县就业服务中心</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概况</w:t>
      </w:r>
    </w:p>
    <w:p>
      <w:pPr>
        <w:numPr>
          <w:ilvl w:val="0"/>
          <w:numId w:val="1"/>
        </w:num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主要职能</w:t>
      </w:r>
    </w:p>
    <w:p>
      <w:pPr>
        <w:numPr>
          <w:ilvl w:val="0"/>
          <w:numId w:val="1"/>
        </w:numPr>
        <w:ind w:left="0" w:leftChars="0" w:firstLine="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环江县就业服务中心基本</w:t>
      </w:r>
      <w:r>
        <w:rPr>
          <w:rFonts w:hint="eastAsia" w:ascii="黑体" w:hAnsi="黑体" w:eastAsia="黑体" w:cs="黑体"/>
          <w:b/>
          <w:bCs/>
          <w:sz w:val="32"/>
          <w:szCs w:val="32"/>
          <w:highlight w:val="none"/>
        </w:rPr>
        <w:t>概况</w:t>
      </w:r>
    </w:p>
    <w:p>
      <w:pPr>
        <w:numPr>
          <w:ilvl w:val="0"/>
          <w:numId w:val="2"/>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pPr>
        <w:numPr>
          <w:ilvl w:val="0"/>
          <w:numId w:val="0"/>
        </w:numPr>
        <w:tabs>
          <w:tab w:val="left" w:pos="651"/>
        </w:tabs>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ab/>
      </w:r>
      <w:r>
        <w:rPr>
          <w:rFonts w:hint="eastAsia" w:ascii="仿宋" w:hAnsi="仿宋" w:eastAsia="仿宋" w:cs="仿宋"/>
          <w:sz w:val="32"/>
          <w:szCs w:val="32"/>
        </w:rPr>
        <w:t>本部门主要职责是</w:t>
      </w:r>
      <w:r>
        <w:rPr>
          <w:rFonts w:hint="eastAsia" w:ascii="仿宋" w:hAnsi="仿宋" w:eastAsia="仿宋" w:cs="仿宋"/>
          <w:color w:val="333333"/>
          <w:sz w:val="32"/>
          <w:szCs w:val="32"/>
          <w:shd w:val="clear" w:color="auto" w:fill="FFFFFF"/>
        </w:rPr>
        <w:t>职业指导、职业介绍、求职登记、就业登记、失业登记、企业用工备案及职业供求信息发布、档案管理及劳动事务代理、农村富余劳动力有序转移就业、职业技能（创业）培训及公共就业服务信息网络的运行和管理、</w:t>
      </w:r>
      <w:r>
        <w:rPr>
          <w:rFonts w:hint="eastAsia" w:ascii="仿宋" w:hAnsi="仿宋" w:eastAsia="仿宋" w:cs="仿宋"/>
          <w:sz w:val="32"/>
          <w:szCs w:val="32"/>
        </w:rPr>
        <w:t>对就业困难人员实施就业援助，</w:t>
      </w:r>
      <w:r>
        <w:rPr>
          <w:rFonts w:hint="eastAsia" w:ascii="仿宋" w:hAnsi="仿宋" w:eastAsia="仿宋" w:cs="仿宋"/>
          <w:sz w:val="32"/>
          <w:szCs w:val="32"/>
          <w:lang w:val="en-US" w:eastAsia="zh-CN"/>
        </w:rPr>
        <w:t>开发公益性岗位、落实灵活就业困难人员社保补贴，</w:t>
      </w:r>
      <w:r>
        <w:rPr>
          <w:rFonts w:hint="eastAsia" w:ascii="仿宋" w:hAnsi="仿宋" w:eastAsia="仿宋" w:cs="仿宋"/>
          <w:sz w:val="32"/>
          <w:szCs w:val="32"/>
        </w:rPr>
        <w:t>对高校毕业生、农村转移劳动者等重点群体提供专门就业服务</w:t>
      </w:r>
      <w:r>
        <w:rPr>
          <w:rFonts w:hint="eastAsia" w:ascii="仿宋" w:hAnsi="仿宋" w:eastAsia="仿宋" w:cs="仿宋"/>
          <w:color w:val="333333"/>
          <w:sz w:val="32"/>
          <w:szCs w:val="32"/>
          <w:shd w:val="clear" w:color="auto" w:fill="FFFFFF"/>
        </w:rPr>
        <w:t>等。</w:t>
      </w:r>
    </w:p>
    <w:p>
      <w:pPr>
        <w:numPr>
          <w:ilvl w:val="0"/>
          <w:numId w:val="2"/>
        </w:numPr>
        <w:ind w:left="0" w:leftChars="0" w:firstLine="0" w:firstLineChars="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部门决算单位构成</w:t>
      </w:r>
    </w:p>
    <w:p>
      <w:pPr>
        <w:numPr>
          <w:ilvl w:val="0"/>
          <w:numId w:val="0"/>
        </w:numPr>
        <w:ind w:firstLine="640" w:firstLineChars="200"/>
        <w:jc w:val="left"/>
        <w:rPr>
          <w:rFonts w:hint="eastAsia" w:ascii="黑体" w:hAnsi="黑体" w:eastAsia="仿宋_GB2312"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环江毛南族自治县就业服务中心是财政全额拨款的参照公务员管理事业单位，单位编制人数共10人。2022</w:t>
      </w:r>
      <w:r>
        <w:rPr>
          <w:rFonts w:hint="eastAsia" w:ascii="仿宋_GB2312" w:eastAsia="仿宋_GB2312"/>
          <w:sz w:val="32"/>
          <w:szCs w:val="32"/>
          <w:lang w:val="en-US" w:eastAsia="zh-CN"/>
        </w:rPr>
        <w:t>年末在职人员12人，</w:t>
      </w:r>
      <w:r>
        <w:rPr>
          <w:rFonts w:hint="eastAsia" w:ascii="仿宋_GB2312" w:eastAsia="仿宋_GB2312"/>
          <w:sz w:val="32"/>
          <w:szCs w:val="32"/>
        </w:rPr>
        <w:t>人员编制总数为</w:t>
      </w:r>
      <w:r>
        <w:rPr>
          <w:rFonts w:hint="eastAsia" w:ascii="仿宋_GB2312" w:eastAsia="仿宋_GB2312"/>
          <w:sz w:val="32"/>
          <w:szCs w:val="32"/>
          <w:lang w:val="en-US" w:eastAsia="zh-CN"/>
        </w:rPr>
        <w:t>9</w:t>
      </w:r>
      <w:r>
        <w:rPr>
          <w:rFonts w:hint="eastAsia" w:ascii="仿宋_GB2312" w:eastAsia="仿宋_GB2312"/>
          <w:sz w:val="32"/>
          <w:szCs w:val="32"/>
        </w:rPr>
        <w:t>人，其中行政编制0人，参公事业编制</w:t>
      </w:r>
      <w:r>
        <w:rPr>
          <w:rFonts w:hint="eastAsia" w:ascii="仿宋_GB2312" w:eastAsia="仿宋_GB2312"/>
          <w:sz w:val="32"/>
          <w:szCs w:val="32"/>
          <w:lang w:val="en-US" w:eastAsia="zh-CN"/>
        </w:rPr>
        <w:t>9</w:t>
      </w:r>
      <w:r>
        <w:rPr>
          <w:rFonts w:hint="eastAsia" w:ascii="仿宋_GB2312" w:eastAsia="仿宋_GB2312"/>
          <w:sz w:val="32"/>
          <w:szCs w:val="32"/>
        </w:rPr>
        <w:t>人，机关后勤服务人员1人</w:t>
      </w:r>
      <w:r>
        <w:rPr>
          <w:rFonts w:hint="eastAsia" w:ascii="仿宋_GB2312" w:eastAsia="仿宋_GB2312"/>
          <w:sz w:val="32"/>
          <w:szCs w:val="32"/>
          <w:lang w:eastAsia="zh-CN"/>
        </w:rPr>
        <w:t>，聘用政府购买服务人员</w:t>
      </w:r>
      <w:r>
        <w:rPr>
          <w:rFonts w:hint="eastAsia" w:ascii="仿宋_GB2312" w:eastAsia="仿宋_GB2312"/>
          <w:sz w:val="32"/>
          <w:szCs w:val="32"/>
          <w:lang w:val="en-US" w:eastAsia="zh-CN"/>
        </w:rPr>
        <w:t>2人，退休人员2人</w:t>
      </w:r>
      <w:r>
        <w:rPr>
          <w:rFonts w:hint="eastAsia" w:ascii="仿宋_GB2312" w:eastAsia="仿宋_GB2312"/>
          <w:sz w:val="32"/>
          <w:szCs w:val="32"/>
        </w:rPr>
        <w:t>。</w:t>
      </w:r>
      <w:r>
        <w:rPr>
          <w:rFonts w:hint="eastAsia" w:ascii="仿宋_GB2312" w:eastAsia="仿宋_GB2312"/>
          <w:sz w:val="32"/>
          <w:szCs w:val="32"/>
          <w:lang w:eastAsia="zh-CN"/>
        </w:rPr>
        <w:t>年末</w:t>
      </w:r>
      <w:r>
        <w:rPr>
          <w:rFonts w:hint="eastAsia" w:ascii="仿宋_GB2312" w:eastAsia="仿宋_GB2312"/>
          <w:sz w:val="32"/>
          <w:szCs w:val="32"/>
        </w:rPr>
        <w:t>实有财政供养人数1</w:t>
      </w:r>
      <w:r>
        <w:rPr>
          <w:rFonts w:hint="eastAsia" w:ascii="仿宋_GB2312" w:eastAsia="仿宋_GB2312"/>
          <w:sz w:val="32"/>
          <w:szCs w:val="32"/>
          <w:lang w:val="en-US" w:eastAsia="zh-CN"/>
        </w:rPr>
        <w:t>5</w:t>
      </w:r>
      <w:r>
        <w:rPr>
          <w:rFonts w:hint="eastAsia" w:ascii="仿宋_GB2312" w:eastAsia="仿宋_GB2312"/>
          <w:sz w:val="32"/>
          <w:szCs w:val="32"/>
        </w:rPr>
        <w:t>人，其中行政在职0人，参公事业在职</w:t>
      </w:r>
      <w:r>
        <w:rPr>
          <w:rFonts w:hint="eastAsia" w:ascii="仿宋_GB2312" w:eastAsia="仿宋_GB2312"/>
          <w:sz w:val="32"/>
          <w:szCs w:val="32"/>
          <w:lang w:val="en-US" w:eastAsia="zh-CN"/>
        </w:rPr>
        <w:t>9</w:t>
      </w:r>
      <w:r>
        <w:rPr>
          <w:rFonts w:hint="eastAsia" w:ascii="仿宋_GB2312" w:eastAsia="仿宋_GB2312"/>
          <w:sz w:val="32"/>
          <w:szCs w:val="32"/>
        </w:rPr>
        <w:t>人，后勤控编在职人员1人</w:t>
      </w:r>
      <w:r>
        <w:rPr>
          <w:rFonts w:hint="eastAsia" w:ascii="仿宋_GB2312" w:eastAsia="仿宋_GB2312"/>
          <w:sz w:val="32"/>
          <w:szCs w:val="32"/>
          <w:lang w:val="en-US" w:eastAsia="zh-CN"/>
        </w:rPr>
        <w:t>，政府购买服务在职人员2人，退休人员2人，遗嘱补助1人。</w:t>
      </w:r>
      <w:r>
        <w:rPr>
          <w:rFonts w:hint="eastAsia" w:ascii="仿宋_GB2312" w:eastAsia="仿宋_GB2312"/>
          <w:sz w:val="32"/>
          <w:szCs w:val="32"/>
        </w:rPr>
        <w:t>本部门由</w:t>
      </w:r>
      <w:r>
        <w:rPr>
          <w:rFonts w:hint="eastAsia" w:ascii="仿宋_GB2312" w:eastAsia="仿宋_GB2312"/>
          <w:sz w:val="32"/>
          <w:szCs w:val="32"/>
          <w:lang w:eastAsia="zh-CN"/>
        </w:rPr>
        <w:t>主任办公室、综合股</w:t>
      </w:r>
      <w:r>
        <w:rPr>
          <w:rFonts w:hint="eastAsia" w:ascii="仿宋_GB2312" w:eastAsia="仿宋_GB2312"/>
          <w:sz w:val="32"/>
          <w:szCs w:val="32"/>
        </w:rPr>
        <w:t>、</w:t>
      </w:r>
      <w:r>
        <w:rPr>
          <w:rFonts w:hint="eastAsia" w:ascii="仿宋_GB2312" w:eastAsia="仿宋_GB2312"/>
          <w:sz w:val="32"/>
          <w:szCs w:val="32"/>
          <w:lang w:eastAsia="zh-CN"/>
        </w:rPr>
        <w:t>创业担保贷款办公室</w:t>
      </w:r>
      <w:r>
        <w:rPr>
          <w:rFonts w:hint="eastAsia" w:ascii="仿宋_GB2312" w:eastAsia="仿宋_GB2312"/>
          <w:sz w:val="32"/>
          <w:szCs w:val="32"/>
        </w:rPr>
        <w:t>、人力资源市场</w:t>
      </w:r>
      <w:r>
        <w:rPr>
          <w:rFonts w:hint="eastAsia" w:ascii="仿宋_GB2312" w:eastAsia="仿宋_GB2312"/>
          <w:sz w:val="32"/>
          <w:szCs w:val="32"/>
          <w:lang w:eastAsia="zh-CN"/>
        </w:rPr>
        <w:t>、</w:t>
      </w:r>
      <w:r>
        <w:rPr>
          <w:rFonts w:hint="eastAsia" w:ascii="仿宋_GB2312" w:eastAsia="仿宋_GB2312"/>
          <w:sz w:val="32"/>
          <w:szCs w:val="32"/>
          <w:lang w:val="en-US" w:eastAsia="zh-CN"/>
        </w:rPr>
        <w:t>企业</w:t>
      </w:r>
      <w:r>
        <w:rPr>
          <w:rFonts w:hint="eastAsia" w:ascii="仿宋_GB2312" w:eastAsia="仿宋_GB2312"/>
          <w:sz w:val="32"/>
          <w:szCs w:val="32"/>
          <w:lang w:eastAsia="zh-CN"/>
        </w:rPr>
        <w:t>人事档案管理</w:t>
      </w:r>
      <w:r>
        <w:rPr>
          <w:rFonts w:hint="eastAsia" w:ascii="仿宋_GB2312" w:eastAsia="仿宋_GB2312"/>
          <w:sz w:val="32"/>
          <w:szCs w:val="32"/>
          <w:lang w:val="en-US" w:eastAsia="zh-CN"/>
        </w:rPr>
        <w:t>5</w:t>
      </w:r>
      <w:r>
        <w:rPr>
          <w:rFonts w:hint="eastAsia" w:ascii="仿宋_GB2312" w:eastAsia="仿宋_GB2312"/>
          <w:sz w:val="32"/>
          <w:szCs w:val="32"/>
        </w:rPr>
        <w:t>个部门构成。</w:t>
      </w:r>
      <w:r>
        <w:rPr>
          <w:rFonts w:hint="eastAsia" w:ascii="仿宋_GB2312" w:hAnsi="仿宋_GB2312" w:eastAsia="仿宋_GB2312" w:cs="仿宋_GB2312"/>
          <w:color w:val="auto"/>
          <w:sz w:val="32"/>
          <w:szCs w:val="32"/>
        </w:rPr>
        <w:t>我部门没有下属单位，按照部门决算编报要求，单独编制本部门决算</w:t>
      </w:r>
      <w:r>
        <w:rPr>
          <w:rFonts w:hint="eastAsia" w:ascii="仿宋_GB2312" w:hAnsi="仿宋_GB2312" w:eastAsia="仿宋_GB2312" w:cs="仿宋_GB2312"/>
          <w:color w:val="auto"/>
          <w:sz w:val="32"/>
          <w:szCs w:val="32"/>
          <w:lang w:eastAsia="zh-CN"/>
        </w:rPr>
        <w:t>。</w:t>
      </w: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环江县就业服务中心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387.16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423.13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423.13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423.13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2.80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就业管理事务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其他人力资源和社会保障管理事务支出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247.65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247.65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474"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62"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423.13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155.49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267.65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就业管理事务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其他人力资源和社会保障管理事务支出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247.65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387.16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387.16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环江县就业服务中心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423.13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155.49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267.65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就业管理事务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其他人力资源和社会保障管理事务支出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247.65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10.51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38.08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0.31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0.21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10.51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10.87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1.61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7.16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143.67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11.81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Theme="majorEastAsia" w:hAnsiTheme="majorEastAsia" w:eastAsiaTheme="majorEastAsia" w:cstheme="majorEastAsia"/>
                <w:sz w:val="22"/>
                <w:szCs w:val="22"/>
                <w:lang w:val="en-US" w:eastAsia="zh-CN"/>
              </w:rPr>
              <w:t>解释说明:</w:t>
            </w:r>
            <w:r>
              <w:rPr>
                <w:rFonts w:hint="eastAsia" w:asciiTheme="majorEastAsia" w:hAnsiTheme="majorEastAsia" w:eastAsiaTheme="majorEastAsia" w:cstheme="majorEastAsia"/>
                <w:sz w:val="22"/>
                <w:szCs w:val="22"/>
                <w:lang w:eastAsia="zh-CN"/>
              </w:rPr>
              <w:t>本</w:t>
            </w:r>
            <w:r>
              <w:rPr>
                <w:rFonts w:hint="eastAsia" w:asciiTheme="majorEastAsia" w:hAnsiTheme="majorEastAsia" w:eastAsiaTheme="majorEastAsia" w:cstheme="majorEastAsia"/>
                <w:sz w:val="22"/>
                <w:szCs w:val="22"/>
                <w:lang w:val="en-US" w:eastAsia="zh-CN"/>
              </w:rPr>
              <w:t>部门2022年</w:t>
            </w:r>
            <w:r>
              <w:rPr>
                <w:rFonts w:hint="eastAsia" w:asciiTheme="majorEastAsia" w:hAnsiTheme="majorEastAsia" w:eastAsiaTheme="majorEastAsia" w:cstheme="majorEastAsia"/>
                <w:sz w:val="22"/>
                <w:szCs w:val="22"/>
              </w:rPr>
              <w:t>没有</w:t>
            </w:r>
            <w:r>
              <w:rPr>
                <w:rFonts w:hint="eastAsia" w:asciiTheme="majorEastAsia" w:hAnsiTheme="majorEastAsia" w:eastAsiaTheme="majorEastAsia" w:cstheme="majorEastAsia"/>
                <w:kern w:val="0"/>
                <w:sz w:val="22"/>
                <w:szCs w:val="22"/>
              </w:rPr>
              <w:t>政府性基金</w:t>
            </w:r>
            <w:r>
              <w:rPr>
                <w:rFonts w:hint="eastAsia" w:asciiTheme="majorEastAsia" w:hAnsiTheme="majorEastAsia" w:eastAsiaTheme="majorEastAsia" w:cstheme="majorEastAsia"/>
                <w:sz w:val="22"/>
                <w:szCs w:val="22"/>
              </w:rPr>
              <w:t>收入，也没有</w:t>
            </w:r>
            <w:r>
              <w:rPr>
                <w:rFonts w:hint="eastAsia" w:asciiTheme="majorEastAsia" w:hAnsiTheme="majorEastAsia" w:eastAsiaTheme="majorEastAsia" w:cstheme="majorEastAsia"/>
                <w:kern w:val="0"/>
                <w:sz w:val="22"/>
                <w:szCs w:val="22"/>
              </w:rPr>
              <w:t>政府性基金</w:t>
            </w:r>
            <w:r>
              <w:rPr>
                <w:rFonts w:hint="eastAsia" w:asciiTheme="majorEastAsia" w:hAnsiTheme="majorEastAsia" w:eastAsiaTheme="majorEastAsia" w:cstheme="majorEastAsia"/>
                <w:sz w:val="22"/>
                <w:szCs w:val="22"/>
              </w:rPr>
              <w:t>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widowControl/>
        <w:jc w:val="left"/>
        <w:rPr>
          <w:rFonts w:hint="eastAsia" w:asciiTheme="majorEastAsia" w:hAnsiTheme="majorEastAsia" w:eastAsiaTheme="majorEastAsia" w:cstheme="majorEastAsia"/>
          <w:b w:val="0"/>
          <w:bCs w:val="0"/>
          <w:kern w:val="0"/>
          <w:sz w:val="22"/>
          <w:szCs w:val="22"/>
        </w:rPr>
      </w:pPr>
      <w:r>
        <w:rPr>
          <w:rFonts w:hint="eastAsia" w:asciiTheme="majorEastAsia" w:hAnsiTheme="majorEastAsia" w:eastAsiaTheme="majorEastAsia" w:cstheme="majorEastAsia"/>
          <w:sz w:val="22"/>
          <w:szCs w:val="22"/>
          <w:lang w:val="en-US" w:eastAsia="zh-CN"/>
        </w:rPr>
        <w:t>解释说明:</w:t>
      </w:r>
      <w:r>
        <w:rPr>
          <w:rFonts w:hint="eastAsia" w:asciiTheme="majorEastAsia" w:hAnsiTheme="majorEastAsia" w:eastAsiaTheme="majorEastAsia" w:cstheme="majorEastAsia"/>
          <w:b w:val="0"/>
          <w:bCs w:val="0"/>
          <w:sz w:val="22"/>
          <w:szCs w:val="22"/>
          <w:lang w:eastAsia="zh-CN"/>
        </w:rPr>
        <w:t>本部门</w:t>
      </w:r>
      <w:r>
        <w:rPr>
          <w:rFonts w:hint="eastAsia" w:asciiTheme="majorEastAsia" w:hAnsiTheme="majorEastAsia" w:eastAsiaTheme="majorEastAsia" w:cstheme="majorEastAsia"/>
          <w:b w:val="0"/>
          <w:bCs w:val="0"/>
          <w:sz w:val="22"/>
          <w:szCs w:val="22"/>
          <w:lang w:val="en-US" w:eastAsia="zh-CN"/>
        </w:rPr>
        <w:t>2022年</w:t>
      </w:r>
      <w:r>
        <w:rPr>
          <w:rFonts w:hint="eastAsia" w:asciiTheme="majorEastAsia" w:hAnsiTheme="majorEastAsia" w:eastAsiaTheme="majorEastAsia" w:cstheme="majorEastAsia"/>
          <w:b w:val="0"/>
          <w:bCs w:val="0"/>
          <w:sz w:val="22"/>
          <w:szCs w:val="22"/>
        </w:rPr>
        <w:t>没有</w:t>
      </w:r>
      <w:r>
        <w:rPr>
          <w:rFonts w:hint="eastAsia" w:asciiTheme="majorEastAsia" w:hAnsiTheme="majorEastAsia" w:eastAsiaTheme="majorEastAsia" w:cstheme="majorEastAsia"/>
          <w:b w:val="0"/>
          <w:bCs w:val="0"/>
          <w:kern w:val="0"/>
          <w:sz w:val="22"/>
          <w:szCs w:val="22"/>
        </w:rPr>
        <w:t>国有资本经营预算财政拨款</w:t>
      </w:r>
      <w:r>
        <w:rPr>
          <w:rFonts w:hint="eastAsia" w:asciiTheme="majorEastAsia" w:hAnsiTheme="majorEastAsia" w:eastAsiaTheme="majorEastAsia" w:cstheme="majorEastAsia"/>
          <w:b w:val="0"/>
          <w:bCs w:val="0"/>
          <w:sz w:val="22"/>
          <w:szCs w:val="22"/>
        </w:rPr>
        <w:t>收入，也没有</w:t>
      </w:r>
      <w:r>
        <w:rPr>
          <w:rFonts w:hint="eastAsia" w:asciiTheme="majorEastAsia" w:hAnsiTheme="majorEastAsia" w:eastAsiaTheme="majorEastAsia" w:cstheme="majorEastAsia"/>
          <w:b w:val="0"/>
          <w:bCs w:val="0"/>
          <w:kern w:val="0"/>
          <w:sz w:val="22"/>
          <w:szCs w:val="22"/>
        </w:rPr>
        <w:t>国有资本经营预算财政拨款</w:t>
      </w:r>
      <w:r>
        <w:rPr>
          <w:rFonts w:hint="eastAsia" w:asciiTheme="majorEastAsia" w:hAnsiTheme="majorEastAsia" w:eastAsiaTheme="majorEastAsia" w:cstheme="majorEastAsia"/>
          <w:b w:val="0"/>
          <w:bCs w:val="0"/>
          <w:sz w:val="22"/>
          <w:szCs w:val="22"/>
        </w:rPr>
        <w:t>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0.74</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0.74</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0.74</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0.74</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2022年度</w:t>
      </w: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增加263.22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增长164.6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423.13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hint="eastAsia" w:ascii="仿宋" w:hAnsi="仿宋" w:eastAsia="仿宋" w:cs="仿宋"/>
          <w:sz w:val="32"/>
          <w:u w:color="auto"/>
          <w:lang w:val="en-US" w:eastAsia="zh-CN"/>
        </w:rPr>
        <w:t>增加263.22</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增长164.6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主要原因：上级加大农民工奖补资金投入、人员经费增加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sz w:val="32"/>
          <w:szCs w:val="32"/>
          <w:lang w:eastAsia="zh-CN"/>
        </w:rPr>
        <w:t>本</w:t>
      </w:r>
      <w:r>
        <w:rPr>
          <w:rFonts w:hint="eastAsia" w:ascii="仿宋" w:hAnsi="仿宋" w:eastAsia="仿宋" w:cs="仿宋"/>
          <w:sz w:val="32"/>
          <w:szCs w:val="32"/>
          <w:lang w:val="en-US" w:eastAsia="zh-CN"/>
        </w:rPr>
        <w:t>部门2022年</w:t>
      </w:r>
      <w:r>
        <w:rPr>
          <w:rFonts w:hint="eastAsia" w:ascii="仿宋" w:hAnsi="仿宋" w:eastAsia="仿宋" w:cs="仿宋"/>
          <w:sz w:val="32"/>
          <w:szCs w:val="32"/>
        </w:rPr>
        <w:t>没有</w:t>
      </w:r>
      <w:r>
        <w:rPr>
          <w:rFonts w:hint="eastAsia" w:ascii="仿宋" w:hAnsi="仿宋" w:eastAsia="仿宋" w:cs="仿宋"/>
          <w:kern w:val="0"/>
          <w:sz w:val="32"/>
          <w:szCs w:val="32"/>
        </w:rPr>
        <w:t>政府性基金</w:t>
      </w:r>
      <w:r>
        <w:rPr>
          <w:rFonts w:hint="eastAsia" w:ascii="仿宋" w:hAnsi="仿宋" w:eastAsia="仿宋" w:cs="仿宋"/>
          <w:sz w:val="32"/>
          <w:szCs w:val="32"/>
        </w:rPr>
        <w:t>收入，也没有</w:t>
      </w:r>
      <w:r>
        <w:rPr>
          <w:rFonts w:hint="eastAsia" w:ascii="仿宋" w:hAnsi="仿宋" w:eastAsia="仿宋" w:cs="仿宋"/>
          <w:kern w:val="0"/>
          <w:sz w:val="32"/>
          <w:szCs w:val="32"/>
        </w:rPr>
        <w:t>政府性基金</w:t>
      </w:r>
      <w:r>
        <w:rPr>
          <w:rFonts w:hint="eastAsia" w:ascii="仿宋" w:hAnsi="仿宋" w:eastAsia="仿宋" w:cs="仿宋"/>
          <w:sz w:val="32"/>
          <w:szCs w:val="32"/>
        </w:rPr>
        <w:t>安排的支出</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 w:val="0"/>
          <w:bCs w:val="0"/>
          <w:sz w:val="32"/>
          <w:szCs w:val="32"/>
          <w:lang w:eastAsia="zh-CN"/>
        </w:rPr>
        <w:t>本部门</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rPr>
        <w:t>没有</w:t>
      </w:r>
      <w:r>
        <w:rPr>
          <w:rFonts w:hint="eastAsia" w:ascii="仿宋" w:hAnsi="仿宋" w:eastAsia="仿宋" w:cs="仿宋"/>
          <w:b w:val="0"/>
          <w:bCs w:val="0"/>
          <w:kern w:val="0"/>
          <w:sz w:val="32"/>
          <w:szCs w:val="32"/>
        </w:rPr>
        <w:t>国有资本经营预算财政拨款</w:t>
      </w:r>
      <w:r>
        <w:rPr>
          <w:rFonts w:hint="eastAsia" w:ascii="仿宋" w:hAnsi="仿宋" w:eastAsia="仿宋" w:cs="仿宋"/>
          <w:b w:val="0"/>
          <w:bCs w:val="0"/>
          <w:sz w:val="32"/>
          <w:szCs w:val="32"/>
        </w:rPr>
        <w:t>收入，也没有</w:t>
      </w:r>
      <w:r>
        <w:rPr>
          <w:rFonts w:hint="eastAsia" w:ascii="仿宋" w:hAnsi="仿宋" w:eastAsia="仿宋" w:cs="仿宋"/>
          <w:b w:val="0"/>
          <w:bCs w:val="0"/>
          <w:kern w:val="0"/>
          <w:sz w:val="32"/>
          <w:szCs w:val="32"/>
        </w:rPr>
        <w:t>国有资本经营预算财政拨款</w:t>
      </w:r>
      <w:r>
        <w:rPr>
          <w:rFonts w:hint="eastAsia" w:ascii="仿宋" w:hAnsi="仿宋" w:eastAsia="仿宋" w:cs="仿宋"/>
          <w:b w:val="0"/>
          <w:bCs w:val="0"/>
          <w:sz w:val="32"/>
          <w:szCs w:val="32"/>
        </w:rPr>
        <w:t>安排的支出</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减少102.37</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19.48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387.16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kern w:val="0"/>
          <w:sz w:val="32"/>
          <w:szCs w:val="32"/>
          <w:lang w:eastAsia="zh-CN"/>
        </w:rPr>
        <w:t>人员经费、日常公用经费、职业技能培训工作经费、公共就业服务工作经费、农民工点对点输送包车费用，农村劳动力转移就业招聘会、农民工创业奖补、农民工创业就业工作其他支出等</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95.14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19.72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主要原因是：当年上级投入农民工奖补资金比以前年度结转结余结余资金少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10.51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kern w:val="0"/>
          <w:sz w:val="32"/>
          <w:szCs w:val="32"/>
        </w:rPr>
        <w:t>按照国家政策规定向职工发放的住房公积金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增长2.84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0"/>
          <w:sz w:val="32"/>
          <w:szCs w:val="32"/>
        </w:rPr>
        <w:t>主要原因是</w:t>
      </w:r>
      <w:r>
        <w:rPr>
          <w:rFonts w:hint="eastAsia" w:ascii="仿宋" w:hAnsi="仿宋" w:eastAsia="仿宋" w:cs="仿宋"/>
          <w:color w:val="auto"/>
          <w:kern w:val="0"/>
          <w:sz w:val="32"/>
          <w:szCs w:val="32"/>
          <w:lang w:eastAsia="zh-CN"/>
        </w:rPr>
        <w:t>上一年度在职人员平均工资较前一年提高</w:t>
      </w:r>
      <w:r>
        <w:rPr>
          <w:rFonts w:hint="eastAsia" w:ascii="仿宋" w:hAnsi="仿宋" w:eastAsia="仿宋" w:cs="仿宋"/>
          <w:color w:val="auto"/>
          <w:kern w:val="2"/>
          <w:sz w:val="32"/>
          <w:szCs w:val="32"/>
          <w:highlight w:val="none"/>
          <w:lang w:val="en-US" w:eastAsia="zh-CN" w:bidi="ar"/>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_GB2312" w:eastAsia="仿宋_GB2312" w:cs="仿宋_GB2312"/>
          <w:b w:val="0"/>
          <w:bCs w:val="0"/>
          <w:color w:val="auto"/>
          <w:kern w:val="0"/>
          <w:sz w:val="32"/>
          <w:szCs w:val="32"/>
          <w:lang w:val="en-US" w:eastAsia="zh-CN"/>
        </w:rPr>
        <w:t>3.其他支出（229）23.86万元，主要用于在职人员年度绩效考评奖金、在职在编人员伙食补助。</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val="en-US" w:eastAsia="zh-CN"/>
        </w:rPr>
        <w:t>减少9.11</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val="en-US" w:eastAsia="zh-CN"/>
        </w:rPr>
        <w:t>减少27.63</w:t>
      </w:r>
      <w:r>
        <w:rPr>
          <w:rFonts w:hint="eastAsia" w:ascii="仿宋" w:hAnsi="仿宋" w:eastAsia="仿宋" w:cs="仿宋"/>
          <w:spacing w:val="-3"/>
          <w:kern w:val="0"/>
          <w:sz w:val="32"/>
          <w:szCs w:val="32"/>
        </w:rPr>
        <w:t>%，</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在职人员</w:t>
      </w:r>
      <w:r>
        <w:rPr>
          <w:rFonts w:hint="eastAsia" w:ascii="仿宋" w:hAnsi="仿宋" w:eastAsia="仿宋" w:cs="仿宋"/>
          <w:kern w:val="0"/>
          <w:sz w:val="32"/>
          <w:szCs w:val="32"/>
          <w:lang w:val="en-US" w:eastAsia="zh-CN"/>
        </w:rPr>
        <w:t>绩效奖金一部分随工资发放不统计在本功能科目、当年伙食补助减少</w:t>
      </w:r>
      <w:r>
        <w:rPr>
          <w:rFonts w:hint="eastAsia" w:ascii="仿宋" w:hAnsi="仿宋" w:eastAsia="仿宋" w:cs="仿宋"/>
          <w:kern w:val="0"/>
          <w:sz w:val="32"/>
          <w:szCs w:val="32"/>
          <w:lang w:eastAsia="zh-CN"/>
        </w:rPr>
        <w:t>。</w:t>
      </w:r>
    </w:p>
    <w:p>
      <w:pPr>
        <w:autoSpaceDE w:val="0"/>
        <w:autoSpaceDN w:val="0"/>
        <w:adjustRightInd w:val="0"/>
        <w:spacing w:line="600" w:lineRule="exact"/>
        <w:ind w:firstLine="640" w:firstLineChars="200"/>
        <w:jc w:val="left"/>
        <w:rPr>
          <w:rFonts w:hint="default" w:ascii="仿宋_GB2312" w:eastAsia="仿宋_GB2312" w:cs="仿宋_GB2312"/>
          <w:b w:val="0"/>
          <w:bCs w:val="0"/>
          <w:color w:val="auto"/>
          <w:kern w:val="0"/>
          <w:sz w:val="32"/>
          <w:szCs w:val="32"/>
          <w:highlight w:val="yellow"/>
          <w:lang w:val="en-US" w:eastAsia="zh-CN"/>
        </w:rPr>
      </w:pPr>
      <w:r>
        <w:rPr>
          <w:rFonts w:hint="eastAsia" w:ascii="仿宋_GB2312" w:eastAsia="仿宋_GB2312" w:cs="仿宋_GB2312"/>
          <w:b w:val="0"/>
          <w:bCs w:val="0"/>
          <w:color w:val="auto"/>
          <w:kern w:val="0"/>
          <w:sz w:val="32"/>
          <w:szCs w:val="32"/>
          <w:highlight w:val="none"/>
          <w:lang w:val="en-US" w:eastAsia="zh-CN"/>
        </w:rPr>
        <w:t>4.一般公共服务</w:t>
      </w:r>
      <w:r>
        <w:rPr>
          <w:rFonts w:hint="eastAsia" w:ascii="仿宋" w:hAnsi="仿宋" w:eastAsia="仿宋" w:cs="仿宋"/>
          <w:color w:val="000000"/>
          <w:kern w:val="0"/>
          <w:sz w:val="32"/>
          <w:szCs w:val="32"/>
          <w:highlight w:val="none"/>
          <w:lang w:bidi="ar"/>
        </w:rPr>
        <w:t>其他群众团体事务支出</w:t>
      </w:r>
      <w:r>
        <w:rPr>
          <w:rFonts w:hint="eastAsia" w:ascii="仿宋_GB2312" w:eastAsia="仿宋_GB2312" w:cs="仿宋_GB2312"/>
          <w:b w:val="0"/>
          <w:bCs w:val="0"/>
          <w:color w:val="auto"/>
          <w:kern w:val="0"/>
          <w:sz w:val="32"/>
          <w:szCs w:val="32"/>
          <w:highlight w:val="none"/>
          <w:lang w:val="en-US" w:eastAsia="zh-CN"/>
        </w:rPr>
        <w:t>（201）1.61万元，</w:t>
      </w:r>
      <w:r>
        <w:rPr>
          <w:rFonts w:hint="eastAsia" w:ascii="仿宋" w:hAnsi="仿宋" w:eastAsia="仿宋" w:cs="仿宋"/>
          <w:b w:val="0"/>
          <w:bCs w:val="0"/>
          <w:color w:val="auto"/>
          <w:kern w:val="0"/>
          <w:sz w:val="32"/>
          <w:szCs w:val="32"/>
          <w:highlight w:val="none"/>
          <w:lang w:val="en-US" w:eastAsia="zh-CN"/>
        </w:rPr>
        <w:t>工会经费主要用于在职人员为职工服务和开展工会活动。</w:t>
      </w:r>
    </w:p>
    <w:p>
      <w:pPr>
        <w:autoSpaceDE w:val="0"/>
        <w:autoSpaceDN w:val="0"/>
        <w:adjustRightInd w:val="0"/>
        <w:spacing w:line="600" w:lineRule="exact"/>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spacing w:val="-3"/>
          <w:kern w:val="0"/>
          <w:sz w:val="32"/>
          <w:szCs w:val="32"/>
          <w:highlight w:val="none"/>
        </w:rPr>
        <w:t>较20</w:t>
      </w:r>
      <w:r>
        <w:rPr>
          <w:rFonts w:hint="eastAsia" w:ascii="仿宋" w:hAnsi="仿宋" w:eastAsia="仿宋" w:cs="仿宋"/>
          <w:color w:val="auto"/>
          <w:spacing w:val="-3"/>
          <w:kern w:val="0"/>
          <w:sz w:val="32"/>
          <w:szCs w:val="32"/>
          <w:highlight w:val="none"/>
          <w:lang w:val="en-US" w:eastAsia="zh-CN"/>
        </w:rPr>
        <w:t>21</w:t>
      </w:r>
      <w:r>
        <w:rPr>
          <w:rFonts w:hint="eastAsia" w:ascii="仿宋" w:hAnsi="仿宋" w:eastAsia="仿宋" w:cs="仿宋"/>
          <w:color w:val="auto"/>
          <w:spacing w:val="-3"/>
          <w:kern w:val="0"/>
          <w:sz w:val="32"/>
          <w:szCs w:val="32"/>
          <w:highlight w:val="none"/>
        </w:rPr>
        <w:t>年度决算数</w:t>
      </w:r>
      <w:r>
        <w:rPr>
          <w:rFonts w:hint="eastAsia" w:ascii="仿宋" w:hAnsi="仿宋" w:eastAsia="仿宋" w:cs="仿宋"/>
          <w:color w:val="auto"/>
          <w:spacing w:val="-3"/>
          <w:kern w:val="0"/>
          <w:sz w:val="32"/>
          <w:szCs w:val="32"/>
          <w:highlight w:val="none"/>
          <w:lang w:val="en-US" w:eastAsia="zh-CN"/>
        </w:rPr>
        <w:t>增加1.61</w:t>
      </w:r>
      <w:r>
        <w:rPr>
          <w:rFonts w:hint="eastAsia" w:ascii="仿宋" w:hAnsi="仿宋" w:eastAsia="仿宋" w:cs="仿宋"/>
          <w:color w:val="auto"/>
          <w:spacing w:val="-3"/>
          <w:kern w:val="0"/>
          <w:sz w:val="32"/>
          <w:szCs w:val="32"/>
          <w:highlight w:val="none"/>
        </w:rPr>
        <w:t>万元，</w:t>
      </w:r>
      <w:r>
        <w:rPr>
          <w:rFonts w:hint="eastAsia" w:ascii="仿宋" w:hAnsi="仿宋" w:eastAsia="仿宋" w:cs="仿宋"/>
          <w:color w:val="auto"/>
          <w:kern w:val="0"/>
          <w:sz w:val="32"/>
          <w:szCs w:val="32"/>
          <w:highlight w:val="none"/>
        </w:rPr>
        <w:t>主要原因是</w:t>
      </w:r>
      <w:r>
        <w:rPr>
          <w:rFonts w:hint="eastAsia" w:ascii="仿宋" w:hAnsi="仿宋" w:eastAsia="仿宋" w:cs="仿宋"/>
          <w:color w:val="auto"/>
          <w:kern w:val="0"/>
          <w:sz w:val="32"/>
          <w:szCs w:val="32"/>
          <w:highlight w:val="none"/>
          <w:lang w:val="en-US" w:eastAsia="zh-CN"/>
        </w:rPr>
        <w:t>单位工会经费以前年度不在本单位预算，通过局机关预算支出。</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71060" cy="2822575"/>
            <wp:effectExtent l="4445" t="4445" r="1079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102.37</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19.48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155.49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267.65</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131.59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423.13</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221.55</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highlight w:val="none"/>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119.36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387.16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224.36</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s="仿宋"/>
          <w:color w:val="auto"/>
          <w:kern w:val="2"/>
          <w:sz w:val="32"/>
          <w:szCs w:val="32"/>
          <w:highlight w:val="none"/>
          <w:lang w:val="en-US" w:eastAsia="zh-CN" w:bidi="ar"/>
        </w:rPr>
        <w:t>：人员经费增加、上级资金加大投入，农民工奖补资金项目开展规模扩大。</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在职在编人员单位机关养老缴费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新进人员单位机关养老增加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死亡抚恤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单位退休人员死亡</w:t>
            </w:r>
            <w:r>
              <w:rPr>
                <w:rFonts w:hint="eastAsia" w:ascii="宋体" w:hAnsi="宋体" w:eastAsia="宋体" w:cs="宋体"/>
                <w:i w:val="0"/>
                <w:iCs w:val="0"/>
                <w:color w:val="auto"/>
                <w:sz w:val="18"/>
                <w:szCs w:val="18"/>
                <w:highlight w:val="none"/>
                <w:u w:val="none"/>
                <w:lang w:val="en-US" w:eastAsia="zh-CN"/>
              </w:rPr>
              <w:t>丧葬费及抚恤</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退休死亡年初无预算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365.45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kern w:val="0"/>
                <w:sz w:val="18"/>
                <w:szCs w:val="18"/>
                <w:lang w:eastAsia="zh-CN"/>
              </w:rPr>
              <w:t>人员经费、日常公用经费、职业技能培训工作经费、公共就业服务工作经费、农民工点对点输送包车费用，农村劳动力转移就业招聘会、农民工创业奖补、农民工创业就业工作其他支出等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309"/>
              </w:tabs>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ab/>
            </w:r>
            <w:r>
              <w:rPr>
                <w:rFonts w:hint="eastAsia" w:ascii="宋体" w:hAnsi="宋体" w:eastAsia="宋体" w:cs="宋体"/>
                <w:i w:val="0"/>
                <w:iCs w:val="0"/>
                <w:color w:val="auto"/>
                <w:sz w:val="18"/>
                <w:szCs w:val="18"/>
                <w:highlight w:val="none"/>
                <w:u w:val="none"/>
                <w:lang w:val="en-US" w:eastAsia="zh-CN"/>
              </w:rPr>
              <w:t>上级增加农民工奖补资金投入，人员经费增加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132.18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highlight w:val="none"/>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10.62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10.51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98.96</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预决算差异</w:t>
      </w:r>
      <w:r>
        <w:rPr>
          <w:rFonts w:hint="eastAsia" w:ascii="仿宋" w:hAnsi="仿宋" w:eastAsia="仿宋"/>
          <w:color w:val="000000" w:themeColor="text1"/>
          <w:sz w:val="32"/>
          <w:szCs w:val="32"/>
          <w:highlight w:val="none"/>
          <w:lang w:val="en-US" w:eastAsia="zh-CN"/>
          <w14:textFill>
            <w14:solidFill>
              <w14:schemeClr w14:val="tx1"/>
            </w14:solidFill>
          </w14:textFill>
        </w:rPr>
        <w:t>原因：按照县财政局要求当年的在职人员公积金缴费基数沿用前一年的公积金缴费基数</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20"/>
                <w:szCs w:val="20"/>
              </w:rPr>
              <w:t>按照国家政策规定向职工发放的住房公积金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ajorEastAsia" w:hAnsiTheme="majorEastAsia" w:eastAsiaTheme="majorEastAsia" w:cstheme="majorEastAsia"/>
                <w:color w:val="000000" w:themeColor="text1"/>
                <w:sz w:val="20"/>
                <w:szCs w:val="20"/>
                <w:highlight w:val="none"/>
                <w:lang w:val="en-US" w:eastAsia="zh-CN"/>
                <w14:textFill>
                  <w14:solidFill>
                    <w14:schemeClr w14:val="tx1"/>
                  </w14:solidFill>
                </w14:textFill>
              </w:rPr>
              <w:t>当年的在职人员公积金缴费基数沿用前一年的公积金缴费基数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98.96%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155.49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143.67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11.81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132.8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25.85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人员经费增加。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38.08万元，30102津贴补贴18.74万元，30103奖金34.69万元，30106伙食补助费1.80万元，30107绩效工资0.00万元，30108机关事业单位基本养老保险缴费13.00万元，30110职工基本医疗保险缴费6.01万元，30111公务员医疗补助缴费0.00万元，30112其他社会保障缴费2.42万元，30113住房公积金10.51万元，30199其他工资福利支出7.56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40050"/>
            <wp:effectExtent l="4445" t="4445" r="16510" b="825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11.81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102.16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主要原因是：公用经费增加</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30201办公费0.31万元，30202印刷费0.04万元，30205水费0.21万元，30206电费0.44万元，30207邮电费1.51万元，30226劳务费0.43万元，30228工会经费1.61万元，30239其他交通费7.16万元，30299其他商品和服务支出0.05万元。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016250"/>
            <wp:effectExtent l="4445" t="4445" r="16510" b="825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10.87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4</w:t>
      </w:r>
      <w:r>
        <w:rPr>
          <w:rFonts w:hint="eastAsia" w:ascii="仿宋" w:hAnsi="仿宋" w:eastAsia="仿宋" w:cs="仿宋"/>
          <w:color w:val="auto"/>
          <w:sz w:val="32"/>
          <w:szCs w:val="32"/>
          <w:highlight w:val="none"/>
          <w:lang w:val="en-US" w:eastAsia="zh-CN"/>
        </w:rPr>
        <w:t>33.07</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预决算差异</w:t>
      </w:r>
      <w:r>
        <w:rPr>
          <w:rFonts w:hint="eastAsia" w:ascii="仿宋" w:hAnsi="仿宋" w:eastAsia="仿宋" w:cs="仿宋"/>
          <w:color w:val="auto"/>
          <w:kern w:val="2"/>
          <w:sz w:val="32"/>
          <w:szCs w:val="32"/>
          <w:highlight w:val="none"/>
          <w:lang w:val="en-US" w:eastAsia="zh-CN" w:bidi="ar"/>
        </w:rPr>
        <w:t>主要原因是：年中有单位退休人员死亡领取抚恤金。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30304抚恤金8.71万元，30305生活补助2.00万元，30309奖励金0.01万元，30399其他对个人和家庭的补助支出0.15万元。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501265"/>
            <wp:effectExtent l="4445" t="4445" r="16510" b="889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本单位无此项业务。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473960"/>
            <wp:effectExtent l="4445" t="4445" r="16510" b="1714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highlight w:val="none"/>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bookmarkStart w:id="6" w:name="_GoBack"/>
      <w:r>
        <w:rPr>
          <w:rFonts w:hint="eastAsia" w:ascii="仿宋" w:hAnsi="仿宋" w:eastAsia="仿宋" w:cs="仿宋"/>
          <w:sz w:val="32"/>
          <w:szCs w:val="32"/>
          <w:highlight w:val="none"/>
        </w:rPr>
        <w:drawing>
          <wp:inline distT="0" distB="0" distL="114300" distR="114300">
            <wp:extent cx="4474845" cy="2844800"/>
            <wp:effectExtent l="4445" t="4445" r="16510" b="82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本单位无此项业务。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环江县就业服务中心</w:t>
      </w:r>
      <w:r>
        <w:rPr>
          <w:rFonts w:ascii="仿宋_GB2312" w:hAnsi="仿宋_GB2312" w:eastAsia="仿宋_GB2312" w:cs="仿宋_GB2312"/>
          <w:color w:val="auto"/>
          <w:sz w:val="32"/>
          <w:highlight w:val="none"/>
          <w:u w:color="auto"/>
        </w:rPr>
        <w:t>没有政府性基金收入，也没有政府性基金收入安排的支出</w:t>
      </w:r>
      <w:r>
        <w:rPr>
          <w:rFonts w:hint="eastAsia" w:ascii="仿宋_GB2312" w:hAnsi="Times New Roman" w:eastAsia="仿宋_GB2312" w:cs="Times New Roman"/>
          <w:color w:val="auto"/>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lang w:val="en-US" w:eastAsia="zh-CN"/>
        </w:rPr>
        <w:t>环江县就业服务中心2022年度</w:t>
      </w:r>
      <w:r>
        <w:rPr>
          <w:rFonts w:ascii="仿宋_GB2312" w:hAnsi="仿宋_GB2312" w:eastAsia="仿宋_GB2312" w:cs="仿宋_GB2312"/>
          <w:color w:val="auto"/>
          <w:sz w:val="32"/>
          <w:u w:color="auto"/>
        </w:rPr>
        <w:t>没有国有资本经营预算收入，也没有国有资本经营预算</w:t>
      </w:r>
      <w:r>
        <w:rPr>
          <w:rFonts w:hint="eastAsia" w:ascii="仿宋_GB2312" w:hAnsi="Times New Roman" w:eastAsia="仿宋_GB2312" w:cs="Times New Roman"/>
          <w:color w:val="auto"/>
          <w:sz w:val="32"/>
          <w:szCs w:val="32"/>
        </w:rPr>
        <w:t>安排的支出</w:t>
      </w:r>
      <w:bookmarkEnd w:id="4"/>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0.74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56.92</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减少0.44</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主要原因是：当年公务接待费用未全部</w:t>
      </w:r>
      <w:r>
        <w:rPr>
          <w:rFonts w:hint="eastAsia" w:ascii="仿宋" w:hAnsi="仿宋" w:eastAsia="仿宋" w:cs="仿宋"/>
          <w:color w:val="auto"/>
          <w:kern w:val="2"/>
          <w:sz w:val="32"/>
          <w:szCs w:val="32"/>
          <w:highlight w:val="none"/>
          <w:lang w:val="en-US" w:eastAsia="zh-CN" w:bidi="ar"/>
        </w:rPr>
        <w:t>结清。</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0.74</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5"/>
        </w:num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原因是：本单位无</w:t>
      </w:r>
      <w:r>
        <w:rPr>
          <w:rFonts w:hint="eastAsia" w:ascii="仿宋" w:hAnsi="仿宋" w:eastAsia="仿宋" w:cs="仿宋"/>
          <w:sz w:val="32"/>
          <w:szCs w:val="32"/>
          <w:highlight w:val="none"/>
        </w:rPr>
        <w:t>因公出国</w:t>
      </w:r>
      <w:r>
        <w:rPr>
          <w:rFonts w:hint="eastAsia" w:ascii="仿宋" w:hAnsi="仿宋" w:eastAsia="仿宋" w:cs="仿宋"/>
          <w:sz w:val="32"/>
          <w:szCs w:val="32"/>
          <w:highlight w:val="none"/>
          <w:lang w:val="en-US" w:eastAsia="zh-CN"/>
        </w:rPr>
        <w:t>费用</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0.74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56.92</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减少0.44</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当年公务接待费用未全部</w:t>
      </w:r>
      <w:r>
        <w:rPr>
          <w:rFonts w:hint="eastAsia" w:ascii="仿宋" w:hAnsi="仿宋" w:eastAsia="仿宋" w:cs="仿宋"/>
          <w:color w:val="auto"/>
          <w:kern w:val="2"/>
          <w:sz w:val="32"/>
          <w:szCs w:val="32"/>
          <w:highlight w:val="none"/>
          <w:lang w:val="en-US" w:eastAsia="zh-CN" w:bidi="ar"/>
        </w:rPr>
        <w:t>结清。</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65</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highlight w:val="yellow"/>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11.81</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ascii="仿宋" w:hAnsi="仿宋" w:eastAsia="仿宋" w:cs="仿宋"/>
          <w:sz w:val="32"/>
          <w:szCs w:val="32"/>
          <w:highlight w:val="none"/>
        </w:rPr>
        <w:t>100%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2.27</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23.79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。主要原因是：人员编制数量增加</w:t>
      </w:r>
      <w:r>
        <w:rPr>
          <w:rFonts w:hint="eastAsia" w:ascii="仿宋" w:hAnsi="仿宋" w:eastAsia="仿宋" w:cs="仿宋"/>
          <w:color w:val="auto"/>
          <w:sz w:val="32"/>
          <w:szCs w:val="32"/>
          <w:highlight w:val="none"/>
          <w:lang w:val="en-US" w:eastAsia="zh-CN"/>
        </w:rPr>
        <w:t>1人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办公费增加0.24万元。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46.53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15.46</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31.08</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46.53</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46.53</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共涉及资金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190.30</w:t>
      </w:r>
      <w:r>
        <w:rPr>
          <w:rFonts w:hint="eastAsia" w:ascii="仿宋" w:hAnsi="仿宋" w:eastAsia="仿宋" w:cs="仿宋"/>
          <w:color w:val="000000" w:themeColor="text1"/>
          <w:sz w:val="32"/>
          <w:szCs w:val="32"/>
          <w:highlight w:val="none"/>
          <w14:textFill>
            <w14:solidFill>
              <w14:schemeClr w14:val="tx1"/>
            </w14:solidFill>
          </w14:textFill>
        </w:rPr>
        <w:t>万元，占一般公共预算项目支出总额的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1585.83</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auto"/>
          <w:sz w:val="32"/>
          <w:szCs w:val="32"/>
          <w:highlight w:val="none"/>
        </w:rPr>
        <w:t>组</w:t>
      </w:r>
      <w:r>
        <w:rPr>
          <w:rFonts w:hint="eastAsia" w:ascii="仿宋" w:hAnsi="仿宋" w:eastAsia="仿宋" w:cs="仿宋"/>
          <w:color w:val="000000" w:themeColor="text1"/>
          <w:sz w:val="32"/>
          <w:szCs w:val="32"/>
          <w14:textFill>
            <w14:solidFill>
              <w14:schemeClr w14:val="tx1"/>
            </w14:solidFill>
          </w14:textFill>
        </w:rPr>
        <w:t>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190.3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各项目指标完工率100%，达到预期效果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190.3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整体各项指标达到预期目标，资金用途效果明细。</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我部门根据年初设定的绩效目标，公共就业服务工作经费项目自评</w:t>
      </w:r>
      <w:r>
        <w:rPr>
          <w:rFonts w:hint="eastAsia" w:ascii="仿宋" w:hAnsi="仿宋" w:eastAsia="仿宋" w:cs="仿宋"/>
          <w:color w:val="000000" w:themeColor="text1"/>
          <w:sz w:val="32"/>
          <w:szCs w:val="32"/>
          <w:highlight w:val="none"/>
          <w14:textFill>
            <w14:solidFill>
              <w14:schemeClr w14:val="tx1"/>
            </w14:solidFill>
          </w14:textFill>
        </w:rPr>
        <w:t>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98</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发</w:t>
      </w:r>
      <w:r>
        <w:rPr>
          <w:rFonts w:hint="eastAsia" w:ascii="仿宋" w:hAnsi="仿宋" w:eastAsia="仿宋" w:cs="仿宋"/>
          <w:color w:val="000000" w:themeColor="text1"/>
          <w:sz w:val="32"/>
          <w:szCs w:val="32"/>
          <w14:textFill>
            <w14:solidFill>
              <w14:schemeClr w14:val="tx1"/>
            </w14:solidFill>
          </w14:textFill>
        </w:rPr>
        <w:t>现的主要问题及原因：一是</w:t>
      </w:r>
      <w:r>
        <w:rPr>
          <w:rFonts w:hint="eastAsia" w:ascii="仿宋" w:hAnsi="仿宋" w:eastAsia="仿宋" w:cs="仿宋"/>
          <w:color w:val="000000" w:themeColor="text1"/>
          <w:sz w:val="32"/>
          <w:szCs w:val="32"/>
          <w:lang w:val="en-US" w:eastAsia="zh-CN"/>
          <w14:textFill>
            <w14:solidFill>
              <w14:schemeClr w14:val="tx1"/>
            </w14:solidFill>
          </w14:textFill>
        </w:rPr>
        <w:t>数量指标</w:t>
      </w:r>
      <w:r>
        <w:rPr>
          <w:rFonts w:hint="eastAsia" w:ascii="仿宋" w:hAnsi="仿宋" w:eastAsia="仿宋" w:cs="仿宋"/>
          <w:color w:val="000000" w:themeColor="text1"/>
          <w:sz w:val="32"/>
          <w:szCs w:val="32"/>
          <w14:textFill>
            <w14:solidFill>
              <w14:schemeClr w14:val="tx1"/>
            </w14:solidFill>
          </w14:textFill>
        </w:rPr>
        <w:t>目标设定值偏低，实际开展过程大于目标值；二是</w:t>
      </w:r>
      <w:r>
        <w:rPr>
          <w:rFonts w:hint="eastAsia" w:ascii="仿宋" w:hAnsi="仿宋" w:eastAsia="仿宋" w:cs="仿宋"/>
          <w:color w:val="000000" w:themeColor="text1"/>
          <w:sz w:val="32"/>
          <w:szCs w:val="32"/>
          <w:lang w:val="en-US" w:eastAsia="zh-CN"/>
          <w14:textFill>
            <w14:solidFill>
              <w14:schemeClr w14:val="tx1"/>
            </w14:solidFill>
          </w14:textFill>
        </w:rPr>
        <w:t>成本指标偏低</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提高数量指标</w:t>
      </w:r>
      <w:r>
        <w:rPr>
          <w:rFonts w:hint="eastAsia" w:ascii="仿宋" w:hAnsi="仿宋" w:eastAsia="仿宋" w:cs="仿宋"/>
          <w:color w:val="000000" w:themeColor="text1"/>
          <w:sz w:val="32"/>
          <w:szCs w:val="32"/>
          <w14:textFill>
            <w14:solidFill>
              <w14:schemeClr w14:val="tx1"/>
            </w14:solidFill>
          </w14:textFill>
        </w:rPr>
        <w:t>目标设定值；二是</w:t>
      </w:r>
      <w:r>
        <w:rPr>
          <w:rFonts w:hint="eastAsia" w:ascii="仿宋" w:hAnsi="仿宋" w:eastAsia="仿宋" w:cs="仿宋"/>
          <w:color w:val="000000" w:themeColor="text1"/>
          <w:sz w:val="32"/>
          <w:szCs w:val="32"/>
          <w:lang w:val="en-US" w:eastAsia="zh-CN"/>
          <w14:textFill>
            <w14:solidFill>
              <w14:schemeClr w14:val="tx1"/>
            </w14:solidFill>
          </w14:textFill>
        </w:rPr>
        <w:t>提高成本指标</w:t>
      </w:r>
      <w:r>
        <w:rPr>
          <w:rFonts w:hint="eastAsia" w:ascii="仿宋" w:hAnsi="仿宋" w:eastAsia="仿宋" w:cs="仿宋"/>
          <w:color w:val="000000" w:themeColor="text1"/>
          <w:sz w:val="32"/>
          <w:szCs w:val="32"/>
          <w14:textFill>
            <w14:solidFill>
              <w14:schemeClr w14:val="tx1"/>
            </w14:solidFill>
          </w14:textFill>
        </w:rPr>
        <w:t>。职业技能培训工作经费项目自评得分为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97.14</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val="en-US" w:eastAsia="zh-CN"/>
          <w14:textFill>
            <w14:solidFill>
              <w14:schemeClr w14:val="tx1"/>
            </w14:solidFill>
          </w14:textFill>
        </w:rPr>
        <w:t>数量指标</w:t>
      </w:r>
      <w:r>
        <w:rPr>
          <w:rFonts w:hint="eastAsia" w:ascii="仿宋" w:hAnsi="仿宋" w:eastAsia="仿宋" w:cs="仿宋"/>
          <w:color w:val="000000" w:themeColor="text1"/>
          <w:sz w:val="32"/>
          <w:szCs w:val="32"/>
          <w14:textFill>
            <w14:solidFill>
              <w14:schemeClr w14:val="tx1"/>
            </w14:solidFill>
          </w14:textFill>
        </w:rPr>
        <w:t>目标设定值偏</w:t>
      </w:r>
      <w:r>
        <w:rPr>
          <w:rFonts w:hint="eastAsia" w:ascii="仿宋" w:hAnsi="仿宋" w:eastAsia="仿宋" w:cs="仿宋"/>
          <w:color w:val="000000" w:themeColor="text1"/>
          <w:sz w:val="32"/>
          <w:szCs w:val="32"/>
          <w:lang w:val="en-US" w:eastAsia="zh-CN"/>
          <w14:textFill>
            <w14:solidFill>
              <w14:schemeClr w14:val="tx1"/>
            </w14:solidFill>
          </w14:textFill>
        </w:rPr>
        <w:t>高</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成本指标偏低</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降低数量指标</w:t>
      </w:r>
      <w:r>
        <w:rPr>
          <w:rFonts w:hint="eastAsia" w:ascii="仿宋" w:hAnsi="仿宋" w:eastAsia="仿宋" w:cs="仿宋"/>
          <w:color w:val="000000" w:themeColor="text1"/>
          <w:sz w:val="32"/>
          <w:szCs w:val="32"/>
          <w14:textFill>
            <w14:solidFill>
              <w14:schemeClr w14:val="tx1"/>
            </w14:solidFill>
          </w14:textFill>
        </w:rPr>
        <w:t>目标设定值；二是</w:t>
      </w:r>
      <w:r>
        <w:rPr>
          <w:rFonts w:hint="eastAsia" w:ascii="仿宋" w:hAnsi="仿宋" w:eastAsia="仿宋" w:cs="仿宋"/>
          <w:color w:val="000000" w:themeColor="text1"/>
          <w:sz w:val="32"/>
          <w:szCs w:val="32"/>
          <w:lang w:val="en-US" w:eastAsia="zh-CN"/>
          <w14:textFill>
            <w14:solidFill>
              <w14:schemeClr w14:val="tx1"/>
            </w14:solidFill>
          </w14:textFill>
        </w:rPr>
        <w:t>提高成本指标</w:t>
      </w:r>
      <w:r>
        <w:rPr>
          <w:rFonts w:hint="eastAsia" w:ascii="仿宋" w:hAnsi="仿宋" w:eastAsia="仿宋" w:cs="仿宋"/>
          <w:color w:val="000000" w:themeColor="text1"/>
          <w:sz w:val="32"/>
          <w:szCs w:val="32"/>
          <w14:textFill>
            <w14:solidFill>
              <w14:schemeClr w14:val="tx1"/>
            </w14:solidFill>
          </w14:textFill>
        </w:rPr>
        <w:t>。零工市场装修费用项目自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96.68</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资金拨付及时率不够</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工作人员少，群众满意度不够</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提高资金拨付及时率</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增加工作人员数量，提高工作效率</w:t>
      </w:r>
      <w:r>
        <w:rPr>
          <w:rFonts w:hint="eastAsia" w:ascii="仿宋" w:hAnsi="仿宋" w:eastAsia="仿宋" w:cs="仿宋"/>
          <w:color w:val="000000" w:themeColor="text1"/>
          <w:sz w:val="32"/>
          <w:szCs w:val="32"/>
          <w14:textFill>
            <w14:solidFill>
              <w14:schemeClr w14:val="tx1"/>
            </w14:solidFill>
          </w14:textFill>
        </w:rPr>
        <w:t>。奖励性补贴项目自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满意度指标目标设定值不合理。</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合理设定满意度指标值。</w:t>
      </w:r>
      <w:r>
        <w:rPr>
          <w:rFonts w:hint="eastAsia" w:ascii="仿宋" w:hAnsi="仿宋" w:eastAsia="仿宋" w:cs="仿宋"/>
          <w:color w:val="000000" w:themeColor="text1"/>
          <w:sz w:val="32"/>
          <w:szCs w:val="32"/>
          <w14:textFill>
            <w14:solidFill>
              <w14:schemeClr w14:val="tx1"/>
            </w14:solidFill>
          </w14:textFill>
        </w:rPr>
        <w:t>农民工奖补资金项目自评得分</w:t>
      </w:r>
      <w:r>
        <w:rPr>
          <w:rFonts w:hint="eastAsia" w:ascii="仿宋" w:hAnsi="仿宋" w:eastAsia="仿宋" w:cs="仿宋"/>
          <w:color w:val="000000" w:themeColor="text1"/>
          <w:sz w:val="32"/>
          <w:szCs w:val="32"/>
          <w:highlight w:val="none"/>
          <w14:textFill>
            <w14:solidFill>
              <w14:schemeClr w14:val="tx1"/>
            </w14:solidFill>
          </w14:textFill>
        </w:rPr>
        <w:t>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99.59</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发现的主要问题及原因：一是</w:t>
      </w:r>
      <w:r>
        <w:rPr>
          <w:rFonts w:hint="eastAsia" w:ascii="仿宋" w:hAnsi="仿宋" w:eastAsia="仿宋" w:cs="仿宋"/>
          <w:color w:val="000000" w:themeColor="text1"/>
          <w:sz w:val="32"/>
          <w:szCs w:val="32"/>
          <w:lang w:val="en-US" w:eastAsia="zh-CN"/>
          <w14:textFill>
            <w14:solidFill>
              <w14:schemeClr w14:val="tx1"/>
            </w14:solidFill>
          </w14:textFill>
        </w:rPr>
        <w:t>质量指标设定不合理</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经济效益指标设定不合理</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合理设定质量指标</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合理设定经济效益指标。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13D3"/>
    <w:multiLevelType w:val="singleLevel"/>
    <w:tmpl w:val="952E13D3"/>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B769EDD1"/>
    <w:multiLevelType w:val="singleLevel"/>
    <w:tmpl w:val="B769EDD1"/>
    <w:lvl w:ilvl="0" w:tentative="0">
      <w:start w:val="1"/>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4">
    <w:nsid w:val="2FB46B0B"/>
    <w:multiLevelType w:val="singleLevel"/>
    <w:tmpl w:val="2FB46B0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E4C8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53B99"/>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11F19"/>
    <w:rsid w:val="00F21455"/>
    <w:rsid w:val="00F5354B"/>
    <w:rsid w:val="00F95135"/>
    <w:rsid w:val="00F9658C"/>
    <w:rsid w:val="00F978FD"/>
    <w:rsid w:val="00FA738E"/>
    <w:rsid w:val="00FC438B"/>
    <w:rsid w:val="00FE6A97"/>
    <w:rsid w:val="01234E98"/>
    <w:rsid w:val="015F1951"/>
    <w:rsid w:val="01FE3350"/>
    <w:rsid w:val="020C171D"/>
    <w:rsid w:val="0216715F"/>
    <w:rsid w:val="02E0291A"/>
    <w:rsid w:val="030F2294"/>
    <w:rsid w:val="03C304DB"/>
    <w:rsid w:val="03E147EA"/>
    <w:rsid w:val="03EA7678"/>
    <w:rsid w:val="04E54546"/>
    <w:rsid w:val="051B106F"/>
    <w:rsid w:val="05992762"/>
    <w:rsid w:val="059C4161"/>
    <w:rsid w:val="06C8772F"/>
    <w:rsid w:val="06CB49BC"/>
    <w:rsid w:val="06FA6082"/>
    <w:rsid w:val="072C64D0"/>
    <w:rsid w:val="07B0770E"/>
    <w:rsid w:val="07DF75F9"/>
    <w:rsid w:val="07F1113C"/>
    <w:rsid w:val="082E7378"/>
    <w:rsid w:val="08F875BE"/>
    <w:rsid w:val="0942143F"/>
    <w:rsid w:val="0A7D2AC7"/>
    <w:rsid w:val="0B1600C0"/>
    <w:rsid w:val="0B856175"/>
    <w:rsid w:val="0BB978C9"/>
    <w:rsid w:val="0C1B782D"/>
    <w:rsid w:val="0C3762E1"/>
    <w:rsid w:val="0C892520"/>
    <w:rsid w:val="0D100297"/>
    <w:rsid w:val="0D157B86"/>
    <w:rsid w:val="0D202B45"/>
    <w:rsid w:val="0D781E29"/>
    <w:rsid w:val="0DE94C76"/>
    <w:rsid w:val="0E0B5A07"/>
    <w:rsid w:val="0E411141"/>
    <w:rsid w:val="0E4C5449"/>
    <w:rsid w:val="0EA61216"/>
    <w:rsid w:val="0F5D2F8C"/>
    <w:rsid w:val="0F8D4C87"/>
    <w:rsid w:val="0FD46404"/>
    <w:rsid w:val="104222BC"/>
    <w:rsid w:val="104F06FD"/>
    <w:rsid w:val="10505FAA"/>
    <w:rsid w:val="105F7E7E"/>
    <w:rsid w:val="112C24F8"/>
    <w:rsid w:val="11527EFA"/>
    <w:rsid w:val="11E56B5B"/>
    <w:rsid w:val="125C77AB"/>
    <w:rsid w:val="13176561"/>
    <w:rsid w:val="132A006D"/>
    <w:rsid w:val="136E6F70"/>
    <w:rsid w:val="14162C01"/>
    <w:rsid w:val="147D712D"/>
    <w:rsid w:val="14CB726E"/>
    <w:rsid w:val="14E43A4E"/>
    <w:rsid w:val="152C48AD"/>
    <w:rsid w:val="170E4165"/>
    <w:rsid w:val="176645F2"/>
    <w:rsid w:val="17E92249"/>
    <w:rsid w:val="183C554F"/>
    <w:rsid w:val="18D304F1"/>
    <w:rsid w:val="19F32577"/>
    <w:rsid w:val="19F45B80"/>
    <w:rsid w:val="1A517EB7"/>
    <w:rsid w:val="1B00735C"/>
    <w:rsid w:val="1B0C078D"/>
    <w:rsid w:val="1B2B31E2"/>
    <w:rsid w:val="1B4C295A"/>
    <w:rsid w:val="1B973C63"/>
    <w:rsid w:val="1BA1001E"/>
    <w:rsid w:val="1C1B73F4"/>
    <w:rsid w:val="1CA93E95"/>
    <w:rsid w:val="1D1B0A78"/>
    <w:rsid w:val="1D317259"/>
    <w:rsid w:val="1D6334B4"/>
    <w:rsid w:val="1DE13B91"/>
    <w:rsid w:val="1E664F5B"/>
    <w:rsid w:val="1E76570A"/>
    <w:rsid w:val="1E7D5094"/>
    <w:rsid w:val="1E9F0ACC"/>
    <w:rsid w:val="1EB34BE1"/>
    <w:rsid w:val="1F3D76D1"/>
    <w:rsid w:val="1F4202D5"/>
    <w:rsid w:val="1F582479"/>
    <w:rsid w:val="1FA07AC4"/>
    <w:rsid w:val="202B1383"/>
    <w:rsid w:val="2080575F"/>
    <w:rsid w:val="2141581D"/>
    <w:rsid w:val="215E639F"/>
    <w:rsid w:val="21D6028F"/>
    <w:rsid w:val="21DD569B"/>
    <w:rsid w:val="21EC3183"/>
    <w:rsid w:val="22274816"/>
    <w:rsid w:val="225E72CD"/>
    <w:rsid w:val="23064FC4"/>
    <w:rsid w:val="23D941DC"/>
    <w:rsid w:val="241430A6"/>
    <w:rsid w:val="24395122"/>
    <w:rsid w:val="24412907"/>
    <w:rsid w:val="246E2F77"/>
    <w:rsid w:val="24FD716B"/>
    <w:rsid w:val="250207C6"/>
    <w:rsid w:val="250B3654"/>
    <w:rsid w:val="254B4E2B"/>
    <w:rsid w:val="25BE0B79"/>
    <w:rsid w:val="25D4529B"/>
    <w:rsid w:val="265E5200"/>
    <w:rsid w:val="26AC4399"/>
    <w:rsid w:val="26E25459"/>
    <w:rsid w:val="2762122A"/>
    <w:rsid w:val="281C3EDC"/>
    <w:rsid w:val="283943DA"/>
    <w:rsid w:val="283D7C94"/>
    <w:rsid w:val="29480E03"/>
    <w:rsid w:val="295C266A"/>
    <w:rsid w:val="2983634D"/>
    <w:rsid w:val="29B042F2"/>
    <w:rsid w:val="29BC3988"/>
    <w:rsid w:val="2A663846"/>
    <w:rsid w:val="2B9C4B6B"/>
    <w:rsid w:val="2BB02055"/>
    <w:rsid w:val="2C14155E"/>
    <w:rsid w:val="2C575A56"/>
    <w:rsid w:val="2C970D19"/>
    <w:rsid w:val="2D901394"/>
    <w:rsid w:val="2D9D35E3"/>
    <w:rsid w:val="2E452AF7"/>
    <w:rsid w:val="2F257714"/>
    <w:rsid w:val="2F2F04F6"/>
    <w:rsid w:val="2F316777"/>
    <w:rsid w:val="2F3275E5"/>
    <w:rsid w:val="300F55E6"/>
    <w:rsid w:val="30AA08EF"/>
    <w:rsid w:val="30D23D1C"/>
    <w:rsid w:val="31221CF5"/>
    <w:rsid w:val="31283B34"/>
    <w:rsid w:val="31400178"/>
    <w:rsid w:val="320B79AA"/>
    <w:rsid w:val="32144B1C"/>
    <w:rsid w:val="321E3342"/>
    <w:rsid w:val="32265FD5"/>
    <w:rsid w:val="32291158"/>
    <w:rsid w:val="327759C8"/>
    <w:rsid w:val="32981040"/>
    <w:rsid w:val="33185FE3"/>
    <w:rsid w:val="33DA6921"/>
    <w:rsid w:val="34CE04B2"/>
    <w:rsid w:val="34EE2E36"/>
    <w:rsid w:val="36777241"/>
    <w:rsid w:val="3728158B"/>
    <w:rsid w:val="37306998"/>
    <w:rsid w:val="379963C7"/>
    <w:rsid w:val="37BB73D8"/>
    <w:rsid w:val="38A951DB"/>
    <w:rsid w:val="38B31605"/>
    <w:rsid w:val="39003F4F"/>
    <w:rsid w:val="39654356"/>
    <w:rsid w:val="3C07002B"/>
    <w:rsid w:val="3C595690"/>
    <w:rsid w:val="3C6A11AE"/>
    <w:rsid w:val="3D0D152A"/>
    <w:rsid w:val="3DAE0540"/>
    <w:rsid w:val="3DBA1DD5"/>
    <w:rsid w:val="3DEE3528"/>
    <w:rsid w:val="3DF62756"/>
    <w:rsid w:val="3F1B7587"/>
    <w:rsid w:val="3F925FDB"/>
    <w:rsid w:val="401B2838"/>
    <w:rsid w:val="408A636F"/>
    <w:rsid w:val="40D62F6B"/>
    <w:rsid w:val="41B525D9"/>
    <w:rsid w:val="41E57B4F"/>
    <w:rsid w:val="421A5B81"/>
    <w:rsid w:val="426A1C15"/>
    <w:rsid w:val="42831D2D"/>
    <w:rsid w:val="42D94CBD"/>
    <w:rsid w:val="43057FD9"/>
    <w:rsid w:val="432F26F6"/>
    <w:rsid w:val="43880F63"/>
    <w:rsid w:val="441B3B85"/>
    <w:rsid w:val="441C5A6F"/>
    <w:rsid w:val="44C44FCC"/>
    <w:rsid w:val="44CC7369"/>
    <w:rsid w:val="454F78C2"/>
    <w:rsid w:val="457F5108"/>
    <w:rsid w:val="45985D5A"/>
    <w:rsid w:val="46516B0B"/>
    <w:rsid w:val="465374F0"/>
    <w:rsid w:val="4676711C"/>
    <w:rsid w:val="46951B6B"/>
    <w:rsid w:val="47147368"/>
    <w:rsid w:val="48622EB7"/>
    <w:rsid w:val="48862907"/>
    <w:rsid w:val="49A34401"/>
    <w:rsid w:val="49B95283"/>
    <w:rsid w:val="4A3E30AB"/>
    <w:rsid w:val="4A7F3D47"/>
    <w:rsid w:val="4AB1581B"/>
    <w:rsid w:val="4AC14DAC"/>
    <w:rsid w:val="4AE118AE"/>
    <w:rsid w:val="4B2D7363"/>
    <w:rsid w:val="4BEB0DFC"/>
    <w:rsid w:val="4BFB4538"/>
    <w:rsid w:val="4C816588"/>
    <w:rsid w:val="4C854B28"/>
    <w:rsid w:val="4D147927"/>
    <w:rsid w:val="4D154C85"/>
    <w:rsid w:val="4E8C1B33"/>
    <w:rsid w:val="4EC8553A"/>
    <w:rsid w:val="4F9A3BA7"/>
    <w:rsid w:val="4FA44747"/>
    <w:rsid w:val="504D0FCF"/>
    <w:rsid w:val="50774392"/>
    <w:rsid w:val="508C6107"/>
    <w:rsid w:val="508F4E24"/>
    <w:rsid w:val="50EA118E"/>
    <w:rsid w:val="511D3DAA"/>
    <w:rsid w:val="51461E90"/>
    <w:rsid w:val="51463753"/>
    <w:rsid w:val="51490C5E"/>
    <w:rsid w:val="51591101"/>
    <w:rsid w:val="5163342F"/>
    <w:rsid w:val="5245110A"/>
    <w:rsid w:val="52553A93"/>
    <w:rsid w:val="52B77039"/>
    <w:rsid w:val="530A6DCF"/>
    <w:rsid w:val="53521F8B"/>
    <w:rsid w:val="5397583C"/>
    <w:rsid w:val="53E22F47"/>
    <w:rsid w:val="541B7404"/>
    <w:rsid w:val="54522FF8"/>
    <w:rsid w:val="54AD4D7C"/>
    <w:rsid w:val="54B870A3"/>
    <w:rsid w:val="54F22EF6"/>
    <w:rsid w:val="54F248BC"/>
    <w:rsid w:val="55450629"/>
    <w:rsid w:val="55BB5E32"/>
    <w:rsid w:val="561D1AA5"/>
    <w:rsid w:val="56476416"/>
    <w:rsid w:val="56692963"/>
    <w:rsid w:val="568B0F48"/>
    <w:rsid w:val="573C1588"/>
    <w:rsid w:val="575F4077"/>
    <w:rsid w:val="577A0392"/>
    <w:rsid w:val="5786217B"/>
    <w:rsid w:val="582C5C37"/>
    <w:rsid w:val="5879547C"/>
    <w:rsid w:val="59316936"/>
    <w:rsid w:val="59337A15"/>
    <w:rsid w:val="59346469"/>
    <w:rsid w:val="59810274"/>
    <w:rsid w:val="598B35F5"/>
    <w:rsid w:val="599E4814"/>
    <w:rsid w:val="59B92E3F"/>
    <w:rsid w:val="5B1F6524"/>
    <w:rsid w:val="5BE57986"/>
    <w:rsid w:val="5C4E7981"/>
    <w:rsid w:val="5CA96A00"/>
    <w:rsid w:val="5CF730BC"/>
    <w:rsid w:val="5E1A20EF"/>
    <w:rsid w:val="5E5F0DCE"/>
    <w:rsid w:val="5E6D40F8"/>
    <w:rsid w:val="5E6F75FB"/>
    <w:rsid w:val="5FA40A7B"/>
    <w:rsid w:val="5FD45FC8"/>
    <w:rsid w:val="5FD53A4A"/>
    <w:rsid w:val="5FD56D29"/>
    <w:rsid w:val="5FEC7F3F"/>
    <w:rsid w:val="60021F8F"/>
    <w:rsid w:val="609B00D3"/>
    <w:rsid w:val="60F74BC3"/>
    <w:rsid w:val="6116192F"/>
    <w:rsid w:val="617D3BF8"/>
    <w:rsid w:val="61841F6A"/>
    <w:rsid w:val="61A4713D"/>
    <w:rsid w:val="61B008D8"/>
    <w:rsid w:val="623007A9"/>
    <w:rsid w:val="62612D73"/>
    <w:rsid w:val="62D607B4"/>
    <w:rsid w:val="637D7558"/>
    <w:rsid w:val="63D92960"/>
    <w:rsid w:val="644F19AC"/>
    <w:rsid w:val="64C92268"/>
    <w:rsid w:val="64D57C1D"/>
    <w:rsid w:val="64D723ED"/>
    <w:rsid w:val="655578CE"/>
    <w:rsid w:val="65AA4920"/>
    <w:rsid w:val="65F20836"/>
    <w:rsid w:val="66363ABA"/>
    <w:rsid w:val="67694F1E"/>
    <w:rsid w:val="679A7B08"/>
    <w:rsid w:val="67DA34CF"/>
    <w:rsid w:val="6819174D"/>
    <w:rsid w:val="683C28C7"/>
    <w:rsid w:val="68756D7A"/>
    <w:rsid w:val="687B4BF8"/>
    <w:rsid w:val="68860A0A"/>
    <w:rsid w:val="691B69B6"/>
    <w:rsid w:val="691C323A"/>
    <w:rsid w:val="69274D10"/>
    <w:rsid w:val="69597934"/>
    <w:rsid w:val="69CC32A0"/>
    <w:rsid w:val="69D97BBF"/>
    <w:rsid w:val="69E057C4"/>
    <w:rsid w:val="6AC3116D"/>
    <w:rsid w:val="6B964DDC"/>
    <w:rsid w:val="6BA8351D"/>
    <w:rsid w:val="6C783074"/>
    <w:rsid w:val="6CB56108"/>
    <w:rsid w:val="6D9E65C6"/>
    <w:rsid w:val="6DA81947"/>
    <w:rsid w:val="6DC960AE"/>
    <w:rsid w:val="6EA81E99"/>
    <w:rsid w:val="6EB66DE2"/>
    <w:rsid w:val="6ED177DA"/>
    <w:rsid w:val="6ED3075F"/>
    <w:rsid w:val="6F2A2D4B"/>
    <w:rsid w:val="6F6D2EDC"/>
    <w:rsid w:val="6F8A0C1E"/>
    <w:rsid w:val="703F45D4"/>
    <w:rsid w:val="70F44436"/>
    <w:rsid w:val="715D6546"/>
    <w:rsid w:val="7168781F"/>
    <w:rsid w:val="718D795A"/>
    <w:rsid w:val="71BE069E"/>
    <w:rsid w:val="728B4299"/>
    <w:rsid w:val="72954F48"/>
    <w:rsid w:val="729F531D"/>
    <w:rsid w:val="72DA63FB"/>
    <w:rsid w:val="73953409"/>
    <w:rsid w:val="73E069A3"/>
    <w:rsid w:val="74B111C1"/>
    <w:rsid w:val="758A3766"/>
    <w:rsid w:val="76B92B53"/>
    <w:rsid w:val="772A39B9"/>
    <w:rsid w:val="77C636D9"/>
    <w:rsid w:val="78104AA8"/>
    <w:rsid w:val="78337504"/>
    <w:rsid w:val="78337E41"/>
    <w:rsid w:val="785B7D01"/>
    <w:rsid w:val="78E257C5"/>
    <w:rsid w:val="794B35BE"/>
    <w:rsid w:val="7A427BA1"/>
    <w:rsid w:val="7B0A3A31"/>
    <w:rsid w:val="7B3360ED"/>
    <w:rsid w:val="7B5319F3"/>
    <w:rsid w:val="7BA30FEE"/>
    <w:rsid w:val="7BDF037E"/>
    <w:rsid w:val="7BF50948"/>
    <w:rsid w:val="7CE66A78"/>
    <w:rsid w:val="7CED6D68"/>
    <w:rsid w:val="7D17449D"/>
    <w:rsid w:val="7D23564C"/>
    <w:rsid w:val="7D5E062D"/>
    <w:rsid w:val="7DC36266"/>
    <w:rsid w:val="7DF76CD8"/>
    <w:rsid w:val="7E927FC5"/>
    <w:rsid w:val="7F1D6B1B"/>
    <w:rsid w:val="7F695C26"/>
    <w:rsid w:val="7FCF62D3"/>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4164.54</c:v>
                </c:pt>
                <c:pt idx="1">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3201.56</c:v>
                </c:pt>
                <c:pt idx="1">
                  <c:v>139.28</c:v>
                </c:pt>
                <c:pt idx="2">
                  <c:v>108.88</c:v>
                </c:pt>
                <c:pt idx="3">
                  <c:v>1795.03</c:v>
                </c:pt>
                <c:pt idx="4">
                  <c:v>100.43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Sheet1!$C$2:$C$6</c:f>
              <c:numCache>
                <c:formatCode>General</c:formatCode>
                <c:ptCount val="5"/>
                <c:pt idx="0">
                  <c:v>2701.68</c:v>
                </c:pt>
                <c:pt idx="1">
                  <c:v>136.61</c:v>
                </c:pt>
                <c:pt idx="2">
                  <c:v>106.67</c:v>
                </c:pt>
                <c:pt idx="3">
                  <c:v>1672.2</c:v>
                </c:pt>
                <c:pt idx="4">
                  <c:v>98.52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131.11</c:v>
                </c:pt>
                <c:pt idx="1">
                  <c:v>3.39</c:v>
                </c:pt>
                <c:pt idx="2">
                  <c:v>2.11</c:v>
                </c:pt>
                <c:pt idx="3">
                  <c:v>136.61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98.52</c:v>
                </c:pt>
                <c:pt idx="1">
                  <c:v>98.52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356.71</c:v>
                </c:pt>
                <c:pt idx="1">
                  <c:v>162.24</c:v>
                </c:pt>
                <c:pt idx="2">
                  <c:v>100.19</c:v>
                </c:pt>
                <c:pt idx="3">
                  <c:v>24.3</c:v>
                </c:pt>
                <c:pt idx="4">
                  <c:v>238.59</c:v>
                </c:pt>
                <c:pt idx="5">
                  <c:v>131.11</c:v>
                </c:pt>
                <c:pt idx="6">
                  <c:v>0</c:v>
                </c:pt>
                <c:pt idx="7">
                  <c:v>53.35</c:v>
                </c:pt>
                <c:pt idx="8">
                  <c:v>50.92</c:v>
                </c:pt>
                <c:pt idx="9">
                  <c:v>3.75</c:v>
                </c:pt>
                <c:pt idx="10">
                  <c:v>98.52</c:v>
                </c:pt>
                <c:pt idx="11">
                  <c:v>0</c:v>
                </c:pt>
                <c:pt idx="12">
                  <c:v>5.29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2.64</c:v>
                </c:pt>
                <c:pt idx="1">
                  <c:v>0</c:v>
                </c:pt>
                <c:pt idx="2">
                  <c:v>0</c:v>
                </c:pt>
                <c:pt idx="3">
                  <c:v>0</c:v>
                </c:pt>
                <c:pt idx="4">
                  <c:v>0</c:v>
                </c:pt>
                <c:pt idx="5">
                  <c:v>0</c:v>
                </c:pt>
                <c:pt idx="6">
                  <c:v>0.01</c:v>
                </c:pt>
                <c:pt idx="7">
                  <c:v>0</c:v>
                </c:pt>
                <c:pt idx="8">
                  <c:v>0</c:v>
                </c:pt>
                <c:pt idx="9">
                  <c:v>8</c:v>
                </c:pt>
                <c:pt idx="10">
                  <c:v>0</c:v>
                </c:pt>
                <c:pt idx="11">
                  <c:v>0</c:v>
                </c:pt>
                <c:pt idx="12">
                  <c:v>0</c:v>
                </c:pt>
                <c:pt idx="13">
                  <c:v>0.18</c:v>
                </c:pt>
                <c:pt idx="14">
                  <c:v>5.27</c:v>
                </c:pt>
                <c:pt idx="15">
                  <c:v>0</c:v>
                </c:pt>
                <c:pt idx="16">
                  <c:v>0</c:v>
                </c:pt>
                <c:pt idx="17">
                  <c:v>0</c:v>
                </c:pt>
                <c:pt idx="18">
                  <c:v>0</c:v>
                </c:pt>
                <c:pt idx="19">
                  <c:v>0.2</c:v>
                </c:pt>
                <c:pt idx="20">
                  <c:v>0</c:v>
                </c:pt>
                <c:pt idx="21">
                  <c:v>16.9</c:v>
                </c:pt>
                <c:pt idx="22">
                  <c:v>0</c:v>
                </c:pt>
                <c:pt idx="23">
                  <c:v>0</c:v>
                </c:pt>
                <c:pt idx="24">
                  <c:v>0</c:v>
                </c:pt>
                <c:pt idx="25">
                  <c:v>0</c:v>
                </c:pt>
                <c:pt idx="26">
                  <c:v>0.05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15.22</c:v>
                </c:pt>
                <c:pt idx="1">
                  <c:v>0.76</c:v>
                </c:pt>
                <c:pt idx="2">
                  <c:v>0</c:v>
                </c:pt>
                <c:pt idx="3">
                  <c:v>0</c:v>
                </c:pt>
                <c:pt idx="4">
                  <c:v>3.75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17</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2023-11-24T08:02:29Z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