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方正小标宋简体" w:eastAsia="方正小标宋简体"/>
          <w:kern w:val="0"/>
          <w:sz w:val="52"/>
          <w:szCs w:val="52"/>
          <w:lang w:eastAsia="zh-CN"/>
        </w:rPr>
        <w:t>环江毛南族自治县茧丝绸协调中心</w:t>
      </w:r>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ind w:firstLine="2891" w:firstLineChars="800"/>
        <w:jc w:val="both"/>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sz w:val="32"/>
          <w:szCs w:val="32"/>
          <w:lang w:eastAsia="zh-CN"/>
        </w:rPr>
        <w:t>环江毛南族自治县茧丝绸协调中心</w:t>
      </w:r>
      <w:r>
        <w:rPr>
          <w:rFonts w:hint="eastAsia" w:ascii="黑体" w:hAnsi="黑体" w:eastAsia="黑体" w:cs="黑体"/>
          <w:sz w:val="32"/>
          <w:u w:color="auto"/>
          <w:lang w:eastAsia="zh-CN"/>
        </w:rPr>
        <w:t>单位</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sz w:val="32"/>
          <w:szCs w:val="32"/>
          <w:lang w:eastAsia="zh-CN"/>
        </w:rPr>
        <w:t>环江毛南族自治县茧丝绸协调中心</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sz w:val="32"/>
          <w:szCs w:val="32"/>
          <w:lang w:eastAsia="zh-CN"/>
        </w:rPr>
        <w:t>环江毛南族自治县茧丝绸协调中心</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szCs w:val="32"/>
          <w:highlight w:val="none"/>
          <w:lang w:eastAsia="zh-CN"/>
        </w:rPr>
        <w:t>环江毛南族自治县茧丝绸协调中心</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1．主要职能。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﹙一﹚承担茧丝绸产业管理,组织实施国家相关茧丝绸产业生产、经营管理政策和法规,推进实施茧丝绸农工贸一体化融合发展。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﹙二﹚草拟桑蚕茧丝绸产业发展规划，组织实施行业技术规范和标准,指导产业质量管理工作。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﹙三﹚监测分析桑蚕茧丝绸产业运行态势,统计和发布相关信息,进行预测、预报,协调解决产业运行发展的有关问题。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﹙四﹚引进和推广桑蚕茧丝绸产业先进技术,指导产业技术革新和资源开发综合利用。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﹙五﹚组织开展桑蚕茧丝绸产业管理的对外合作和技术交流活动。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﹙六﹚负责规划全县蚕茧收烘网点布局,协调管理蚕茧市场秩序工作。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﹙七﹚完成自治县党委、自治县人民政府以及上级主管部门交办的其他任务。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我单位是财政全额拨款事业单位。设立行政股、技术推广股、综合协调股。</w:t>
      </w:r>
      <w:r>
        <w:rPr>
          <w:rFonts w:hint="eastAsia" w:ascii="仿宋" w:hAnsi="仿宋" w:eastAsia="仿宋" w:cs="仿宋"/>
          <w:sz w:val="32"/>
          <w:szCs w:val="32"/>
        </w:rPr>
        <w:t>人员编制总数为</w:t>
      </w:r>
      <w:r>
        <w:rPr>
          <w:rFonts w:hint="eastAsia" w:ascii="仿宋" w:hAnsi="仿宋" w:eastAsia="仿宋" w:cs="仿宋"/>
          <w:sz w:val="32"/>
          <w:szCs w:val="32"/>
          <w:lang w:val="en-US" w:eastAsia="zh-CN"/>
        </w:rPr>
        <w:t>13</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0</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13</w:t>
      </w:r>
      <w:r>
        <w:rPr>
          <w:rFonts w:hint="eastAsia" w:ascii="仿宋" w:hAnsi="仿宋" w:eastAsia="仿宋" w:cs="仿宋"/>
          <w:sz w:val="32"/>
          <w:szCs w:val="32"/>
        </w:rPr>
        <w:t>人，机关后勤服务中心聘用人员控制数</w:t>
      </w:r>
      <w:r>
        <w:rPr>
          <w:rFonts w:hint="eastAsia" w:ascii="仿宋" w:hAnsi="仿宋" w:eastAsia="仿宋" w:cs="仿宋"/>
          <w:sz w:val="32"/>
          <w:szCs w:val="32"/>
          <w:lang w:val="en-US" w:eastAsia="zh-CN"/>
        </w:rPr>
        <w:t>0</w:t>
      </w:r>
      <w:r>
        <w:rPr>
          <w:rFonts w:hint="eastAsia" w:ascii="仿宋" w:hAnsi="仿宋" w:eastAsia="仿宋" w:cs="仿宋"/>
          <w:sz w:val="32"/>
          <w:szCs w:val="32"/>
        </w:rPr>
        <w:t>人。实有财政供养人数</w:t>
      </w:r>
      <w:r>
        <w:rPr>
          <w:rFonts w:hint="eastAsia" w:ascii="仿宋" w:hAnsi="仿宋" w:eastAsia="仿宋" w:cs="仿宋"/>
          <w:sz w:val="32"/>
          <w:szCs w:val="32"/>
          <w:lang w:val="en-US" w:eastAsia="zh-CN"/>
        </w:rPr>
        <w:t>26</w:t>
      </w:r>
      <w:r>
        <w:rPr>
          <w:rFonts w:hint="eastAsia" w:ascii="仿宋" w:hAnsi="仿宋" w:eastAsia="仿宋" w:cs="仿宋"/>
          <w:sz w:val="32"/>
          <w:szCs w:val="32"/>
        </w:rPr>
        <w:t>人，其中行政在职</w:t>
      </w:r>
      <w:r>
        <w:rPr>
          <w:rFonts w:hint="eastAsia" w:ascii="仿宋" w:hAnsi="仿宋" w:eastAsia="仿宋" w:cs="仿宋"/>
          <w:sz w:val="32"/>
          <w:szCs w:val="32"/>
          <w:lang w:val="en-US" w:eastAsia="zh-CN"/>
        </w:rPr>
        <w:t>0</w:t>
      </w:r>
      <w:r>
        <w:rPr>
          <w:rFonts w:hint="eastAsia" w:ascii="仿宋" w:hAnsi="仿宋" w:eastAsia="仿宋" w:cs="仿宋"/>
          <w:sz w:val="32"/>
          <w:szCs w:val="32"/>
        </w:rPr>
        <w:t>人，事业在职</w:t>
      </w:r>
      <w:r>
        <w:rPr>
          <w:rFonts w:hint="eastAsia" w:ascii="仿宋" w:hAnsi="仿宋" w:eastAsia="仿宋" w:cs="仿宋"/>
          <w:sz w:val="32"/>
          <w:szCs w:val="32"/>
          <w:lang w:val="en-US" w:eastAsia="zh-CN"/>
        </w:rPr>
        <w:t>13</w:t>
      </w:r>
      <w:r>
        <w:rPr>
          <w:rFonts w:hint="eastAsia" w:ascii="仿宋" w:hAnsi="仿宋" w:eastAsia="仿宋" w:cs="仿宋"/>
          <w:sz w:val="32"/>
          <w:szCs w:val="32"/>
        </w:rPr>
        <w:t>人，离退休人员</w:t>
      </w:r>
      <w:r>
        <w:rPr>
          <w:rFonts w:hint="eastAsia" w:ascii="仿宋" w:hAnsi="仿宋" w:eastAsia="仿宋" w:cs="仿宋"/>
          <w:sz w:val="32"/>
          <w:szCs w:val="32"/>
          <w:lang w:val="en-US" w:eastAsia="zh-CN"/>
        </w:rPr>
        <w:t>13</w:t>
      </w:r>
      <w:r>
        <w:rPr>
          <w:rFonts w:hint="eastAsia" w:ascii="仿宋" w:hAnsi="仿宋" w:eastAsia="仿宋" w:cs="仿宋"/>
          <w:sz w:val="32"/>
          <w:szCs w:val="32"/>
        </w:rPr>
        <w:t>人（其中离休</w:t>
      </w:r>
      <w:r>
        <w:rPr>
          <w:rFonts w:hint="eastAsia" w:ascii="仿宋" w:hAnsi="仿宋" w:eastAsia="仿宋" w:cs="仿宋"/>
          <w:sz w:val="32"/>
          <w:szCs w:val="32"/>
          <w:lang w:val="en-US" w:eastAsia="zh-CN"/>
        </w:rPr>
        <w:t>0</w:t>
      </w:r>
      <w:r>
        <w:rPr>
          <w:rFonts w:hint="eastAsia" w:ascii="仿宋" w:hAnsi="仿宋" w:eastAsia="仿宋" w:cs="仿宋"/>
          <w:sz w:val="32"/>
          <w:szCs w:val="32"/>
        </w:rPr>
        <w:t>人）。编外在职实有人数</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ind w:left="640"/>
        <w:jc w:val="left"/>
        <w:rPr>
          <w:rFonts w:hint="eastAsia" w:ascii="仿宋" w:hAnsi="仿宋" w:eastAsia="仿宋" w:cs="仿宋"/>
          <w:b w:val="0"/>
          <w:bCs w:val="0"/>
          <w:sz w:val="32"/>
          <w:szCs w:val="32"/>
        </w:rPr>
      </w:pPr>
    </w:p>
    <w:p>
      <w:pPr>
        <w:pStyle w:val="2"/>
        <w:numPr>
          <w:ilvl w:val="0"/>
          <w:numId w:val="0"/>
        </w:numPr>
        <w:ind w:left="640" w:leftChars="0"/>
        <w:rPr>
          <w:rFonts w:hint="eastAsia"/>
        </w:rPr>
      </w:pPr>
    </w:p>
    <w:p>
      <w:pPr>
        <w:jc w:val="left"/>
        <w:rPr>
          <w:rFonts w:hint="eastAsia" w:ascii="黑体" w:hAnsi="黑体" w:eastAsia="黑体" w:cs="黑体"/>
          <w:sz w:val="32"/>
          <w:szCs w:val="32"/>
        </w:rPr>
      </w:pPr>
      <w:r>
        <w:rPr>
          <w:rFonts w:hint="eastAsia" w:ascii="黑体" w:hAnsi="黑体" w:eastAsia="黑体" w:cs="黑体"/>
          <w:sz w:val="32"/>
          <w:szCs w:val="32"/>
        </w:rPr>
        <w:t xml:space="preserve">   </w:t>
      </w:r>
    </w:p>
    <w:p>
      <w:pPr>
        <w:ind w:firstLine="640" w:firstLineChars="200"/>
        <w:jc w:val="left"/>
        <w:rPr>
          <w:rFonts w:hint="eastAsia" w:ascii="仿宋" w:hAnsi="仿宋" w:eastAsia="仿宋" w:cs="仿宋"/>
          <w:color w:val="FF0000"/>
          <w:sz w:val="32"/>
          <w:szCs w:val="32"/>
        </w:rPr>
      </w:pP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环江毛南族自治县茧丝绸协调中心</w:t>
      </w:r>
      <w:r>
        <w:rPr>
          <w:rFonts w:hint="eastAsia" w:ascii="黑体" w:hAnsi="黑体" w:eastAsia="黑体" w:cs="黑体"/>
          <w:sz w:val="32"/>
          <w:szCs w:val="32"/>
          <w:highlight w:val="none"/>
        </w:rPr>
        <w:t>2022年度部门决算报表</w:t>
      </w:r>
    </w:p>
    <w:tbl>
      <w:tblPr>
        <w:tblStyle w:val="7"/>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753"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环江毛南族自治县茧丝绸协调中心</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108.64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2.52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7.67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76.39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5.66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16.41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108.64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val="en-US" w:eastAsia="zh-CN" w:bidi="ar"/>
              </w:rPr>
              <w:t>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108.64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108.64</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7"/>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环江毛南族自治县茧丝绸协调中心</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108.64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108.64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群众团体事务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农林水支出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76.39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76.39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农业农村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76.39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76.39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2130104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76.39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76.39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7"/>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环江毛南族自治县茧丝绸协调中心</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108.64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100.59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8.05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农林水支出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76.39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68.34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8.05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农业农村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76.39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68.34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8.05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2130104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76.39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68.34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8.05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both"/>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7"/>
        <w:tblW w:w="4965"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7"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环江毛南族自治县茧丝绸协调中心</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108.64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2.52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2.52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7.67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7.67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76.39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76.39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5.66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5.66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16.41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16.41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108.64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108.64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108.64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108.64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108.64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108.64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7"/>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环江毛南族自治县茧丝绸协调中心</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108.64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100.59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8.05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7.67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7.67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7.67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7.67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7.67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7.67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农林水支出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76.39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68.34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8.05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农业农村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76.39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68.34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8.05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2130104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76.39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68.34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8.05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5.66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5.66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5.66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5.66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5.66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5.66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16.41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16.41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16.41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16.41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16.41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16.41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7"/>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环江毛南族自治县茧丝绸协调中心</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77.65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5.77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30.53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0.45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21.18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0.60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6.02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7.67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0.34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2.80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5.66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17.18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15.81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94.82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5.77</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环江毛南族自治县茧丝绸协调中心</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000000" w:themeColor="text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环江毛南族自治县茧丝绸协调中心</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年度没有国有资本经营预算财政拨款收入，也没有国有资本经营预算财政拨款安排的支出，故本表无数据。</w:t>
      </w:r>
    </w:p>
    <w:p>
      <w:pPr>
        <w:pStyle w:val="2"/>
        <w:rPr>
          <w:rFonts w:hint="eastAsia" w:ascii="宋体" w:hAnsi="宋体" w:eastAsia="宋体" w:cs="宋体"/>
          <w:color w:val="000000" w:themeColor="text1"/>
          <w:kern w:val="2"/>
          <w:sz w:val="21"/>
          <w:szCs w:val="21"/>
          <w:lang w:val="en-US" w:eastAsia="zh-CN" w:bidi="ar"/>
          <w14:textFill>
            <w14:solidFill>
              <w14:schemeClr w14:val="tx1"/>
            </w14:solidFill>
          </w14:textFill>
        </w:rPr>
      </w:pPr>
    </w:p>
    <w:p>
      <w:pPr>
        <w:pStyle w:val="3"/>
        <w:rPr>
          <w:rFonts w:hint="eastAsia" w:ascii="宋体" w:hAnsi="宋体" w:eastAsia="宋体" w:cs="宋体"/>
          <w:color w:val="FF0000"/>
          <w:kern w:val="2"/>
          <w:sz w:val="21"/>
          <w:szCs w:val="21"/>
          <w:lang w:val="en-US" w:eastAsia="zh-CN" w:bidi="ar"/>
        </w:rPr>
      </w:pPr>
    </w:p>
    <w:p>
      <w:pPr>
        <w:pStyle w:val="4"/>
        <w:rPr>
          <w:rFonts w:hint="eastAsia" w:ascii="宋体" w:hAnsi="宋体" w:eastAsia="宋体" w:cs="宋体"/>
          <w:color w:val="FF0000"/>
          <w:kern w:val="2"/>
          <w:sz w:val="21"/>
          <w:szCs w:val="21"/>
          <w:lang w:val="en-US" w:eastAsia="zh-CN" w:bidi="ar"/>
        </w:rPr>
      </w:pPr>
      <w:r>
        <w:rPr>
          <w:rFonts w:hint="eastAsia" w:ascii="宋体" w:hAnsi="宋体" w:eastAsia="宋体" w:cs="宋体"/>
          <w:color w:val="FF0000"/>
          <w:kern w:val="2"/>
          <w:sz w:val="21"/>
          <w:szCs w:val="21"/>
          <w:lang w:val="en-US" w:eastAsia="zh-CN" w:bidi="ar"/>
        </w:rPr>
        <w:t>、</w:t>
      </w:r>
    </w:p>
    <w:p>
      <w:pPr>
        <w:rPr>
          <w:rFonts w:hint="eastAsia" w:ascii="宋体" w:hAnsi="宋体" w:eastAsia="宋体" w:cs="宋体"/>
          <w:color w:val="FF0000"/>
          <w:kern w:val="2"/>
          <w:sz w:val="21"/>
          <w:szCs w:val="21"/>
          <w:lang w:val="en-US" w:eastAsia="zh-CN" w:bidi="ar"/>
        </w:rPr>
      </w:pPr>
    </w:p>
    <w:p>
      <w:pPr>
        <w:pStyle w:val="2"/>
        <w:rPr>
          <w:rFonts w:hint="eastAsia" w:ascii="宋体" w:hAnsi="宋体" w:eastAsia="宋体" w:cs="宋体"/>
          <w:color w:val="FF0000"/>
          <w:kern w:val="2"/>
          <w:sz w:val="21"/>
          <w:szCs w:val="21"/>
          <w:lang w:val="en-US" w:eastAsia="zh-CN" w:bidi="ar"/>
        </w:rPr>
      </w:pPr>
    </w:p>
    <w:p>
      <w:pPr>
        <w:pStyle w:val="3"/>
        <w:rPr>
          <w:rFonts w:hint="eastAsia"/>
          <w:lang w:val="en-US" w:eastAsia="zh-CN"/>
        </w:rPr>
      </w:pPr>
    </w:p>
    <w:tbl>
      <w:tblPr>
        <w:tblStyle w:val="7"/>
        <w:tblW w:w="14036" w:type="dxa"/>
        <w:tblInd w:w="0" w:type="dxa"/>
        <w:tblLayout w:type="fixed"/>
        <w:tblCellMar>
          <w:top w:w="0" w:type="dxa"/>
          <w:left w:w="108" w:type="dxa"/>
          <w:bottom w:w="0" w:type="dxa"/>
          <w:right w:w="108" w:type="dxa"/>
        </w:tblCellMar>
      </w:tblPr>
      <w:tblGrid>
        <w:gridCol w:w="1534"/>
        <w:gridCol w:w="1425"/>
        <w:gridCol w:w="1094"/>
        <w:gridCol w:w="1159"/>
        <w:gridCol w:w="1133"/>
        <w:gridCol w:w="1040"/>
        <w:gridCol w:w="1066"/>
        <w:gridCol w:w="1161"/>
        <w:gridCol w:w="1053"/>
        <w:gridCol w:w="1148"/>
        <w:gridCol w:w="1133"/>
        <w:gridCol w:w="1073"/>
      </w:tblGrid>
      <w:tr>
        <w:tblPrEx>
          <w:tblCellMar>
            <w:top w:w="0" w:type="dxa"/>
            <w:left w:w="108" w:type="dxa"/>
            <w:bottom w:w="0" w:type="dxa"/>
            <w:right w:w="108" w:type="dxa"/>
          </w:tblCellMar>
        </w:tblPrEx>
        <w:trPr>
          <w:trHeight w:val="632" w:hRule="atLeast"/>
        </w:trPr>
        <w:tc>
          <w:tcPr>
            <w:tcW w:w="14019"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trHeight w:val="316" w:hRule="atLeast"/>
        </w:trPr>
        <w:tc>
          <w:tcPr>
            <w:tcW w:w="15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316" w:hRule="atLeast"/>
        </w:trPr>
        <w:tc>
          <w:tcPr>
            <w:tcW w:w="7385"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环江毛南族自治县茧丝绸协调中心</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6" w:hRule="atLeast"/>
        </w:trPr>
        <w:tc>
          <w:tcPr>
            <w:tcW w:w="73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326" w:hRule="atLeast"/>
        </w:trPr>
        <w:tc>
          <w:tcPr>
            <w:tcW w:w="1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trHeight w:val="642" w:hRule="atLeast"/>
        </w:trPr>
        <w:tc>
          <w:tcPr>
            <w:tcW w:w="15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959" w:hRule="atLeast"/>
        </w:trPr>
        <w:tc>
          <w:tcPr>
            <w:tcW w:w="15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trHeight w:val="642" w:hRule="atLeast"/>
        </w:trPr>
        <w:tc>
          <w:tcPr>
            <w:tcW w:w="15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1.01</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1.01</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1.01</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1.01</w:t>
            </w:r>
          </w:p>
        </w:tc>
      </w:tr>
      <w:tr>
        <w:tblPrEx>
          <w:tblCellMar>
            <w:top w:w="0" w:type="dxa"/>
            <w:left w:w="108" w:type="dxa"/>
            <w:bottom w:w="0" w:type="dxa"/>
            <w:right w:w="108" w:type="dxa"/>
          </w:tblCellMar>
        </w:tblPrEx>
        <w:trPr>
          <w:trHeight w:val="642" w:hRule="atLeast"/>
        </w:trPr>
        <w:tc>
          <w:tcPr>
            <w:tcW w:w="14019" w:type="dxa"/>
            <w:gridSpan w:val="1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年度没有一般公共预算财政拨款“三公”经费收入，也没有一般公共预算财政拨款“三公”经费安排的支出，故本表无数据。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szCs w:val="32"/>
          <w:highlight w:val="none"/>
          <w:lang w:val="en-US" w:eastAsia="zh-CN"/>
        </w:rPr>
        <w:t>环江毛南族自治县茧丝绸协调中心</w:t>
      </w:r>
      <w:r>
        <w:rPr>
          <w:rFonts w:hint="eastAsia" w:ascii="黑体" w:hAnsi="黑体" w:eastAsia="黑体" w:cs="黑体"/>
          <w:sz w:val="32"/>
          <w:szCs w:val="32"/>
          <w:highlight w:val="none"/>
        </w:rPr>
        <w:t>2022年度</w:t>
      </w: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hint="eastAsia" w:ascii="仿宋" w:hAnsi="仿宋" w:eastAsia="仿宋" w:cs="仿宋"/>
          <w:sz w:val="32"/>
          <w:u w:color="auto"/>
          <w:lang w:val="en-US" w:eastAsia="zh-CN"/>
        </w:rPr>
        <w:t>108.64</w:t>
      </w:r>
      <w:r>
        <w:rPr>
          <w:rFonts w:hint="eastAsia" w:ascii="仿宋" w:hAnsi="仿宋" w:eastAsia="仿宋" w:cs="仿宋"/>
          <w:sz w:val="32"/>
          <w:szCs w:val="32"/>
          <w:highlight w:val="none"/>
        </w:rPr>
        <w:t>万元，较2021年度决算数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85.2</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43.95</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108.64</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108.64</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85.2</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43.95</w:t>
      </w:r>
      <w:r>
        <w:rPr>
          <w:rFonts w:ascii="仿宋" w:hAnsi="仿宋" w:eastAsia="仿宋" w:cs="仿宋"/>
          <w:sz w:val="32"/>
          <w:u w:color="auto"/>
        </w:rPr>
        <w:t>3%</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主要原因：2023年2月单位撤销。</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2543175"/>
            <wp:effectExtent l="4445" t="4445" r="20955" b="5080"/>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hint="eastAsia" w:ascii="仿宋" w:hAnsi="仿宋" w:eastAsia="仿宋" w:cs="仿宋"/>
          <w:sz w:val="32"/>
          <w:u w:color="auto"/>
          <w:lang w:val="en-US" w:eastAsia="zh-CN"/>
        </w:rPr>
        <w:t>108.64</w:t>
      </w:r>
      <w:r>
        <w:rPr>
          <w:rFonts w:ascii="仿宋" w:hAnsi="仿宋" w:eastAsia="仿宋" w:cs="仿宋"/>
          <w:sz w:val="32"/>
          <w:u w:color="auto"/>
        </w:rPr>
        <w:t>1</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108.64</w:t>
      </w:r>
      <w:r>
        <w:rPr>
          <w:rFonts w:hint="eastAsia" w:ascii="仿宋" w:hAnsi="仿宋" w:eastAsia="仿宋" w:cs="仿宋"/>
          <w:sz w:val="32"/>
          <w:szCs w:val="32"/>
          <w:highlight w:val="none"/>
        </w:rPr>
        <w:t>万元，较2021年度决算数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85.2</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43.95</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1</w:t>
      </w:r>
      <w:r>
        <w:rPr>
          <w:rFonts w:hint="eastAsia" w:ascii="仿宋_GB2312" w:hAnsi="仿宋_GB2312" w:eastAsia="仿宋_GB2312" w:cs="仿宋_GB2312"/>
          <w:sz w:val="32"/>
          <w:szCs w:val="32"/>
          <w:u w:color="auto"/>
        </w:rPr>
        <w:t>.</w:t>
      </w:r>
      <w:r>
        <w:rPr>
          <w:rFonts w:hint="eastAsia" w:ascii="仿宋_GB2312" w:hAnsi="仿宋_GB2312" w:eastAsia="仿宋_GB2312" w:cs="仿宋_GB2312"/>
          <w:i w:val="0"/>
          <w:iCs w:val="0"/>
          <w:color w:val="000000"/>
          <w:kern w:val="0"/>
          <w:sz w:val="32"/>
          <w:szCs w:val="32"/>
          <w:u w:val="none"/>
          <w:lang w:val="en-US" w:eastAsia="zh-CN"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2.52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sz w:val="32"/>
          <w:szCs w:val="32"/>
        </w:rPr>
        <w:t>主要用于茧丝</w:t>
      </w:r>
      <w:r>
        <w:rPr>
          <w:rFonts w:hint="eastAsia" w:ascii="仿宋" w:hAnsi="仿宋" w:eastAsia="仿宋" w:cs="仿宋"/>
          <w:sz w:val="32"/>
          <w:szCs w:val="32"/>
          <w:lang w:eastAsia="zh-CN"/>
        </w:rPr>
        <w:t>绸协调中心支付工会经费支出。</w:t>
      </w:r>
      <w:r>
        <w:rPr>
          <w:rFonts w:hint="eastAsia" w:ascii="仿宋" w:hAnsi="仿宋" w:eastAsia="仿宋" w:cs="仿宋"/>
          <w:sz w:val="32"/>
          <w:szCs w:val="32"/>
          <w:highlight w:val="none"/>
        </w:rPr>
        <w:t>较2021年度决算数</w:t>
      </w:r>
      <w:r>
        <w:rPr>
          <w:rFonts w:hint="eastAsia" w:ascii="仿宋_GB2312" w:hAnsi="微软雅黑" w:eastAsia="仿宋_GB2312" w:cs="仿宋_GB2312"/>
          <w:color w:val="000000"/>
          <w:sz w:val="31"/>
          <w:szCs w:val="31"/>
          <w:highlight w:val="none"/>
          <w:shd w:val="clear" w:color="auto" w:fill="FFFFFF"/>
        </w:rPr>
        <w:t>增加</w:t>
      </w:r>
      <w:r>
        <w:rPr>
          <w:rFonts w:hint="eastAsia" w:ascii="仿宋" w:hAnsi="仿宋" w:eastAsia="仿宋" w:cs="仿宋"/>
          <w:sz w:val="32"/>
          <w:szCs w:val="32"/>
          <w:highlight w:val="none"/>
          <w:lang w:val="en-US" w:eastAsia="zh-CN" w:bidi="ar"/>
        </w:rPr>
        <w:t>0.59</w:t>
      </w:r>
      <w:r>
        <w:rPr>
          <w:rFonts w:hint="eastAsia" w:ascii="仿宋" w:hAnsi="仿宋" w:eastAsia="仿宋" w:cs="仿宋"/>
          <w:sz w:val="32"/>
          <w:szCs w:val="32"/>
          <w:highlight w:val="none"/>
        </w:rPr>
        <w:t>万元，</w:t>
      </w:r>
      <w:r>
        <w:rPr>
          <w:rFonts w:hint="eastAsia" w:ascii="仿宋_GB2312" w:hAnsi="微软雅黑" w:eastAsia="仿宋_GB2312" w:cs="仿宋_GB2312"/>
          <w:color w:val="000000"/>
          <w:sz w:val="31"/>
          <w:szCs w:val="31"/>
          <w:highlight w:val="none"/>
          <w:shd w:val="clear" w:color="auto" w:fill="FFFFFF"/>
        </w:rPr>
        <w:t>增长</w:t>
      </w:r>
      <w:r>
        <w:rPr>
          <w:rFonts w:hint="eastAsia" w:ascii="仿宋_GB2312" w:hAnsi="微软雅黑" w:eastAsia="仿宋_GB2312" w:cs="仿宋_GB2312"/>
          <w:color w:val="000000"/>
          <w:sz w:val="31"/>
          <w:szCs w:val="31"/>
          <w:highlight w:val="none"/>
          <w:shd w:val="clear" w:color="auto" w:fill="FFFFFF"/>
          <w:lang w:val="en-US" w:eastAsia="zh-CN"/>
        </w:rPr>
        <w:t>30.57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主要原因是：职工工资福利增加，工会经费相应增加。</w:t>
      </w:r>
    </w:p>
    <w:p>
      <w:pPr>
        <w:autoSpaceDE w:val="0"/>
        <w:autoSpaceDN w:val="0"/>
        <w:adjustRightInd w:val="0"/>
        <w:spacing w:line="600" w:lineRule="exact"/>
        <w:ind w:firstLine="640" w:firstLineChars="200"/>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7.67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s="仿宋_GB2312"/>
          <w:kern w:val="0"/>
          <w:sz w:val="32"/>
          <w:szCs w:val="32"/>
          <w:lang w:val="en-US" w:eastAsia="zh-CN"/>
        </w:rPr>
        <w:t>主要用于社会保障与就业由单位缴纳的基本养老保险费的支出。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11.14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59.22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主要原因是：2023年2月单位撤销。</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sz w:val="32"/>
          <w:szCs w:val="32"/>
          <w:highlight w:val="none"/>
          <w:lang w:val="en-US" w:eastAsia="zh-CN"/>
        </w:rPr>
        <w:t>3</w:t>
      </w:r>
      <w:r>
        <w:rPr>
          <w:rFonts w:ascii="仿宋" w:hAnsi="仿宋" w:eastAsia="仿宋" w:cs="仿宋"/>
          <w:sz w:val="32"/>
          <w:u w:color="auto"/>
        </w:rPr>
        <w:t>.</w:t>
      </w:r>
      <w:r>
        <w:rPr>
          <w:rFonts w:hint="eastAsia" w:ascii="仿宋" w:hAnsi="仿宋" w:eastAsia="仿宋" w:cs="仿宋"/>
          <w:sz w:val="32"/>
          <w:szCs w:val="32"/>
          <w:highlight w:val="none"/>
          <w:lang w:bidi="ar"/>
        </w:rPr>
        <w:t>农林水支出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213</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76.39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kern w:val="0"/>
          <w:sz w:val="32"/>
          <w:szCs w:val="32"/>
          <w:highlight w:val="none"/>
        </w:rPr>
        <w:t>主要用于部门所属事业单位人员工资、日常运转方面的支出。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47.12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38.15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主要原因是：2023年2月单位撤销。</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5.66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kern w:val="0"/>
          <w:sz w:val="32"/>
          <w:szCs w:val="32"/>
          <w:highlight w:val="none"/>
        </w:rPr>
        <w:t>主要用于本部门及所属事业单位按规定的比例计缴的住房公积金</w:t>
      </w:r>
      <w:r>
        <w:rPr>
          <w:rFonts w:hint="eastAsia" w:ascii="仿宋_GB2312" w:hAnsi="仿宋_GB2312" w:eastAsia="仿宋_GB2312" w:cs="仿宋_GB2312"/>
          <w:bCs/>
          <w:kern w:val="0"/>
          <w:sz w:val="32"/>
          <w:szCs w:val="32"/>
          <w:highlight w:val="none"/>
          <w:lang w:eastAsia="zh-CN"/>
        </w:rPr>
        <w:t>。</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8.42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59.8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主要原因是：2023年2月单位撤销。</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5</w:t>
      </w:r>
      <w:r>
        <w:rPr>
          <w:rFonts w:ascii="仿宋" w:hAnsi="仿宋" w:eastAsia="仿宋" w:cs="仿宋"/>
          <w:sz w:val="32"/>
          <w:u w:color="auto"/>
        </w:rPr>
        <w:t>.</w:t>
      </w:r>
      <w:r>
        <w:rPr>
          <w:rFonts w:hint="eastAsia" w:ascii="仿宋_GB2312" w:hAnsi="仿宋_GB2312" w:eastAsia="仿宋_GB2312" w:cs="仿宋_GB2312"/>
          <w:i w:val="0"/>
          <w:iCs w:val="0"/>
          <w:color w:val="000000"/>
          <w:kern w:val="0"/>
          <w:sz w:val="32"/>
          <w:szCs w:val="32"/>
          <w:u w:val="none"/>
          <w:lang w:val="en-US" w:eastAsia="zh-CN"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w:t>
      </w:r>
      <w:r>
        <w:rPr>
          <w:rFonts w:hint="eastAsia" w:ascii="仿宋" w:hAnsi="仿宋" w:eastAsia="仿宋" w:cs="仿宋"/>
          <w:sz w:val="32"/>
          <w:szCs w:val="32"/>
          <w:highlight w:val="none"/>
          <w:lang w:val="en-US" w:eastAsia="zh-CN" w:bidi="ar"/>
        </w:rPr>
        <w:t>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16.41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kern w:val="0"/>
          <w:sz w:val="32"/>
          <w:szCs w:val="32"/>
          <w:highlight w:val="none"/>
        </w:rPr>
        <w:t>主要用于本部门及所属事业单位按</w:t>
      </w:r>
      <w:r>
        <w:rPr>
          <w:rFonts w:hint="eastAsia" w:ascii="仿宋_GB2312" w:hAnsi="仿宋_GB2312" w:eastAsia="仿宋_GB2312" w:cs="仿宋_GB2312"/>
          <w:kern w:val="0"/>
          <w:sz w:val="32"/>
          <w:szCs w:val="32"/>
          <w:highlight w:val="none"/>
          <w:lang w:val="en-US" w:eastAsia="zh-CN"/>
        </w:rPr>
        <w:t>政策规定向职工发放的年度绩效考评奖等方面的支出。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19.11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53.8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主要原因是：2023年2月单位撤销。</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556760" cy="2698750"/>
            <wp:effectExtent l="4445" t="4445" r="1079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环江毛南族自治县茧丝绸协调中心</w:t>
      </w:r>
      <w:r>
        <w:rPr>
          <w:rFonts w:hint="eastAsia" w:ascii="仿宋" w:hAnsi="仿宋" w:eastAsia="仿宋" w:cs="仿宋"/>
          <w:sz w:val="32"/>
          <w:szCs w:val="32"/>
          <w:highlight w:val="none"/>
        </w:rPr>
        <w:t>2022年度一般公共预算财政拨款支出</w:t>
      </w:r>
      <w:r>
        <w:rPr>
          <w:rFonts w:hint="eastAsia" w:ascii="仿宋" w:hAnsi="仿宋" w:eastAsia="仿宋" w:cs="仿宋"/>
          <w:sz w:val="32"/>
          <w:u w:color="auto"/>
          <w:lang w:val="en-US" w:eastAsia="zh-CN"/>
        </w:rPr>
        <w:t>108.64</w:t>
      </w:r>
      <w:r>
        <w:rPr>
          <w:rFonts w:hint="eastAsia" w:ascii="仿宋" w:hAnsi="仿宋" w:eastAsia="仿宋" w:cs="仿宋"/>
          <w:sz w:val="32"/>
          <w:szCs w:val="32"/>
          <w:highlight w:val="none"/>
        </w:rPr>
        <w:t>万元，较2021年度决算数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85.2</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43.95</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100.59</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8.05</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环江毛南族自治县茧丝绸协调中心</w:t>
      </w:r>
      <w:r>
        <w:rPr>
          <w:rFonts w:hint="eastAsia" w:ascii="仿宋" w:hAnsi="仿宋" w:eastAsia="仿宋" w:cs="仿宋"/>
          <w:sz w:val="32"/>
          <w:szCs w:val="32"/>
          <w:highlight w:val="none"/>
        </w:rPr>
        <w:t>2022 年度一般公共预算财政拨款支出年初预算为</w:t>
      </w:r>
      <w:r>
        <w:rPr>
          <w:rFonts w:hint="eastAsia" w:ascii="仿宋" w:hAnsi="仿宋" w:eastAsia="仿宋" w:cs="仿宋"/>
          <w:sz w:val="32"/>
          <w:u w:color="auto"/>
          <w:lang w:val="en-US" w:eastAsia="zh-CN"/>
        </w:rPr>
        <w:t>167.39</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108.64</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64.9</w:t>
      </w:r>
      <w:r>
        <w:rPr>
          <w:rFonts w:ascii="仿宋" w:hAnsi="仿宋" w:eastAsia="仿宋" w:cs="仿宋"/>
          <w:sz w:val="32"/>
          <w:u w:color="auto"/>
        </w:rPr>
        <w:t>%</w:t>
      </w:r>
      <w:r>
        <w:rPr>
          <w:rFonts w:hint="eastAsia" w:ascii="仿宋" w:hAnsi="仿宋" w:eastAsia="仿宋" w:cs="仿宋"/>
          <w:sz w:val="32"/>
          <w:szCs w:val="32"/>
          <w:highlight w:val="none"/>
        </w:rPr>
        <w:t>。</w:t>
      </w:r>
    </w:p>
    <w:p>
      <w:pPr>
        <w:jc w:val="left"/>
        <w:rPr>
          <w:rFonts w:ascii="仿宋" w:hAnsi="仿宋" w:eastAsia="仿宋"/>
          <w:sz w:val="32"/>
          <w:szCs w:val="32"/>
          <w:highlight w:val="none"/>
        </w:rPr>
      </w:pPr>
      <w:bookmarkStart w:id="3" w:name="OLE_LINK2"/>
      <w:bookmarkEnd w:id="3"/>
      <w:r>
        <w:rPr>
          <w:rFonts w:hint="eastAsia" w:ascii="仿宋" w:hAnsi="仿宋" w:eastAsia="仿宋"/>
          <w:sz w:val="32"/>
          <w:szCs w:val="32"/>
          <w:highlight w:val="none"/>
        </w:rPr>
        <w:t xml:space="preserve"> </w:t>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sz w:val="32"/>
          <w:szCs w:val="32"/>
          <w:highlight w:val="none"/>
        </w:rPr>
      </w:pPr>
      <w:r>
        <w:rPr>
          <w:rFonts w:hint="eastAsia" w:ascii="仿宋_GB2312" w:hAnsi="仿宋_GB2312" w:eastAsia="仿宋_GB2312" w:cs="仿宋_GB2312"/>
          <w:i w:val="0"/>
          <w:iCs w:val="0"/>
          <w:color w:val="000000"/>
          <w:kern w:val="0"/>
          <w:sz w:val="32"/>
          <w:szCs w:val="32"/>
          <w:u w:val="none"/>
          <w:lang w:val="en-US" w:eastAsia="zh-CN" w:bidi="ar"/>
        </w:rPr>
        <w:t>一般公共服务支出</w:t>
      </w:r>
      <w:r>
        <w:rPr>
          <w:rFonts w:ascii="仿宋" w:hAnsi="仿宋" w:eastAsia="仿宋"/>
          <w:sz w:val="32"/>
          <w:u w:color="auto"/>
        </w:rPr>
        <w:t>（20</w:t>
      </w:r>
      <w:r>
        <w:rPr>
          <w:rFonts w:hint="eastAsia" w:ascii="仿宋" w:hAnsi="仿宋" w:eastAsia="仿宋"/>
          <w:sz w:val="32"/>
          <w:u w:color="auto"/>
          <w:lang w:val="en-US" w:eastAsia="zh-CN"/>
        </w:rPr>
        <w:t>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2.52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2.52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无</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13"/>
                <w:szCs w:val="13"/>
                <w:u w:val="none"/>
                <w:lang w:val="en-US" w:eastAsia="zh-CN" w:bidi="ar"/>
              </w:rPr>
              <w:t xml:space="preserve"> 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2.52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2.52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上缴职工工会经费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2.52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2.52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20.15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7.67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38.06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2023年2月单位撤销。</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20.15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7.67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38.06%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auto"/>
                <w:sz w:val="20"/>
                <w:szCs w:val="20"/>
                <w:highlight w:val="none"/>
                <w:u w:val="none"/>
                <w:lang w:val="en-US" w:eastAsia="zh-CN"/>
              </w:rPr>
            </w:pPr>
            <w:r>
              <w:rPr>
                <w:rFonts w:hint="eastAsia" w:asciiTheme="minorEastAsia" w:hAnsiTheme="minorEastAsia" w:eastAsiaTheme="minorEastAsia" w:cstheme="minorEastAsia"/>
                <w:b w:val="0"/>
                <w:bCs w:val="0"/>
                <w:kern w:val="0"/>
                <w:sz w:val="20"/>
                <w:szCs w:val="20"/>
                <w:lang w:val="en-US" w:eastAsia="zh-CN"/>
              </w:rPr>
              <w:t>单位缴纳的基本养老保险费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themeColor="text1"/>
                <w:sz w:val="20"/>
                <w:szCs w:val="20"/>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单位撤销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20.15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7.67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auto"/>
                <w:sz w:val="20"/>
                <w:szCs w:val="20"/>
                <w:highlight w:val="none"/>
                <w:u w:val="none"/>
                <w:lang w:val="en-US" w:eastAsia="zh-CN"/>
              </w:rPr>
            </w:pPr>
            <w:r>
              <w:rPr>
                <w:rFonts w:hint="eastAsia" w:asciiTheme="minorEastAsia" w:hAnsiTheme="minorEastAsia" w:eastAsiaTheme="minorEastAsia" w:cstheme="minorEastAsia"/>
                <w:b w:val="0"/>
                <w:bCs w:val="0"/>
                <w:kern w:val="0"/>
                <w:sz w:val="20"/>
                <w:szCs w:val="20"/>
                <w:lang w:val="en-US" w:eastAsia="zh-CN"/>
              </w:rPr>
              <w:t>单位缴纳的基本养老保险费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themeColor="text1"/>
                <w:sz w:val="20"/>
                <w:szCs w:val="20"/>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lang w:val="en-US" w:eastAsia="zh-CN" w:bidi="ar"/>
                <w14:textFill>
                  <w14:solidFill>
                    <w14:schemeClr w14:val="tx1"/>
                  </w14:solidFill>
                </w14:textFill>
              </w:rPr>
              <w:t>单位撤销</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农林水支出</w:t>
      </w:r>
      <w:r>
        <w:rPr>
          <w:rFonts w:ascii="仿宋" w:hAnsi="仿宋" w:eastAsia="仿宋"/>
          <w:sz w:val="32"/>
          <w:u w:color="auto"/>
        </w:rPr>
        <w:t>（213</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129.61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76.39</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58.94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2023年2月单位撤销。</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事业运行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129.61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76.39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58.94%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bCs/>
                <w:kern w:val="0"/>
                <w:sz w:val="20"/>
                <w:szCs w:val="20"/>
                <w:highlight w:val="none"/>
              </w:rPr>
              <w:t>事业单位人员工资、日常运转方面的支出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单位撤销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129.61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76.39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15.11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5.66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37.45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2023年2月单位撤销。</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15.11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 xml:space="preserve"> 5.66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37.45%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bCs/>
                <w:kern w:val="0"/>
                <w:sz w:val="20"/>
                <w:szCs w:val="20"/>
                <w:highlight w:val="none"/>
              </w:rPr>
              <w:t>事业单位按规定的比例计缴的住房公积金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单位撤销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15.11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5.66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bCs/>
                <w:kern w:val="0"/>
                <w:sz w:val="20"/>
                <w:szCs w:val="20"/>
                <w:highlight w:val="none"/>
              </w:rPr>
              <w:t>事业单位按规定的比例计缴的住房公积金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单位撤销</w:t>
            </w:r>
          </w:p>
        </w:tc>
      </w:tr>
    </w:tbl>
    <w:p>
      <w:pPr>
        <w:jc w:val="left"/>
        <w:rPr>
          <w:rFonts w:hint="eastAsia" w:ascii="仿宋" w:hAnsi="仿宋" w:eastAsia="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cs="仿宋"/>
          <w:sz w:val="32"/>
          <w:szCs w:val="32"/>
          <w:highlight w:val="none"/>
        </w:rPr>
        <w:drawing>
          <wp:inline distT="0" distB="0" distL="114300" distR="114300">
            <wp:extent cx="4046855" cy="3092450"/>
            <wp:effectExtent l="4445" t="4445" r="6350" b="825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0"/>
        </w:numPr>
        <w:suppressLineNumbers w:val="0"/>
        <w:spacing w:before="0" w:beforeAutospacing="0" w:after="0" w:afterAutospacing="0"/>
        <w:ind w:right="0" w:rightChars="0" w:firstLine="320" w:firstLineChars="100"/>
        <w:jc w:val="left"/>
        <w:rPr>
          <w:rFonts w:hint="eastAsia" w:eastAsia="仿宋"/>
          <w:color w:val="FF0000"/>
          <w:highlight w:val="no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（五）其他支出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w:t>
      </w:r>
      <w:r>
        <w:rPr>
          <w:rFonts w:hint="eastAsia" w:ascii="仿宋" w:hAnsi="仿宋" w:eastAsia="仿宋" w:cs="仿宋"/>
          <w:sz w:val="32"/>
          <w:szCs w:val="32"/>
          <w:highlight w:val="none"/>
          <w:lang w:val="en-US" w:eastAsia="zh-CN" w:bidi="ar"/>
        </w:rPr>
        <w:t>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16.41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原因是：年初未作</w:t>
      </w:r>
      <w:r>
        <w:rPr>
          <w:rFonts w:hint="eastAsia" w:ascii="宋体" w:hAnsi="宋体" w:eastAsia="宋体" w:cs="宋体"/>
          <w:kern w:val="0"/>
          <w:sz w:val="28"/>
          <w:szCs w:val="28"/>
          <w:highlight w:val="none"/>
          <w:lang w:val="en-US" w:eastAsia="zh-CN"/>
        </w:rPr>
        <w:t>绩效考评奖</w:t>
      </w:r>
      <w:r>
        <w:rPr>
          <w:rFonts w:hint="eastAsia" w:ascii="仿宋" w:hAnsi="仿宋" w:eastAsia="仿宋"/>
          <w:color w:val="000000" w:themeColor="text1"/>
          <w:sz w:val="32"/>
          <w:szCs w:val="32"/>
          <w:highlight w:val="none"/>
          <w:lang w:val="en-US" w:eastAsia="zh-CN"/>
          <w14:textFill>
            <w14:solidFill>
              <w14:schemeClr w14:val="tx1"/>
            </w14:solidFill>
          </w14:textFill>
        </w:rPr>
        <w:t>预算</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16.41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kern w:val="0"/>
                <w:sz w:val="20"/>
                <w:szCs w:val="20"/>
                <w:highlight w:val="none"/>
                <w:lang w:val="en-US" w:eastAsia="zh-CN"/>
              </w:rPr>
              <w:t>职工发放的年度绩效考评奖等方面的支出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16.41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189730" cy="2091690"/>
            <wp:effectExtent l="5080" t="4445" r="15240" b="184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环江毛南族自治茧丝绸协调中心</w:t>
      </w:r>
      <w:r>
        <w:rPr>
          <w:rFonts w:hint="eastAsia" w:ascii="仿宋" w:hAnsi="仿宋" w:eastAsia="仿宋" w:cs="仿宋"/>
          <w:sz w:val="32"/>
          <w:szCs w:val="32"/>
          <w:highlight w:val="none"/>
        </w:rPr>
        <w:t>2022年度一般公共预算财政拨款基本支出</w:t>
      </w:r>
      <w:r>
        <w:rPr>
          <w:rFonts w:hint="eastAsia" w:ascii="仿宋" w:hAnsi="仿宋" w:eastAsia="仿宋" w:cs="仿宋"/>
          <w:sz w:val="32"/>
          <w:u w:color="auto"/>
          <w:lang w:val="en-US" w:eastAsia="zh-CN"/>
        </w:rPr>
        <w:t>100.59</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94.82</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5.77</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77.65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53.92</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sz w:val="32"/>
          <w:szCs w:val="32"/>
          <w:highlight w:val="none"/>
          <w:lang w:val="en-US" w:eastAsia="zh-CN"/>
        </w:rPr>
        <w:t>的</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主要原因是：2023年2月单位撤销单位撤销。</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30.53万元，30102津贴补贴1.67万元，30103奖金21.18万元，30106伙食补助费0.6万元，30107绩效工资6.02万元，30108机关事业单位基本养老保险缴费7.67万元，30110职工基本医疗保险缴费3.99万元，30111公务员医疗补助缴费0万元，30112其他社会保障缴费0.34万元，30113住房公积金5.66万元，30199其他工资福利支出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5.77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差异</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30201办公费0.45万元，30207邮电费0万元，30211差旅费2.8万元，30215会议费0万元，30216培训费0万元，30226劳务费0万元，30228工会经费2.52万元，30299其他商品和服务支出0万元。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17.18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178.57</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sz w:val="32"/>
          <w:szCs w:val="32"/>
          <w:highlight w:val="none"/>
          <w:lang w:val="en-US" w:eastAsia="zh-CN"/>
        </w:rPr>
        <w:t>的</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主要原因是：支付死亡抚恤金。</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30301离休费0万元，30302退休费0万元，30304抚恤金15.81万元，30305生活补助1.37万元。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环江毛南族自治县茧丝绸协调中心</w:t>
      </w:r>
      <w:r>
        <w:rPr>
          <w:rFonts w:hint="eastAsia" w:ascii="仿宋" w:hAnsi="仿宋" w:eastAsia="仿宋" w:cs="仿宋"/>
          <w:sz w:val="32"/>
          <w:szCs w:val="32"/>
          <w:highlight w:val="none"/>
        </w:rPr>
        <w:t>2022年度政府性基金支出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环江毛南族自治县茧丝绸协调中心</w:t>
      </w:r>
      <w:r>
        <w:rPr>
          <w:rFonts w:hint="eastAsia" w:ascii="仿宋" w:hAnsi="仿宋" w:eastAsia="仿宋" w:cs="仿宋"/>
          <w:sz w:val="32"/>
          <w:szCs w:val="32"/>
          <w:highlight w:val="none"/>
        </w:rPr>
        <w:t>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环江毛南族自治县茧丝绸协调中心</w:t>
      </w:r>
      <w:r>
        <w:rPr>
          <w:rFonts w:ascii="仿宋_GB2312" w:hAnsi="仿宋_GB2312" w:eastAsia="仿宋_GB2312" w:cs="仿宋_GB2312"/>
          <w:color w:val="000000" w:themeColor="text1"/>
          <w:sz w:val="32"/>
          <w:u w:color="auto"/>
          <w14:textFill>
            <w14:solidFill>
              <w14:schemeClr w14:val="tx1"/>
            </w14:solidFill>
          </w14:textFill>
        </w:rPr>
        <w:t>没有政府性基金收入，也没有政府性基金收入安排的支出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环江毛南族自治县茧丝绸协调中心</w:t>
      </w:r>
      <w:r>
        <w:rPr>
          <w:rFonts w:hint="eastAsia" w:ascii="仿宋" w:hAnsi="仿宋" w:eastAsia="仿宋" w:cs="仿宋"/>
          <w:sz w:val="32"/>
          <w:szCs w:val="32"/>
          <w:highlight w:val="none"/>
        </w:rPr>
        <w:t>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环江毛南族自治县茧丝绸协调中心</w:t>
      </w:r>
      <w:r>
        <w:rPr>
          <w:rFonts w:hint="eastAsia" w:ascii="仿宋" w:hAnsi="仿宋" w:eastAsia="仿宋" w:cs="仿宋"/>
          <w:sz w:val="32"/>
          <w:szCs w:val="32"/>
          <w:highlight w:val="none"/>
        </w:rPr>
        <w:t>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bookmarkStart w:id="4" w:name="PO_part3A5B1C1DiffReason1"/>
      <w:r>
        <w:rPr>
          <w:rFonts w:hint="eastAsia" w:ascii="仿宋" w:hAnsi="仿宋" w:eastAsia="仿宋" w:cs="仿宋"/>
          <w:color w:val="000000" w:themeColor="text1"/>
          <w:sz w:val="32"/>
          <w:szCs w:val="32"/>
          <w:highlight w:val="none"/>
          <w:lang w:val="en-US" w:eastAsia="zh-CN"/>
          <w14:textFill>
            <w14:solidFill>
              <w14:schemeClr w14:val="tx1"/>
            </w14:solidFill>
          </w14:textFill>
        </w:rPr>
        <w:t>环江毛南族自治县茧丝绸协调中心</w:t>
      </w:r>
      <w:r>
        <w:rPr>
          <w:rFonts w:ascii="仿宋_GB2312" w:hAnsi="仿宋_GB2312" w:eastAsia="仿宋_GB2312" w:cs="仿宋_GB2312"/>
          <w:color w:val="000000" w:themeColor="text1"/>
          <w:sz w:val="32"/>
          <w:u w:color="auto"/>
          <w14:textFill>
            <w14:solidFill>
              <w14:schemeClr w14:val="tx1"/>
            </w14:solidFill>
          </w14:textFill>
        </w:rPr>
        <w:t>没有国有资本经营预算收入，也没有国有资本经营预算收入</w:t>
      </w:r>
      <w:r>
        <w:rPr>
          <w:rFonts w:hint="eastAsia" w:ascii="仿宋_GB2312" w:hAnsi="仿宋_GB2312" w:eastAsia="仿宋_GB2312" w:cs="仿宋_GB2312"/>
          <w:color w:val="000000" w:themeColor="text1"/>
          <w:sz w:val="32"/>
          <w:u w:color="auto"/>
          <w:lang w:val="en-US" w:eastAsia="zh-CN"/>
          <w14:textFill>
            <w14:solidFill>
              <w14:schemeClr w14:val="tx1"/>
            </w14:solidFill>
          </w14:textFill>
        </w:rPr>
        <w:t>安排的支出</w:t>
      </w:r>
      <w:bookmarkStart w:id="5" w:name="_GoBack"/>
      <w:bookmarkEnd w:id="5"/>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bookmarkEnd w:id="4"/>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2022年度一般公共预算财政拨款安排的“三公”经费支出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3"/>
        </w:numPr>
        <w:ind w:left="-10" w:leftChars="0" w:firstLine="640" w:firstLineChars="0"/>
        <w:jc w:val="left"/>
        <w:rPr>
          <w:rFonts w:hint="eastAsia" w:ascii="仿宋_GB2312" w:hAnsi="Times New Roman" w:eastAsia="仿宋_GB2312" w:cs="Times New Roman"/>
          <w:color w:val="FF0000"/>
          <w:sz w:val="32"/>
          <w:szCs w:val="32"/>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_GB2312" w:hAnsi="Times New Roman" w:eastAsia="仿宋_GB2312" w:cs="Times New Roman"/>
          <w:color w:val="000000" w:themeColor="text1"/>
          <w:sz w:val="32"/>
          <w:szCs w:val="32"/>
          <w14:textFill>
            <w14:solidFill>
              <w14:schemeClr w14:val="tx1"/>
            </w14:solidFill>
          </w14:textFill>
        </w:rPr>
        <w:t>全年使用财政拨款安排</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（局、办、镇）机关、</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14:textFill>
            <w14:solidFill>
              <w14:schemeClr w14:val="tx1"/>
            </w14:solidFill>
          </w14:textFill>
        </w:rPr>
        <w:t>个所属单位出国团组</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个，参加其他单位组织的出国团组</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numPr>
          <w:ilvl w:val="0"/>
          <w:numId w:val="0"/>
        </w:numPr>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万元。2022年，</w:t>
      </w:r>
      <w:r>
        <w:rPr>
          <w:rFonts w:hint="eastAsia" w:ascii="仿宋" w:hAnsi="仿宋" w:eastAsia="仿宋" w:cs="仿宋"/>
          <w:sz w:val="32"/>
          <w:szCs w:val="32"/>
          <w:highlight w:val="none"/>
          <w:lang w:val="en-US" w:eastAsia="zh-CN"/>
        </w:rPr>
        <w:t>环江毛南族自治县茧丝绸协调中心</w:t>
      </w:r>
      <w:r>
        <w:rPr>
          <w:rFonts w:hint="eastAsia" w:ascii="仿宋" w:hAnsi="仿宋" w:eastAsia="仿宋" w:cs="仿宋"/>
          <w:sz w:val="32"/>
          <w:szCs w:val="32"/>
          <w:highlight w:val="none"/>
        </w:rPr>
        <w:t>及</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0 个</w:t>
      </w:r>
      <w:r>
        <w:rPr>
          <w:rFonts w:hint="eastAsia" w:ascii="仿宋" w:hAnsi="仿宋" w:eastAsia="仿宋" w:cs="仿宋"/>
          <w:sz w:val="32"/>
          <w:szCs w:val="32"/>
          <w:highlight w:val="none"/>
        </w:rPr>
        <w:t>所属单位开支财政拨款的公务用车保有量为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 xml:space="preserve">平均每辆 </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 xml:space="preserve"> 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增加1.01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960" w:firstLineChars="300"/>
        <w:jc w:val="left"/>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本部门2022年度机关运行经费支出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p>
    <w:p>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因单位撤销，</w:t>
      </w:r>
      <w:r>
        <w:rPr>
          <w:rFonts w:hint="eastAsia" w:ascii="仿宋" w:hAnsi="仿宋" w:eastAsia="仿宋" w:cs="仿宋"/>
          <w:color w:val="000000" w:themeColor="text1"/>
          <w:sz w:val="32"/>
          <w:szCs w:val="32"/>
          <w14:textFill>
            <w14:solidFill>
              <w14:schemeClr w14:val="tx1"/>
            </w14:solidFill>
          </w14:textFill>
        </w:rPr>
        <w:t>本部门未开展预算绩效自评工作</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因单位撤销，</w:t>
      </w:r>
      <w:r>
        <w:rPr>
          <w:rFonts w:hint="eastAsia" w:ascii="仿宋" w:hAnsi="仿宋" w:eastAsia="仿宋" w:cs="仿宋"/>
          <w:color w:val="000000" w:themeColor="text1"/>
          <w:sz w:val="32"/>
          <w:szCs w:val="32"/>
          <w14:textFill>
            <w14:solidFill>
              <w14:schemeClr w14:val="tx1"/>
            </w14:solidFill>
          </w14:textFill>
        </w:rPr>
        <w:t>本部门未开展预算绩效自评工作</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因单位撤销，</w:t>
      </w:r>
      <w:r>
        <w:rPr>
          <w:rFonts w:hint="eastAsia" w:ascii="仿宋" w:hAnsi="仿宋" w:eastAsia="仿宋" w:cs="仿宋"/>
          <w:color w:val="000000" w:themeColor="text1"/>
          <w:sz w:val="32"/>
          <w:szCs w:val="32"/>
          <w14:textFill>
            <w14:solidFill>
              <w14:schemeClr w14:val="tx1"/>
            </w14:solidFill>
          </w14:textFill>
        </w:rPr>
        <w:t>本部门未开展预算绩效自评工作</w:t>
      </w:r>
      <w:r>
        <w:rPr>
          <w:rFonts w:hint="eastAsia" w:ascii="仿宋" w:hAnsi="仿宋" w:eastAsia="仿宋" w:cs="仿宋"/>
          <w:color w:val="000000" w:themeColor="text1"/>
          <w:sz w:val="32"/>
          <w:szCs w:val="32"/>
          <w:lang w:eastAsia="zh-CN"/>
          <w14:textFill>
            <w14:solidFill>
              <w14:schemeClr w14:val="tx1"/>
            </w14:solidFill>
          </w14:textFill>
        </w:rPr>
        <w:t>。</w:t>
      </w:r>
    </w:p>
    <w:p>
      <w:pPr>
        <w:jc w:val="left"/>
        <w:rPr>
          <w:rFonts w:hint="eastAsia" w:ascii="仿宋" w:hAnsi="仿宋" w:eastAsia="仿宋" w:cs="仿宋"/>
          <w:sz w:val="32"/>
          <w:szCs w:val="32"/>
          <w:highlight w:val="none"/>
          <w:lang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szCs w:val="32"/>
          <w:highlight w:val="none"/>
          <w:lang w:val="en-US" w:eastAsia="zh-CN"/>
        </w:rPr>
        <w:t>环江县</w:t>
      </w:r>
      <w:r>
        <w:rPr>
          <w:rFonts w:ascii="仿宋" w:hAnsi="仿宋" w:eastAsia="仿宋" w:cs="仿宋"/>
          <w:sz w:val="32"/>
          <w:u w:color="auto"/>
        </w:rPr>
        <w:t>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szCs w:val="32"/>
          <w:highlight w:val="none"/>
          <w:lang w:val="en-US" w:eastAsia="zh-CN"/>
        </w:rPr>
        <w:t>环江县</w:t>
      </w:r>
      <w:r>
        <w:rPr>
          <w:rFonts w:ascii="仿宋" w:hAnsi="仿宋" w:eastAsia="仿宋" w:cs="仿宋"/>
          <w:sz w:val="32"/>
          <w:u w:color="auto"/>
        </w:rPr>
        <w:t>财政预决算管理的“三公”经费，是指</w:t>
      </w:r>
      <w:r>
        <w:rPr>
          <w:rFonts w:hint="eastAsia" w:ascii="仿宋" w:hAnsi="仿宋" w:eastAsia="仿宋" w:cs="仿宋"/>
          <w:sz w:val="32"/>
          <w:szCs w:val="32"/>
          <w:highlight w:val="none"/>
          <w:lang w:val="en-US" w:eastAsia="zh-CN"/>
        </w:rPr>
        <w:t>环江县</w:t>
      </w:r>
      <w:r>
        <w:rPr>
          <w:rFonts w:ascii="仿宋" w:hAnsi="仿宋" w:eastAsia="仿宋" w:cs="仿宋"/>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ADF935DB"/>
    <w:multiLevelType w:val="singleLevel"/>
    <w:tmpl w:val="ADF935DB"/>
    <w:lvl w:ilvl="0" w:tentative="0">
      <w:start w:val="1"/>
      <w:numFmt w:val="chineseCounting"/>
      <w:suff w:val="nothing"/>
      <w:lvlText w:val="（%1）"/>
      <w:lvlJc w:val="left"/>
      <w:pPr>
        <w:ind w:left="-10"/>
      </w:pPr>
      <w:rPr>
        <w:rFonts w:hint="eastAsia"/>
        <w:color w:val="000000" w:themeColor="text1"/>
        <w14:textFill>
          <w14:solidFill>
            <w14:schemeClr w14:val="tx1"/>
          </w14:solidFill>
        </w14:textFill>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B624A3"/>
    <w:rsid w:val="020C171D"/>
    <w:rsid w:val="0216715F"/>
    <w:rsid w:val="02E0291A"/>
    <w:rsid w:val="04563431"/>
    <w:rsid w:val="04E54546"/>
    <w:rsid w:val="05992762"/>
    <w:rsid w:val="07B0770E"/>
    <w:rsid w:val="0942143F"/>
    <w:rsid w:val="0A286642"/>
    <w:rsid w:val="0A2D6CDE"/>
    <w:rsid w:val="0B450304"/>
    <w:rsid w:val="0B523695"/>
    <w:rsid w:val="0BA619F4"/>
    <w:rsid w:val="0D100297"/>
    <w:rsid w:val="0D202B45"/>
    <w:rsid w:val="0D863279"/>
    <w:rsid w:val="0F8D4C87"/>
    <w:rsid w:val="0F966CEC"/>
    <w:rsid w:val="0FC10675"/>
    <w:rsid w:val="10505FAA"/>
    <w:rsid w:val="105F7E7E"/>
    <w:rsid w:val="11E56B5B"/>
    <w:rsid w:val="11E66947"/>
    <w:rsid w:val="125C77AB"/>
    <w:rsid w:val="13232374"/>
    <w:rsid w:val="14461C99"/>
    <w:rsid w:val="14CB726E"/>
    <w:rsid w:val="162E6F5A"/>
    <w:rsid w:val="17E92249"/>
    <w:rsid w:val="18D304F1"/>
    <w:rsid w:val="1946006F"/>
    <w:rsid w:val="19F32577"/>
    <w:rsid w:val="19F45B80"/>
    <w:rsid w:val="1B0C078D"/>
    <w:rsid w:val="1B2B31E2"/>
    <w:rsid w:val="1B4C295A"/>
    <w:rsid w:val="1B973C63"/>
    <w:rsid w:val="1BA1001E"/>
    <w:rsid w:val="1D317259"/>
    <w:rsid w:val="1DF16203"/>
    <w:rsid w:val="1E664F5B"/>
    <w:rsid w:val="1E726443"/>
    <w:rsid w:val="1EB34BE1"/>
    <w:rsid w:val="20272672"/>
    <w:rsid w:val="20285E31"/>
    <w:rsid w:val="215E639F"/>
    <w:rsid w:val="21EC3183"/>
    <w:rsid w:val="225E72CD"/>
    <w:rsid w:val="246E2F77"/>
    <w:rsid w:val="250845C9"/>
    <w:rsid w:val="254B4E2B"/>
    <w:rsid w:val="283D7C94"/>
    <w:rsid w:val="29480E03"/>
    <w:rsid w:val="2983634D"/>
    <w:rsid w:val="2A3F23CE"/>
    <w:rsid w:val="2ADC6B69"/>
    <w:rsid w:val="2AF00502"/>
    <w:rsid w:val="2BB02055"/>
    <w:rsid w:val="2C575A56"/>
    <w:rsid w:val="2CA156F3"/>
    <w:rsid w:val="2DCD2017"/>
    <w:rsid w:val="2F257714"/>
    <w:rsid w:val="2F3275E5"/>
    <w:rsid w:val="2FD76444"/>
    <w:rsid w:val="30AA08EF"/>
    <w:rsid w:val="30D23D1C"/>
    <w:rsid w:val="31221CF5"/>
    <w:rsid w:val="31400178"/>
    <w:rsid w:val="320E092F"/>
    <w:rsid w:val="32143D1A"/>
    <w:rsid w:val="321E3342"/>
    <w:rsid w:val="326961BA"/>
    <w:rsid w:val="327759C8"/>
    <w:rsid w:val="32FD3242"/>
    <w:rsid w:val="33185FE3"/>
    <w:rsid w:val="34EE2E36"/>
    <w:rsid w:val="353219EA"/>
    <w:rsid w:val="365F7944"/>
    <w:rsid w:val="36777241"/>
    <w:rsid w:val="36D073CE"/>
    <w:rsid w:val="38A951DB"/>
    <w:rsid w:val="38B31605"/>
    <w:rsid w:val="39003F4F"/>
    <w:rsid w:val="39592B25"/>
    <w:rsid w:val="3B0350DF"/>
    <w:rsid w:val="3C07002B"/>
    <w:rsid w:val="3D0D152A"/>
    <w:rsid w:val="3DC47307"/>
    <w:rsid w:val="3DF62756"/>
    <w:rsid w:val="3F1B7587"/>
    <w:rsid w:val="413C5593"/>
    <w:rsid w:val="4179217A"/>
    <w:rsid w:val="41E57B4F"/>
    <w:rsid w:val="423105CF"/>
    <w:rsid w:val="432F26F6"/>
    <w:rsid w:val="43880F63"/>
    <w:rsid w:val="43BF2F95"/>
    <w:rsid w:val="441C5A6F"/>
    <w:rsid w:val="44C44FCC"/>
    <w:rsid w:val="44CC7369"/>
    <w:rsid w:val="44E95960"/>
    <w:rsid w:val="452F340B"/>
    <w:rsid w:val="457F5108"/>
    <w:rsid w:val="46951B6B"/>
    <w:rsid w:val="48313181"/>
    <w:rsid w:val="49A34401"/>
    <w:rsid w:val="4A3E30AB"/>
    <w:rsid w:val="4A81295B"/>
    <w:rsid w:val="4AB670D1"/>
    <w:rsid w:val="4AC14DAC"/>
    <w:rsid w:val="4D154C85"/>
    <w:rsid w:val="4EC8553A"/>
    <w:rsid w:val="508F4E24"/>
    <w:rsid w:val="51461E90"/>
    <w:rsid w:val="51463753"/>
    <w:rsid w:val="52553A93"/>
    <w:rsid w:val="53521F8B"/>
    <w:rsid w:val="53E22F47"/>
    <w:rsid w:val="54522FF8"/>
    <w:rsid w:val="55450629"/>
    <w:rsid w:val="55CB1DEE"/>
    <w:rsid w:val="56566FF6"/>
    <w:rsid w:val="56692963"/>
    <w:rsid w:val="568B0F48"/>
    <w:rsid w:val="56C1680E"/>
    <w:rsid w:val="5786217B"/>
    <w:rsid w:val="57A42058"/>
    <w:rsid w:val="58767AB0"/>
    <w:rsid w:val="59337A15"/>
    <w:rsid w:val="5940223D"/>
    <w:rsid w:val="59810274"/>
    <w:rsid w:val="5A47724F"/>
    <w:rsid w:val="5C9B02D6"/>
    <w:rsid w:val="5CA96A00"/>
    <w:rsid w:val="5CF730BC"/>
    <w:rsid w:val="5D9F25D1"/>
    <w:rsid w:val="5E5F0DCE"/>
    <w:rsid w:val="5EFE3EAF"/>
    <w:rsid w:val="5FA40A7B"/>
    <w:rsid w:val="5FD56D29"/>
    <w:rsid w:val="5FEC7F3F"/>
    <w:rsid w:val="60657AB6"/>
    <w:rsid w:val="60F74BC3"/>
    <w:rsid w:val="617D3BF8"/>
    <w:rsid w:val="61841F6A"/>
    <w:rsid w:val="61E87831"/>
    <w:rsid w:val="623007A9"/>
    <w:rsid w:val="637D7558"/>
    <w:rsid w:val="63B44D1B"/>
    <w:rsid w:val="63C44836"/>
    <w:rsid w:val="644F19AC"/>
    <w:rsid w:val="656424BC"/>
    <w:rsid w:val="65AA4920"/>
    <w:rsid w:val="664179AD"/>
    <w:rsid w:val="66E80237"/>
    <w:rsid w:val="67694F1E"/>
    <w:rsid w:val="67B92C9E"/>
    <w:rsid w:val="69597934"/>
    <w:rsid w:val="6B964DDC"/>
    <w:rsid w:val="6BFB49CC"/>
    <w:rsid w:val="6C783074"/>
    <w:rsid w:val="6D3B7744"/>
    <w:rsid w:val="6D9E65C6"/>
    <w:rsid w:val="6DA81947"/>
    <w:rsid w:val="6DD74D82"/>
    <w:rsid w:val="6EB66DE2"/>
    <w:rsid w:val="6ED3075F"/>
    <w:rsid w:val="6F2A2D4B"/>
    <w:rsid w:val="6F8A0C1E"/>
    <w:rsid w:val="703F45D4"/>
    <w:rsid w:val="71396880"/>
    <w:rsid w:val="715D6546"/>
    <w:rsid w:val="71BE069E"/>
    <w:rsid w:val="73953409"/>
    <w:rsid w:val="73E069A3"/>
    <w:rsid w:val="76945F9C"/>
    <w:rsid w:val="7696299F"/>
    <w:rsid w:val="78104AA8"/>
    <w:rsid w:val="78E257C5"/>
    <w:rsid w:val="794B35BE"/>
    <w:rsid w:val="79AD05FD"/>
    <w:rsid w:val="7B0A3A31"/>
    <w:rsid w:val="7B3360ED"/>
    <w:rsid w:val="7B5319F3"/>
    <w:rsid w:val="7BDF037E"/>
    <w:rsid w:val="7BF50948"/>
    <w:rsid w:val="7C787CB4"/>
    <w:rsid w:val="7CA30A3C"/>
    <w:rsid w:val="7CB67CAB"/>
    <w:rsid w:val="7CE66A78"/>
    <w:rsid w:val="7D23564C"/>
    <w:rsid w:val="7D5E062D"/>
    <w:rsid w:val="7DF76CD8"/>
    <w:rsid w:val="7DF97984"/>
    <w:rsid w:val="7E5A355A"/>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next w:val="3"/>
    <w:link w:val="11"/>
    <w:qFormat/>
    <w:uiPriority w:val="0"/>
    <w:pPr>
      <w:tabs>
        <w:tab w:val="center" w:pos="4153"/>
        <w:tab w:val="right" w:pos="8306"/>
      </w:tabs>
      <w:snapToGrid w:val="0"/>
      <w:jc w:val="left"/>
    </w:pPr>
    <w:rPr>
      <w:sz w:val="18"/>
      <w:szCs w:val="18"/>
    </w:rPr>
  </w:style>
  <w:style w:type="paragraph" w:styleId="3">
    <w:name w:val="Normal (Web)"/>
    <w:basedOn w:val="1"/>
    <w:next w:val="4"/>
    <w:qFormat/>
    <w:uiPriority w:val="0"/>
    <w:pPr>
      <w:spacing w:beforeAutospacing="1" w:afterAutospacing="1"/>
      <w:jc w:val="left"/>
    </w:pPr>
    <w:rPr>
      <w:rFonts w:cs="Times New Roman"/>
      <w:kern w:val="0"/>
      <w:sz w:val="24"/>
    </w:rPr>
  </w:style>
  <w:style w:type="paragraph" w:styleId="4">
    <w:name w:val="index 6"/>
    <w:basedOn w:val="1"/>
    <w:next w:val="1"/>
    <w:qFormat/>
    <w:uiPriority w:val="0"/>
    <w:pPr>
      <w:ind w:left="2100"/>
    </w:p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0"/>
    <w:rPr>
      <w:i/>
    </w:rPr>
  </w:style>
  <w:style w:type="character" w:customStyle="1" w:styleId="10">
    <w:name w:val="页眉 Char"/>
    <w:basedOn w:val="8"/>
    <w:link w:val="6"/>
    <w:qFormat/>
    <w:uiPriority w:val="0"/>
    <w:rPr>
      <w:rFonts w:asciiTheme="minorHAnsi" w:hAnsiTheme="minorHAnsi" w:eastAsiaTheme="minorEastAsia" w:cstheme="minorBidi"/>
      <w:kern w:val="2"/>
      <w:sz w:val="18"/>
      <w:szCs w:val="18"/>
    </w:rPr>
  </w:style>
  <w:style w:type="character" w:customStyle="1" w:styleId="11">
    <w:name w:val="页脚 Char"/>
    <w:basedOn w:val="8"/>
    <w:link w:val="2"/>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7.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108.64</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15.81</c:v>
                </c:pt>
                <c:pt idx="4">
                  <c:v>1.37</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一般公共服务支出</c:v>
                </c:pt>
                <c:pt idx="1">
                  <c:v>社会保障和就业支出</c:v>
                </c:pt>
                <c:pt idx="2">
                  <c:v>其他支出</c:v>
                </c:pt>
                <c:pt idx="3">
                  <c:v>农林水支出</c:v>
                </c:pt>
                <c:pt idx="4">
                  <c:v>住房保障支出</c:v>
                </c:pt>
              </c:strCache>
            </c:strRef>
          </c:cat>
          <c:val>
            <c:numRef>
              <c:f>Sheet1!$B$2:$B$6</c:f>
              <c:numCache>
                <c:formatCode>General</c:formatCode>
                <c:ptCount val="5"/>
                <c:pt idx="0">
                  <c:v>1.93</c:v>
                </c:pt>
                <c:pt idx="1">
                  <c:v>18.81</c:v>
                </c:pt>
                <c:pt idx="2">
                  <c:v>35.52</c:v>
                </c:pt>
                <c:pt idx="3">
                  <c:v>123.51</c:v>
                </c:pt>
                <c:pt idx="4">
                  <c:v>14.08</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一般公共服务支出</c:v>
                </c:pt>
                <c:pt idx="1">
                  <c:v>社会保障和就业支出</c:v>
                </c:pt>
                <c:pt idx="2">
                  <c:v>其他支出</c:v>
                </c:pt>
                <c:pt idx="3">
                  <c:v>农林水支出</c:v>
                </c:pt>
                <c:pt idx="4">
                  <c:v>住房保障支出</c:v>
                </c:pt>
              </c:strCache>
            </c:strRef>
          </c:cat>
          <c:val>
            <c:numRef>
              <c:f>Sheet1!$C$2:$C$6</c:f>
              <c:numCache>
                <c:formatCode>General</c:formatCode>
                <c:ptCount val="5"/>
                <c:pt idx="0">
                  <c:v>2.52</c:v>
                </c:pt>
                <c:pt idx="1">
                  <c:v>7.67</c:v>
                </c:pt>
                <c:pt idx="2">
                  <c:v>16.41</c:v>
                </c:pt>
                <c:pt idx="3">
                  <c:v>76.39</c:v>
                </c:pt>
                <c:pt idx="4">
                  <c:v>5.66</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sz="1100"/>
              <a:t>一般公共服务支出</a:t>
            </a:r>
            <a:endParaRPr alt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Sheet1!$A$2:$A$10</c:f>
              <c:numCache>
                <c:formatCode>General</c:formatCode>
                <c:ptCount val="9"/>
                <c:pt idx="0">
                  <c:v>2012999</c:v>
                </c:pt>
              </c:numCache>
            </c:numRef>
          </c:cat>
          <c:val>
            <c:numRef>
              <c:f>Sheet1!$B$2:$B$10</c:f>
              <c:numCache>
                <c:formatCode>General</c:formatCode>
                <c:ptCount val="9"/>
                <c:pt idx="0">
                  <c:v>2.52</c:v>
                </c:pt>
                <c:pt idx="1">
                  <c:v>0</c:v>
                </c:pt>
                <c:pt idx="2">
                  <c:v>0</c:v>
                </c:pt>
                <c:pt idx="3">
                  <c:v>0</c:v>
                </c:pt>
                <c:pt idx="4">
                  <c:v>0</c:v>
                </c:pt>
                <c:pt idx="5">
                  <c:v>0</c:v>
                </c:pt>
                <c:pt idx="6">
                  <c:v>0</c:v>
                </c:pt>
                <c:pt idx="7">
                  <c:v>0</c:v>
                </c:pt>
                <c:pt idx="8">
                  <c:v>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Sheet1!$A$2:$A$5</c:f>
              <c:numCache>
                <c:formatCode>General</c:formatCode>
                <c:ptCount val="4"/>
                <c:pt idx="0">
                  <c:v>2080505</c:v>
                </c:pt>
              </c:numCache>
            </c:numRef>
          </c:cat>
          <c:val>
            <c:numRef>
              <c:f>Sheet1!$B$2:$B$5</c:f>
              <c:numCache>
                <c:formatCode>General</c:formatCode>
                <c:ptCount val="4"/>
                <c:pt idx="0">
                  <c:v>7.67</c:v>
                </c:pt>
                <c:pt idx="1">
                  <c:v>0</c:v>
                </c:pt>
                <c:pt idx="2">
                  <c:v>0</c:v>
                </c:pt>
                <c:pt idx="3">
                  <c:v>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农林水支出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2130104</c:v>
                </c:pt>
              </c:numCache>
            </c:numRef>
          </c:cat>
          <c:val>
            <c:numRef>
              <c:f>Sheet1!$B$2:$B$3</c:f>
              <c:numCache>
                <c:formatCode>General</c:formatCode>
                <c:ptCount val="2"/>
                <c:pt idx="0">
                  <c:v>76.39</c:v>
                </c:pt>
                <c:pt idx="1">
                  <c:v>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manualLayout>
          <c:layoutTarget val="inner"/>
          <c:xMode val="edge"/>
          <c:yMode val="edge"/>
          <c:x val="0.0764296863913722"/>
          <c:y val="0.166469194312796"/>
          <c:w val="0.892351355186604"/>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2210201</c:v>
                </c:pt>
              </c:numCache>
            </c:numRef>
          </c:cat>
          <c:val>
            <c:numRef>
              <c:f>Sheet1!$B$2:$B$3</c:f>
              <c:numCache>
                <c:formatCode>General</c:formatCode>
                <c:ptCount val="2"/>
                <c:pt idx="0">
                  <c:v>5.66</c:v>
                </c:pt>
                <c:pt idx="1">
                  <c:v>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其他</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Sheet1!$A$2:$A$5</c:f>
              <c:numCache>
                <c:formatCode>General</c:formatCode>
                <c:ptCount val="4"/>
                <c:pt idx="0">
                  <c:v>2299999</c:v>
                </c:pt>
              </c:numCache>
            </c:numRef>
          </c:cat>
          <c:val>
            <c:numRef>
              <c:f>Sheet1!$B$2:$B$5</c:f>
              <c:numCache>
                <c:formatCode>General</c:formatCode>
                <c:ptCount val="4"/>
                <c:pt idx="0">
                  <c:v>16.41</c:v>
                </c:pt>
                <c:pt idx="1">
                  <c:v>0</c:v>
                </c:pt>
                <c:pt idx="2">
                  <c:v>0</c:v>
                </c:pt>
                <c:pt idx="3">
                  <c:v>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30.53</c:v>
                </c:pt>
                <c:pt idx="1">
                  <c:v>1.67</c:v>
                </c:pt>
                <c:pt idx="2">
                  <c:v>21.18</c:v>
                </c:pt>
                <c:pt idx="3">
                  <c:v>0.6</c:v>
                </c:pt>
                <c:pt idx="4">
                  <c:v>6.02</c:v>
                </c:pt>
                <c:pt idx="5">
                  <c:v>7.67</c:v>
                </c:pt>
                <c:pt idx="6">
                  <c:v>0</c:v>
                </c:pt>
                <c:pt idx="7">
                  <c:v>3.99</c:v>
                </c:pt>
                <c:pt idx="8">
                  <c:v>0</c:v>
                </c:pt>
                <c:pt idx="9">
                  <c:v>0.34</c:v>
                </c:pt>
                <c:pt idx="10">
                  <c:v>5.66</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0.45</c:v>
                </c:pt>
                <c:pt idx="1">
                  <c:v>0</c:v>
                </c:pt>
                <c:pt idx="2">
                  <c:v>0</c:v>
                </c:pt>
                <c:pt idx="3">
                  <c:v>0</c:v>
                </c:pt>
                <c:pt idx="4">
                  <c:v>0</c:v>
                </c:pt>
                <c:pt idx="5">
                  <c:v>0</c:v>
                </c:pt>
                <c:pt idx="6">
                  <c:v>0</c:v>
                </c:pt>
                <c:pt idx="7">
                  <c:v>0</c:v>
                </c:pt>
                <c:pt idx="8">
                  <c:v>0</c:v>
                </c:pt>
                <c:pt idx="9">
                  <c:v>2.8</c:v>
                </c:pt>
                <c:pt idx="10">
                  <c:v>0</c:v>
                </c:pt>
                <c:pt idx="11">
                  <c:v>0</c:v>
                </c:pt>
                <c:pt idx="12">
                  <c:v>0</c:v>
                </c:pt>
                <c:pt idx="13">
                  <c:v>0</c:v>
                </c:pt>
                <c:pt idx="14">
                  <c:v>0</c:v>
                </c:pt>
                <c:pt idx="15">
                  <c:v>0</c:v>
                </c:pt>
                <c:pt idx="16">
                  <c:v>0</c:v>
                </c:pt>
                <c:pt idx="17">
                  <c:v>0</c:v>
                </c:pt>
                <c:pt idx="18">
                  <c:v>0</c:v>
                </c:pt>
                <c:pt idx="19">
                  <c:v>0</c:v>
                </c:pt>
                <c:pt idx="20">
                  <c:v>0</c:v>
                </c:pt>
                <c:pt idx="21">
                  <c:v>2.52</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17</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2023-11-23T09:12:38Z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ies>
</file>