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hint="eastAsia" w:ascii="黑体" w:hAnsi="黑体" w:eastAsia="黑体" w:cs="黑体"/>
          <w:b/>
          <w:bCs/>
          <w:sz w:val="52"/>
          <w:szCs w:val="52"/>
          <w:highlight w:val="none"/>
          <w:lang w:eastAsia="zh-CN"/>
        </w:rPr>
      </w:pPr>
      <w:r>
        <w:rPr>
          <w:rFonts w:hint="eastAsia" w:ascii="黑体" w:hAnsi="黑体" w:eastAsia="黑体" w:cs="黑体"/>
          <w:b/>
          <w:bCs/>
          <w:sz w:val="52"/>
          <w:szCs w:val="52"/>
          <w:highlight w:val="none"/>
          <w:lang w:eastAsia="zh-CN"/>
        </w:rPr>
        <w:t>环江</w:t>
      </w:r>
      <w:r>
        <w:rPr>
          <w:rFonts w:hint="eastAsia" w:ascii="黑体" w:hAnsi="黑体" w:eastAsia="黑体" w:cs="黑体"/>
          <w:b/>
          <w:bCs/>
          <w:sz w:val="52"/>
          <w:szCs w:val="52"/>
          <w:highlight w:val="none"/>
          <w:lang w:val="en-US" w:eastAsia="zh-CN"/>
        </w:rPr>
        <w:t>毛南族自治</w:t>
      </w:r>
      <w:r>
        <w:rPr>
          <w:rFonts w:hint="eastAsia" w:ascii="黑体" w:hAnsi="黑体" w:eastAsia="黑体" w:cs="黑体"/>
          <w:b/>
          <w:bCs/>
          <w:sz w:val="52"/>
          <w:szCs w:val="52"/>
          <w:highlight w:val="none"/>
          <w:lang w:eastAsia="zh-CN"/>
        </w:rPr>
        <w:t>县红茂矿区管理处</w:t>
      </w: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rPr>
        <w:t>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hint="eastAsia" w:ascii="黑体" w:hAnsi="黑体" w:eastAsia="黑体" w:cs="黑体"/>
          <w:sz w:val="32"/>
          <w:u w:color="auto"/>
          <w:lang w:eastAsia="zh-CN"/>
        </w:rPr>
        <w:t>红茂管理处</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u w:color="auto"/>
          <w:lang w:eastAsia="zh-CN"/>
        </w:rPr>
        <w:t>红茂管理处</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表九：一般公共预算财政拨款安排的“三公”经费支出决算表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u w:color="auto"/>
          <w:lang w:eastAsia="zh-CN"/>
        </w:rPr>
        <w:t>红茂管理处</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公共预算财政拨款安排的“三公”经费支出决算情况说明。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hint="eastAsia" w:ascii="黑体" w:hAnsi="黑体" w:eastAsia="黑体" w:cs="黑体"/>
          <w:b/>
          <w:sz w:val="32"/>
          <w:u w:color="auto"/>
          <w:lang w:eastAsia="zh-CN"/>
        </w:rPr>
        <w:t>红茂矿区管理处</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spacing w:line="600" w:lineRule="exact"/>
        <w:ind w:firstLine="640" w:firstLineChars="200"/>
        <w:rPr>
          <w:rFonts w:hint="eastAsia" w:ascii="仿宋" w:hAnsi="仿宋" w:eastAsia="仿宋" w:cs="仿宋"/>
          <w:color w:val="FF0000"/>
          <w:sz w:val="32"/>
          <w:szCs w:val="32"/>
          <w:lang w:val="en-US" w:eastAsia="zh-CN"/>
        </w:rPr>
      </w:pPr>
      <w:r>
        <w:rPr>
          <w:rFonts w:hint="eastAsia" w:ascii="仿宋" w:hAnsi="仿宋" w:eastAsia="仿宋" w:cs="仿宋"/>
          <w:color w:val="auto"/>
          <w:sz w:val="32"/>
          <w:szCs w:val="32"/>
          <w:lang w:eastAsia="zh-CN"/>
        </w:rPr>
        <w:t>红茂矿区管理处</w:t>
      </w:r>
      <w:r>
        <w:rPr>
          <w:rFonts w:hint="eastAsia" w:ascii="仿宋" w:hAnsi="仿宋" w:eastAsia="仿宋" w:cs="仿宋"/>
          <w:color w:val="auto"/>
          <w:sz w:val="32"/>
          <w:szCs w:val="32"/>
        </w:rPr>
        <w:t>的主要职能是：</w:t>
      </w:r>
      <w:r>
        <w:rPr>
          <w:rFonts w:hint="eastAsia" w:ascii="仿宋" w:hAnsi="仿宋" w:eastAsia="仿宋"/>
          <w:sz w:val="32"/>
          <w:szCs w:val="32"/>
        </w:rPr>
        <w:t>负责原红茂矿务局离退休人员及家属、矿区居民提供服务，离退休人员、待遇人员管理；负责红茂矿区居民最低生活保障金的申报工作；负责原红茂矿务局职工遗属的抚恤金和救济金的管理发放，负责伤残未退休人员生活费的发放和伤残人员护理费的发放；负责红茂矿区社会事务管理工作。</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spacing w:line="600" w:lineRule="exact"/>
        <w:ind w:firstLine="640" w:firstLineChars="200"/>
        <w:rPr>
          <w:rFonts w:ascii="仿宋" w:hAnsi="仿宋" w:eastAsia="仿宋"/>
          <w:sz w:val="32"/>
          <w:szCs w:val="32"/>
        </w:rPr>
      </w:pPr>
      <w:r>
        <w:rPr>
          <w:rFonts w:hint="eastAsia" w:ascii="仿宋" w:hAnsi="仿宋" w:eastAsia="仿宋" w:cs="仿宋"/>
          <w:color w:val="auto"/>
          <w:sz w:val="32"/>
          <w:szCs w:val="32"/>
        </w:rPr>
        <w:t>我</w:t>
      </w:r>
      <w:r>
        <w:rPr>
          <w:rFonts w:hint="eastAsia" w:ascii="仿宋" w:hAnsi="仿宋" w:eastAsia="仿宋" w:cs="仿宋"/>
          <w:color w:val="auto"/>
          <w:sz w:val="32"/>
          <w:szCs w:val="32"/>
          <w:lang w:eastAsia="zh-CN"/>
        </w:rPr>
        <w:t>处</w:t>
      </w:r>
      <w:r>
        <w:rPr>
          <w:rFonts w:hint="eastAsia" w:ascii="仿宋" w:hAnsi="仿宋" w:eastAsia="仿宋" w:cs="仿宋"/>
          <w:color w:val="auto"/>
          <w:sz w:val="32"/>
          <w:szCs w:val="32"/>
        </w:rPr>
        <w:t>没有下属单位，按照部门决算编报要求，单独编制本部门决算。</w:t>
      </w:r>
      <w:r>
        <w:rPr>
          <w:rFonts w:hint="eastAsia" w:ascii="仿宋" w:hAnsi="仿宋" w:eastAsia="仿宋"/>
          <w:sz w:val="32"/>
          <w:szCs w:val="32"/>
        </w:rPr>
        <w:t>我处为正科级财政全额拔款事业单位</w:t>
      </w:r>
      <w:r>
        <w:rPr>
          <w:rFonts w:hint="eastAsia" w:ascii="仿宋" w:hAnsi="仿宋" w:eastAsia="仿宋"/>
          <w:sz w:val="32"/>
          <w:szCs w:val="32"/>
          <w:lang w:eastAsia="zh-CN"/>
        </w:rPr>
        <w:t>，</w:t>
      </w:r>
      <w:r>
        <w:rPr>
          <w:rFonts w:hint="eastAsia" w:ascii="仿宋" w:hAnsi="仿宋" w:eastAsia="仿宋"/>
          <w:sz w:val="32"/>
          <w:szCs w:val="32"/>
        </w:rPr>
        <w:t>根据以上职责，下设</w:t>
      </w:r>
      <w:r>
        <w:rPr>
          <w:rFonts w:ascii="仿宋" w:hAnsi="仿宋" w:eastAsia="仿宋"/>
          <w:sz w:val="32"/>
          <w:szCs w:val="32"/>
        </w:rPr>
        <w:t>5</w:t>
      </w:r>
      <w:r>
        <w:rPr>
          <w:rFonts w:hint="eastAsia" w:ascii="仿宋" w:hAnsi="仿宋" w:eastAsia="仿宋"/>
          <w:sz w:val="32"/>
          <w:szCs w:val="32"/>
        </w:rPr>
        <w:t>个职能股室和两个管理区：办公室、财务股、社会保障股、离退休管理股、社会事务管理股、红山管理区、茂兰管理区。</w:t>
      </w:r>
    </w:p>
    <w:p>
      <w:pPr>
        <w:ind w:firstLine="640" w:firstLineChars="200"/>
        <w:jc w:val="left"/>
        <w:rPr>
          <w:rFonts w:hint="eastAsia" w:ascii="仿宋" w:hAnsi="仿宋" w:eastAsia="仿宋" w:cs="仿宋"/>
          <w:color w:val="FF0000"/>
          <w:sz w:val="32"/>
          <w:szCs w:val="32"/>
        </w:rPr>
      </w:pPr>
    </w:p>
    <w:p>
      <w:pPr>
        <w:jc w:val="center"/>
        <w:rPr>
          <w:rFonts w:hint="eastAsia" w:ascii="仿宋" w:hAnsi="仿宋" w:eastAsia="仿宋" w:cs="仿宋"/>
          <w:sz w:val="32"/>
          <w:szCs w:val="32"/>
          <w:highlight w:val="none"/>
          <w:lang w:val="en-US" w:eastAsia="zh-CN"/>
        </w:rPr>
      </w:pPr>
    </w:p>
    <w:p>
      <w:pPr>
        <w:jc w:val="center"/>
        <w:rPr>
          <w:rFonts w:hint="eastAsia"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jc w:val="center"/>
        <w:rPr>
          <w:rFonts w:hint="eastAsia"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u w:color="auto"/>
          <w:lang w:eastAsia="zh-CN"/>
        </w:rPr>
        <w:t>红茂矿区管理处</w:t>
      </w:r>
      <w:r>
        <w:rPr>
          <w:rFonts w:hint="eastAsia" w:ascii="黑体" w:hAnsi="黑体" w:eastAsia="黑体" w:cs="黑体"/>
          <w:sz w:val="32"/>
          <w:szCs w:val="32"/>
          <w:highlight w:val="none"/>
        </w:rPr>
        <w:t>2022年度部门决算报表</w:t>
      </w:r>
    </w:p>
    <w:tbl>
      <w:tblPr>
        <w:tblStyle w:val="7"/>
        <w:tblW w:w="91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096"/>
        <w:gridCol w:w="656"/>
        <w:gridCol w:w="876"/>
        <w:gridCol w:w="2916"/>
        <w:gridCol w:w="656"/>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165" w:type="dxa"/>
            <w:gridSpan w:val="6"/>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gridSpan w:val="4"/>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部门：广西河池市环江毛南族自治县红茂矿区管理处</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665.03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四、上级补助收入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五、事业收入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六、经营收入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八、其他收入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665.03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结余分配</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年末结转和结余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665.03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2.本套报表金额单位转换时可能存在尾数误差。</w:t>
            </w:r>
          </w:p>
        </w:tc>
      </w:tr>
    </w:tbl>
    <w:p>
      <w:pPr>
        <w:jc w:val="both"/>
        <w:rPr>
          <w:rFonts w:hint="eastAsia" w:ascii="黑体" w:hAnsi="黑体" w:eastAsia="黑体" w:cs="黑体"/>
          <w:sz w:val="32"/>
          <w:szCs w:val="32"/>
          <w:highlight w:val="none"/>
        </w:rPr>
        <w:sectPr>
          <w:pgSz w:w="11906" w:h="16838"/>
          <w:pgMar w:top="1440" w:right="1587" w:bottom="1440" w:left="1304" w:header="851" w:footer="992" w:gutter="0"/>
          <w:cols w:space="425" w:num="1"/>
          <w:docGrid w:type="lines" w:linePitch="312" w:charSpace="0"/>
        </w:sectPr>
      </w:pPr>
    </w:p>
    <w:tbl>
      <w:tblPr>
        <w:tblStyle w:val="7"/>
        <w:tblW w:w="104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90"/>
        <w:gridCol w:w="3276"/>
        <w:gridCol w:w="990"/>
        <w:gridCol w:w="990"/>
        <w:gridCol w:w="845"/>
        <w:gridCol w:w="845"/>
        <w:gridCol w:w="845"/>
        <w:gridCol w:w="845"/>
        <w:gridCol w:w="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047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 xml:space="preserve">                          收入决算表                           </w:t>
            </w:r>
            <w:r>
              <w:rPr>
                <w:rFonts w:hint="eastAsia" w:ascii="宋体" w:hAnsi="宋体" w:eastAsia="宋体" w:cs="宋体"/>
                <w:i w:val="0"/>
                <w:iCs w:val="0"/>
                <w:color w:val="000000"/>
                <w:kern w:val="0"/>
                <w:sz w:val="18"/>
                <w:szCs w:val="18"/>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0470" w:type="dxa"/>
            <w:gridSpan w:val="9"/>
            <w:tcBorders>
              <w:top w:val="nil"/>
              <w:left w:val="nil"/>
              <w:bottom w:val="nil"/>
              <w:right w:val="nil"/>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部门：广西河池市环江毛南族自治县红茂矿区管理处                                           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99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99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85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85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85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85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85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99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9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9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5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5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5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5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5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9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5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5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5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85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85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665.03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665.03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政府办公厅（室）及相关机构事务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群众团体事务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其他群众团体事务支出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组织事务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其他共产党事务支出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129.95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129.95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49.63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49.63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49.63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49.63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49.63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49.63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农村综合改革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对村民委员会和村党支部的补助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资源勘探工业信息等支出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345.20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345.20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资源勘探开发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215.70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215.70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其他资源勘探业支出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215.70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215.70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其他资源勘探工业信息等支出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其他资源勘探工业信息等支出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0" w:type="auto"/>
            <w:gridSpan w:val="9"/>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jc w:val="both"/>
        <w:rPr>
          <w:rFonts w:hint="eastAsia" w:ascii="黑体" w:hAnsi="黑体" w:eastAsia="黑体" w:cs="黑体"/>
          <w:sz w:val="32"/>
          <w:szCs w:val="32"/>
          <w:highlight w:val="none"/>
        </w:rPr>
        <w:sectPr>
          <w:pgSz w:w="11906" w:h="16838"/>
          <w:pgMar w:top="1417" w:right="567" w:bottom="850" w:left="567" w:header="851" w:footer="992" w:gutter="0"/>
          <w:cols w:space="425" w:num="1"/>
          <w:docGrid w:type="lines" w:linePitch="312" w:charSpace="0"/>
        </w:sectPr>
      </w:pPr>
    </w:p>
    <w:p>
      <w:pPr>
        <w:jc w:val="both"/>
        <w:rPr>
          <w:rFonts w:ascii="仿宋" w:hAnsi="仿宋" w:eastAsia="仿宋" w:cs="仿宋"/>
          <w:sz w:val="24"/>
          <w:highlight w:val="none"/>
        </w:rPr>
      </w:pPr>
    </w:p>
    <w:tbl>
      <w:tblPr>
        <w:tblStyle w:val="7"/>
        <w:tblW w:w="104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9"/>
        <w:gridCol w:w="329"/>
        <w:gridCol w:w="329"/>
        <w:gridCol w:w="4101"/>
        <w:gridCol w:w="1010"/>
        <w:gridCol w:w="1010"/>
        <w:gridCol w:w="1010"/>
        <w:gridCol w:w="724"/>
        <w:gridCol w:w="724"/>
        <w:gridCol w:w="11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0425" w:type="dxa"/>
            <w:gridSpan w:val="10"/>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0425" w:type="dxa"/>
            <w:gridSpan w:val="10"/>
            <w:tcBorders>
              <w:top w:val="nil"/>
              <w:left w:val="nil"/>
              <w:bottom w:val="nil"/>
              <w:right w:val="nil"/>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部门：广西河池市环江毛南族自治县红茂矿区管理处                                 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06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06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06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73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73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84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6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6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6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3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3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4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6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6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6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3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3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4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6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6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6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3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3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4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06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6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3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3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8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665.03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384.74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280.29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组织事务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其他共产党事务支出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129.95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49.63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49.63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49.63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49.63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49.63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49.63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农村综合改革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资源勘探工业信息等支出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345.20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资源勘探开发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215.70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其他资源勘探业支出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215.70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其他资源勘探工业信息等支出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其他资源勘探工业信息等支出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rPr>
          <w:rFonts w:ascii="仿宋" w:hAnsi="仿宋" w:eastAsia="仿宋" w:cs="仿宋"/>
          <w:sz w:val="24"/>
          <w:highlight w:val="none"/>
        </w:rPr>
        <w:sectPr>
          <w:pgSz w:w="11906" w:h="16838"/>
          <w:pgMar w:top="850" w:right="567" w:bottom="850" w:left="567" w:header="851" w:footer="992" w:gutter="0"/>
          <w:cols w:space="425" w:num="1"/>
          <w:docGrid w:type="lines" w:linePitch="312" w:charSpace="0"/>
        </w:sectPr>
      </w:pPr>
    </w:p>
    <w:tbl>
      <w:tblPr>
        <w:tblStyle w:val="7"/>
        <w:tblW w:w="149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739"/>
        <w:gridCol w:w="597"/>
        <w:gridCol w:w="1198"/>
        <w:gridCol w:w="3266"/>
        <w:gridCol w:w="1185"/>
        <w:gridCol w:w="1095"/>
        <w:gridCol w:w="1335"/>
        <w:gridCol w:w="1365"/>
        <w:gridCol w:w="11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94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 xml:space="preserve">                                   财政拨款收入支出决算总表                            </w:t>
            </w:r>
            <w:r>
              <w:rPr>
                <w:rStyle w:val="14"/>
                <w:lang w:val="en-US" w:eastAsia="zh-CN" w:bidi="ar"/>
              </w:rPr>
              <w:t xml:space="preserve"> 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4940" w:type="dxa"/>
            <w:gridSpan w:val="9"/>
            <w:tcBorders>
              <w:top w:val="nil"/>
              <w:left w:val="nil"/>
              <w:bottom w:val="nil"/>
              <w:right w:val="nil"/>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部门：广西河池市环江毛南族自治县红茂矿区管理处                                                                               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534"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9406"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3739"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9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19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26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18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095"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3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一般公共预算财政拨款</w:t>
            </w:r>
          </w:p>
        </w:tc>
        <w:tc>
          <w:tcPr>
            <w:tcW w:w="136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政府性基金预算财政拨款</w:t>
            </w:r>
          </w:p>
        </w:tc>
        <w:tc>
          <w:tcPr>
            <w:tcW w:w="11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 w:hRule="atLeast"/>
        </w:trPr>
        <w:tc>
          <w:tcPr>
            <w:tcW w:w="3739" w:type="dxa"/>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97"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98"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266"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85"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5" w:type="dxa"/>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35"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65"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16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373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2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185"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373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一、一般公共预算财政拨款</w:t>
            </w: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665.03</w:t>
            </w:r>
          </w:p>
        </w:tc>
        <w:tc>
          <w:tcPr>
            <w:tcW w:w="32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一、一般公共服务支出</w:t>
            </w:r>
          </w:p>
        </w:tc>
        <w:tc>
          <w:tcPr>
            <w:tcW w:w="11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7.27</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7.27</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373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二、政府性基金预算财政拨款</w:t>
            </w: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二、外交支出</w:t>
            </w:r>
          </w:p>
        </w:tc>
        <w:tc>
          <w:tcPr>
            <w:tcW w:w="11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373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三、国有资本经营预算财政拨款</w:t>
            </w: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三、国防支出</w:t>
            </w:r>
          </w:p>
        </w:tc>
        <w:tc>
          <w:tcPr>
            <w:tcW w:w="11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373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9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八、社会保障和就业支出</w:t>
            </w:r>
          </w:p>
        </w:tc>
        <w:tc>
          <w:tcPr>
            <w:tcW w:w="11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129.95</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129.95</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373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9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十一、城乡社区支出</w:t>
            </w:r>
          </w:p>
        </w:tc>
        <w:tc>
          <w:tcPr>
            <w:tcW w:w="11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49.63</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49.63</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373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9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十二、农林水支出</w:t>
            </w:r>
          </w:p>
        </w:tc>
        <w:tc>
          <w:tcPr>
            <w:tcW w:w="11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57.39</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57.39</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373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19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十三、交通运输支出</w:t>
            </w:r>
          </w:p>
        </w:tc>
        <w:tc>
          <w:tcPr>
            <w:tcW w:w="11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373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19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十四、资源勘探工业信息等支出</w:t>
            </w:r>
          </w:p>
        </w:tc>
        <w:tc>
          <w:tcPr>
            <w:tcW w:w="11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345.20</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345.20</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373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9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十五、商业服务业等支出</w:t>
            </w:r>
          </w:p>
        </w:tc>
        <w:tc>
          <w:tcPr>
            <w:tcW w:w="11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373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19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十八、自然资源海洋气象等支出</w:t>
            </w:r>
          </w:p>
        </w:tc>
        <w:tc>
          <w:tcPr>
            <w:tcW w:w="11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373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19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十九、住房保障支出</w:t>
            </w:r>
          </w:p>
        </w:tc>
        <w:tc>
          <w:tcPr>
            <w:tcW w:w="11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23.25</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23.25</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373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9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二十、粮油物资储备支出</w:t>
            </w:r>
          </w:p>
        </w:tc>
        <w:tc>
          <w:tcPr>
            <w:tcW w:w="11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373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19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二十一、国有资本经营预算支出</w:t>
            </w:r>
          </w:p>
        </w:tc>
        <w:tc>
          <w:tcPr>
            <w:tcW w:w="11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373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19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二十二、灾害防治及应急管理支出</w:t>
            </w:r>
          </w:p>
        </w:tc>
        <w:tc>
          <w:tcPr>
            <w:tcW w:w="11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373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19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二十三、其他支出</w:t>
            </w:r>
          </w:p>
        </w:tc>
        <w:tc>
          <w:tcPr>
            <w:tcW w:w="11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52.33</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52.33</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373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19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二十四、债务还本支出</w:t>
            </w:r>
          </w:p>
        </w:tc>
        <w:tc>
          <w:tcPr>
            <w:tcW w:w="11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373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19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二十五、债务付息支出</w:t>
            </w:r>
          </w:p>
        </w:tc>
        <w:tc>
          <w:tcPr>
            <w:tcW w:w="11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373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19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二十六、抗疫特别国债安排的支出</w:t>
            </w:r>
          </w:p>
        </w:tc>
        <w:tc>
          <w:tcPr>
            <w:tcW w:w="11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373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本年收入合计</w:t>
            </w: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1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665.03</w:t>
            </w:r>
          </w:p>
        </w:tc>
        <w:tc>
          <w:tcPr>
            <w:tcW w:w="32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1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665.03</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665.03</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 w:hRule="atLeast"/>
        </w:trPr>
        <w:tc>
          <w:tcPr>
            <w:tcW w:w="373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年初财政拨款结转和结余</w:t>
            </w: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1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年末财政拨款结转和结余</w:t>
            </w:r>
          </w:p>
        </w:tc>
        <w:tc>
          <w:tcPr>
            <w:tcW w:w="11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 w:hRule="atLeast"/>
        </w:trPr>
        <w:tc>
          <w:tcPr>
            <w:tcW w:w="373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一般公共预算财政拨款</w:t>
            </w: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1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66"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1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6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 w:hRule="atLeast"/>
        </w:trPr>
        <w:tc>
          <w:tcPr>
            <w:tcW w:w="373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政府性基金预算财政拨款</w:t>
            </w: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1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66"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1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6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 w:hRule="atLeast"/>
        </w:trPr>
        <w:tc>
          <w:tcPr>
            <w:tcW w:w="373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国有资本经营预算财政拨款</w:t>
            </w: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1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66"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1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6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373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1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665.03</w:t>
            </w:r>
          </w:p>
        </w:tc>
        <w:tc>
          <w:tcPr>
            <w:tcW w:w="32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11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665.03</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665.03</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14940" w:type="dxa"/>
            <w:gridSpan w:val="9"/>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r>
    </w:tbl>
    <w:p>
      <w:pPr>
        <w:rPr>
          <w:rFonts w:ascii="仿宋" w:hAnsi="仿宋" w:eastAsia="仿宋" w:cs="仿宋"/>
          <w:sz w:val="24"/>
          <w:highlight w:val="none"/>
        </w:rPr>
        <w:sectPr>
          <w:pgSz w:w="16838" w:h="11906" w:orient="landscape"/>
          <w:pgMar w:top="567" w:right="850" w:bottom="567" w:left="850" w:header="851" w:footer="992" w:gutter="0"/>
          <w:cols w:space="425" w:num="1"/>
          <w:docGrid w:type="lines" w:linePitch="312" w:charSpace="0"/>
        </w:sectPr>
      </w:pPr>
    </w:p>
    <w:tbl>
      <w:tblPr>
        <w:tblStyle w:val="7"/>
        <w:tblW w:w="96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9"/>
        <w:gridCol w:w="329"/>
        <w:gridCol w:w="329"/>
        <w:gridCol w:w="4538"/>
        <w:gridCol w:w="1418"/>
        <w:gridCol w:w="1418"/>
        <w:gridCol w:w="1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690" w:type="dxa"/>
            <w:gridSpan w:val="7"/>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690" w:type="dxa"/>
            <w:gridSpan w:val="7"/>
            <w:tcBorders>
              <w:top w:val="nil"/>
              <w:left w:val="nil"/>
              <w:bottom w:val="nil"/>
              <w:right w:val="nil"/>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部门：广西河池市环江毛南族自治县红茂矿区管理处                                    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477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9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59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59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59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59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59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59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59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59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665.03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384.74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280.29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组织事务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其他共产党事务支出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129.95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49.63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49.63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49.63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农村综合改革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资源勘探工业信息等支出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345.20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资源勘探开发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215.70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其他资源勘探业支出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215.70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其他资源勘探工业信息等支出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其他资源勘探工业信息等支出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rPr>
          <w:rFonts w:ascii="仿宋" w:hAnsi="仿宋" w:eastAsia="仿宋" w:cs="仿宋"/>
          <w:sz w:val="24"/>
          <w:highlight w:val="none"/>
        </w:rPr>
        <w:sectPr>
          <w:pgSz w:w="11906" w:h="16838"/>
          <w:pgMar w:top="850" w:right="964" w:bottom="850" w:left="964" w:header="851" w:footer="992" w:gutter="0"/>
          <w:cols w:space="425" w:num="1"/>
          <w:docGrid w:type="lines" w:linePitch="312" w:charSpace="0"/>
        </w:sectPr>
      </w:pPr>
    </w:p>
    <w:tbl>
      <w:tblPr>
        <w:tblStyle w:val="7"/>
        <w:tblW w:w="107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66"/>
        <w:gridCol w:w="1760"/>
        <w:gridCol w:w="876"/>
        <w:gridCol w:w="766"/>
        <w:gridCol w:w="1594"/>
        <w:gridCol w:w="780"/>
        <w:gridCol w:w="766"/>
        <w:gridCol w:w="2376"/>
        <w:gridCol w:w="10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071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0710" w:type="dxa"/>
            <w:gridSpan w:val="9"/>
            <w:tcBorders>
              <w:top w:val="nil"/>
              <w:left w:val="nil"/>
              <w:bottom w:val="nil"/>
              <w:right w:val="nil"/>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部门：广西河池市环江毛南族自治县红茂矿区管理处                                          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6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211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2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0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190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67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22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6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40" w:hRule="atLeast"/>
        </w:trPr>
        <w:tc>
          <w:tcPr>
            <w:tcW w:w="660" w:type="dxa"/>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115"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25"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05"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905"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8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75"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8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65"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211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工资福利支出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293.37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190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商品和服务支出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22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债务利息及费用支出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211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基本工资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73.72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190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办公费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22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国内债务付息</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211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津贴补贴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59.54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190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印刷费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22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国外债务付息</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211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奖金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71.33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190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咨询费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22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资本性支出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211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伙食补助费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190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手续费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22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房屋建筑物购建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211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绩效工资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190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22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办公设备购置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211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190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22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专用设备购置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211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职业年金缴费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190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邮电费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22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基础设施建设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211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职工基本医疗保险缴费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190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取暖费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22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大型修缮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211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公务员医疗补助缴费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190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物业管理费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信息网络及软件购置更新</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211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其他社会保障缴费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190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差旅费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22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物资储备</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211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190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因公出国（境）费用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22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土地补偿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211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医疗费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190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维修（护）费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22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安置补助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211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其他工资福利支出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190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租赁费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22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地上附着物和青苗补偿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211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69.84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190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会议费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22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拆迁补偿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211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离休费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190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培训费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22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公务用车购置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211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退休费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190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公务接待费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22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其他交通工具购置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211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退职（役）费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190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专用材料费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22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文物和陈列品购置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211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抚恤金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190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被装购置费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22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无形资产购置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211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生活补助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69.84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190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专用燃料费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22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其他资本性支出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211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救济费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190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劳务费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22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211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医疗费补助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190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委托业务费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22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国家赔偿费用支出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211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助学金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190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工会经费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22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211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奖励金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190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福利费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39909</w:t>
            </w:r>
          </w:p>
        </w:tc>
        <w:tc>
          <w:tcPr>
            <w:tcW w:w="22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经常性赠与</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211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个人农业生产补贴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190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公务用车运行维护费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39910</w:t>
            </w:r>
          </w:p>
        </w:tc>
        <w:tc>
          <w:tcPr>
            <w:tcW w:w="22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资本性赠与</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211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代缴社会保险费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190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其他交通费用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22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211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190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税金及附加费用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2280" w:type="dxa"/>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190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其他商品和服务支出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363.21</w:t>
            </w:r>
          </w:p>
        </w:tc>
        <w:tc>
          <w:tcPr>
            <w:tcW w:w="0" w:type="auto"/>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9"/>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w:t>
            </w:r>
          </w:p>
        </w:tc>
      </w:tr>
    </w:tbl>
    <w:p>
      <w:pPr>
        <w:keepNext w:val="0"/>
        <w:keepLines w:val="0"/>
        <w:widowControl/>
        <w:suppressLineNumbers w:val="0"/>
        <w:jc w:val="both"/>
        <w:textAlignment w:val="bottom"/>
        <w:rPr>
          <w:rFonts w:hint="eastAsia" w:ascii="宋体" w:hAnsi="宋体" w:eastAsia="宋体" w:cs="宋体"/>
          <w:i w:val="0"/>
          <w:iCs w:val="0"/>
          <w:color w:val="000000"/>
          <w:kern w:val="0"/>
          <w:sz w:val="30"/>
          <w:szCs w:val="30"/>
          <w:u w:val="none"/>
          <w:lang w:val="en-US" w:eastAsia="zh-CN" w:bidi="ar"/>
        </w:rPr>
        <w:sectPr>
          <w:pgSz w:w="11906" w:h="16838"/>
          <w:pgMar w:top="567" w:right="567" w:bottom="567" w:left="567" w:header="851" w:footer="992" w:gutter="0"/>
          <w:cols w:space="425" w:num="1"/>
          <w:docGrid w:type="lines" w:linePitch="312" w:charSpace="0"/>
        </w:sectPr>
      </w:pPr>
    </w:p>
    <w:tbl>
      <w:tblPr>
        <w:tblStyle w:val="7"/>
        <w:tblW w:w="1500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816"/>
        <w:gridCol w:w="222"/>
        <w:gridCol w:w="222"/>
        <w:gridCol w:w="1096"/>
        <w:gridCol w:w="1393"/>
        <w:gridCol w:w="1393"/>
        <w:gridCol w:w="1393"/>
        <w:gridCol w:w="1393"/>
        <w:gridCol w:w="1393"/>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5001" w:type="dxa"/>
            <w:gridSpan w:val="10"/>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部门：广西河池市环江毛南族自治县红茂矿区管理处</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393"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393"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4179"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6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393"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93"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9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39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39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93"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93"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93"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93"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93"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93"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93"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93"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93"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93"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tbl>
    <w:p>
      <w:pPr>
        <w:jc w:val="left"/>
        <w:rPr>
          <w:rFonts w:ascii="仿宋" w:hAnsi="仿宋" w:eastAsia="仿宋" w:cs="仿宋"/>
          <w:sz w:val="24"/>
          <w:highlight w:val="none"/>
        </w:rPr>
      </w:pPr>
    </w:p>
    <w:p>
      <w:pPr>
        <w:jc w:val="left"/>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年度没有政府性基金预算财政拨款收入，也没有政府性基金预算财政拨款安排的支出，故本表无数据</w:t>
      </w:r>
    </w:p>
    <w:p>
      <w:pPr>
        <w:rPr>
          <w:rFonts w:ascii="仿宋" w:hAnsi="仿宋" w:eastAsia="仿宋" w:cs="仿宋"/>
          <w:sz w:val="24"/>
          <w:highlight w:val="none"/>
        </w:rPr>
        <w:sectPr>
          <w:pgSz w:w="16838" w:h="11906" w:orient="landscape"/>
          <w:pgMar w:top="1984" w:right="850" w:bottom="1701" w:left="850" w:header="851" w:footer="992" w:gutter="0"/>
          <w:cols w:space="425" w:num="1"/>
          <w:docGrid w:type="lines" w:linePitch="312" w:charSpace="0"/>
        </w:sectPr>
      </w:pPr>
      <w:r>
        <w:rPr>
          <w:rFonts w:ascii="仿宋" w:hAnsi="仿宋" w:eastAsia="仿宋" w:cs="仿宋"/>
          <w:sz w:val="24"/>
          <w:highlight w:val="none"/>
        </w:rPr>
        <w:br w:type="page"/>
      </w:r>
    </w:p>
    <w:p>
      <w:pPr>
        <w:rPr>
          <w:rFonts w:ascii="仿宋" w:hAnsi="仿宋" w:eastAsia="仿宋" w:cs="仿宋"/>
          <w:sz w:val="24"/>
          <w:highlight w:val="none"/>
        </w:rPr>
      </w:pPr>
    </w:p>
    <w:p>
      <w:pPr>
        <w:jc w:val="left"/>
        <w:rPr>
          <w:rFonts w:ascii="仿宋" w:hAnsi="仿宋" w:eastAsia="仿宋" w:cs="仿宋"/>
          <w:sz w:val="24"/>
          <w:highlight w:val="none"/>
        </w:rPr>
      </w:pPr>
    </w:p>
    <w:p>
      <w:pPr>
        <w:jc w:val="left"/>
        <w:rPr>
          <w:rFonts w:hint="eastAsia" w:ascii="仿宋" w:hAnsi="仿宋" w:eastAsia="仿宋" w:cs="仿宋"/>
          <w:sz w:val="24"/>
          <w:highlight w:val="none"/>
        </w:rPr>
      </w:pPr>
    </w:p>
    <w:tbl>
      <w:tblPr>
        <w:tblStyle w:val="7"/>
        <w:tblW w:w="1346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22"/>
        <w:gridCol w:w="222"/>
        <w:gridCol w:w="2502"/>
        <w:gridCol w:w="3166"/>
        <w:gridCol w:w="2297"/>
        <w:gridCol w:w="2456"/>
        <w:gridCol w:w="25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464" w:type="dxa"/>
            <w:gridSpan w:val="7"/>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5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1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45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59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8409" w:type="dxa"/>
            <w:gridSpan w:val="5"/>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部门：广西河池市环江毛南族自治县红茂矿区管理处</w:t>
            </w:r>
          </w:p>
        </w:tc>
        <w:tc>
          <w:tcPr>
            <w:tcW w:w="245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59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112"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7352"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946"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3166"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29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45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59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946"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166" w:type="dxa"/>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97"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456"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599"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946"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166" w:type="dxa"/>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97"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456"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599"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112"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2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59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112"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297"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2456"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259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9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3166"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2297"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2456"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259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94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3166"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2297"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2456"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259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464" w:type="dxa"/>
            <w:gridSpan w:val="7"/>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注：本表反映部门本年度国有资本经营预算财政拨款支出情况。</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年度没有国有资本经营预算财政拨款收入，也没有国有资本经营预算财政拨款安排的支出，故本表无数据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FF0000"/>
          <w:kern w:val="2"/>
          <w:sz w:val="21"/>
          <w:szCs w:val="21"/>
          <w:lang w:val="en-US" w:eastAsia="zh-CN"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FF0000"/>
          <w:kern w:val="2"/>
          <w:sz w:val="21"/>
          <w:szCs w:val="21"/>
          <w:lang w:val="en-US" w:eastAsia="zh-CN" w:bidi="ar"/>
        </w:rPr>
      </w:pPr>
    </w:p>
    <w:p>
      <w:pPr>
        <w:pStyle w:val="2"/>
        <w:rPr>
          <w:rFonts w:hint="eastAsia" w:ascii="宋体" w:hAnsi="宋体" w:eastAsia="宋体" w:cs="宋体"/>
          <w:color w:val="FF0000"/>
          <w:kern w:val="2"/>
          <w:sz w:val="21"/>
          <w:szCs w:val="21"/>
          <w:lang w:val="en-US" w:eastAsia="zh-CN" w:bidi="ar"/>
        </w:rPr>
      </w:pPr>
    </w:p>
    <w:p>
      <w:pPr>
        <w:rPr>
          <w:rFonts w:hint="eastAsia"/>
          <w:lang w:val="en-US" w:eastAsia="zh-CN"/>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FF0000"/>
          <w:kern w:val="2"/>
          <w:sz w:val="21"/>
          <w:szCs w:val="21"/>
          <w:lang w:val="en-US" w:eastAsia="zh-CN"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FF0000"/>
          <w:kern w:val="2"/>
          <w:sz w:val="21"/>
          <w:szCs w:val="21"/>
          <w:lang w:val="en-US" w:eastAsia="zh-CN"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FF0000"/>
          <w:kern w:val="2"/>
          <w:sz w:val="21"/>
          <w:szCs w:val="21"/>
          <w:lang w:val="en-US" w:eastAsia="zh-CN" w:bidi="ar"/>
        </w:rPr>
      </w:pPr>
    </w:p>
    <w:tbl>
      <w:tblPr>
        <w:tblStyle w:val="7"/>
        <w:tblW w:w="127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816"/>
        <w:gridCol w:w="876"/>
        <w:gridCol w:w="656"/>
        <w:gridCol w:w="656"/>
        <w:gridCol w:w="656"/>
        <w:gridCol w:w="656"/>
        <w:gridCol w:w="656"/>
        <w:gridCol w:w="876"/>
        <w:gridCol w:w="656"/>
        <w:gridCol w:w="656"/>
        <w:gridCol w:w="656"/>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2705" w:type="dxa"/>
            <w:gridSpan w:val="1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部门：广西河池市环江毛南族自治县红茂矿区管理处</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330"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6375" w:type="dxa"/>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45"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1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31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85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99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28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9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945" w:type="dxa"/>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15"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8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0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03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855"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9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7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3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0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5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93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45"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1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8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3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85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03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5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9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12705" w:type="dxa"/>
            <w:gridSpan w:val="1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ind w:firstLine="420" w:firstLineChars="0"/>
        <w:jc w:val="left"/>
        <w:rPr>
          <w:rFonts w:ascii="仿宋" w:hAnsi="仿宋" w:eastAsia="仿宋" w:cs="仿宋"/>
          <w:sz w:val="24"/>
          <w:highlight w:val="none"/>
        </w:rPr>
        <w:sectPr>
          <w:pgSz w:w="16838" w:h="11906" w:orient="landscape"/>
          <w:pgMar w:top="1984" w:right="1417" w:bottom="1701" w:left="1701"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u w:color="auto"/>
          <w:lang w:eastAsia="zh-CN"/>
        </w:rPr>
        <w:t>红茂矿区管理处</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hint="eastAsia" w:ascii="仿宋" w:hAnsi="仿宋" w:eastAsia="仿宋" w:cs="仿宋"/>
          <w:sz w:val="32"/>
          <w:u w:color="auto"/>
          <w:lang w:val="en-US" w:eastAsia="zh-CN"/>
        </w:rPr>
        <w:t>665.03</w:t>
      </w:r>
      <w:r>
        <w:rPr>
          <w:rFonts w:hint="eastAsia" w:ascii="仿宋" w:hAnsi="仿宋" w:eastAsia="仿宋" w:cs="仿宋"/>
          <w:sz w:val="32"/>
          <w:szCs w:val="32"/>
          <w:highlight w:val="none"/>
        </w:rPr>
        <w:t>万元，较2021年度决算数</w:t>
      </w:r>
      <w:r>
        <w:rPr>
          <w:rFonts w:hint="eastAsia" w:ascii="仿宋" w:hAnsi="仿宋" w:eastAsia="仿宋" w:cs="仿宋"/>
          <w:sz w:val="32"/>
          <w:u w:color="auto"/>
          <w:lang w:eastAsia="zh-CN"/>
        </w:rPr>
        <w:t>增加</w:t>
      </w:r>
      <w:r>
        <w:rPr>
          <w:rFonts w:hint="eastAsia" w:ascii="仿宋" w:hAnsi="仿宋" w:eastAsia="仿宋" w:cs="仿宋"/>
          <w:sz w:val="32"/>
          <w:u w:color="auto"/>
          <w:lang w:val="en-US" w:eastAsia="zh-CN"/>
        </w:rPr>
        <w:t>16.64</w:t>
      </w:r>
      <w:r>
        <w:rPr>
          <w:rFonts w:hint="eastAsia" w:ascii="仿宋" w:hAnsi="仿宋" w:eastAsia="仿宋" w:cs="仿宋"/>
          <w:sz w:val="32"/>
          <w:szCs w:val="32"/>
          <w:highlight w:val="none"/>
        </w:rPr>
        <w:t>万元，</w:t>
      </w:r>
      <w:r>
        <w:rPr>
          <w:rFonts w:hint="eastAsia" w:ascii="仿宋" w:hAnsi="仿宋" w:eastAsia="仿宋" w:cs="仿宋"/>
          <w:sz w:val="32"/>
          <w:u w:color="auto"/>
          <w:lang w:eastAsia="zh-CN"/>
        </w:rPr>
        <w:t>增长</w:t>
      </w:r>
      <w:r>
        <w:rPr>
          <w:rFonts w:hint="eastAsia" w:ascii="仿宋" w:hAnsi="仿宋" w:eastAsia="仿宋" w:cs="仿宋"/>
          <w:sz w:val="32"/>
          <w:u w:color="auto"/>
          <w:lang w:val="en-US" w:eastAsia="zh-CN"/>
        </w:rPr>
        <w:t>2.57</w:t>
      </w:r>
      <w:r>
        <w:rPr>
          <w:rFonts w:ascii="仿宋" w:hAnsi="仿宋" w:eastAsia="仿宋" w:cs="仿宋"/>
          <w:sz w:val="32"/>
          <w:u w:color="auto"/>
        </w:rPr>
        <w:t>%</w:t>
      </w:r>
      <w:r>
        <w:rPr>
          <w:rFonts w:hint="eastAsia" w:ascii="仿宋" w:hAnsi="仿宋" w:eastAsia="仿宋" w:cs="仿宋"/>
          <w:sz w:val="32"/>
          <w:szCs w:val="32"/>
          <w:highlight w:val="none"/>
        </w:rPr>
        <w:t>，其中本年收入</w:t>
      </w:r>
      <w:r>
        <w:rPr>
          <w:rFonts w:hint="eastAsia" w:ascii="仿宋" w:hAnsi="仿宋" w:eastAsia="仿宋" w:cs="仿宋"/>
          <w:sz w:val="32"/>
          <w:u w:color="auto"/>
          <w:lang w:val="en-US" w:eastAsia="zh-CN"/>
        </w:rPr>
        <w:t>665.03</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1.一般公共预算财政拨款收入</w:t>
      </w:r>
      <w:r>
        <w:rPr>
          <w:rFonts w:hint="eastAsia" w:ascii="仿宋" w:hAnsi="仿宋" w:eastAsia="仿宋" w:cs="仿宋"/>
          <w:sz w:val="32"/>
          <w:u w:color="auto"/>
          <w:lang w:val="en-US" w:eastAsia="zh-CN"/>
        </w:rPr>
        <w:t>665.03</w:t>
      </w:r>
      <w:r>
        <w:rPr>
          <w:rFonts w:ascii="仿宋" w:hAnsi="仿宋" w:eastAsia="仿宋" w:cs="仿宋"/>
          <w:sz w:val="32"/>
          <w:u w:color="auto"/>
        </w:rPr>
        <w:t>4</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eastAsia="zh-CN"/>
        </w:rPr>
        <w:t>环江县</w:t>
      </w:r>
      <w:r>
        <w:rPr>
          <w:rFonts w:hint="eastAsia" w:ascii="仿宋" w:hAnsi="仿宋" w:eastAsia="仿宋" w:cs="仿宋"/>
          <w:kern w:val="2"/>
          <w:sz w:val="32"/>
          <w:szCs w:val="32"/>
          <w:highlight w:val="none"/>
          <w:lang w:val="en-US" w:eastAsia="zh-CN" w:bidi="ar"/>
        </w:rPr>
        <w:t>本级财政当年拨付的资金。较2021年度决算数</w:t>
      </w:r>
      <w:r>
        <w:rPr>
          <w:rFonts w:hint="eastAsia" w:ascii="仿宋" w:hAnsi="仿宋" w:eastAsia="仿宋" w:cs="仿宋"/>
          <w:sz w:val="32"/>
          <w:u w:color="auto"/>
          <w:lang w:eastAsia="zh-CN"/>
        </w:rPr>
        <w:t>增加</w:t>
      </w:r>
      <w:r>
        <w:rPr>
          <w:rFonts w:hint="eastAsia" w:ascii="仿宋" w:hAnsi="仿宋" w:eastAsia="仿宋" w:cs="仿宋"/>
          <w:sz w:val="32"/>
          <w:u w:color="auto"/>
          <w:lang w:val="en-US" w:eastAsia="zh-CN"/>
        </w:rPr>
        <w:t>16.64</w:t>
      </w:r>
      <w:r>
        <w:rPr>
          <w:rFonts w:hint="eastAsia" w:ascii="仿宋" w:hAnsi="仿宋" w:eastAsia="仿宋" w:cs="仿宋"/>
          <w:sz w:val="32"/>
          <w:szCs w:val="32"/>
          <w:highlight w:val="none"/>
        </w:rPr>
        <w:t>万元，</w:t>
      </w:r>
      <w:r>
        <w:rPr>
          <w:rFonts w:hint="eastAsia" w:ascii="仿宋" w:hAnsi="仿宋" w:eastAsia="仿宋" w:cs="仿宋"/>
          <w:sz w:val="32"/>
          <w:u w:color="auto"/>
          <w:lang w:eastAsia="zh-CN"/>
        </w:rPr>
        <w:t>增长</w:t>
      </w:r>
      <w:r>
        <w:rPr>
          <w:rFonts w:hint="eastAsia" w:ascii="仿宋" w:hAnsi="仿宋" w:eastAsia="仿宋" w:cs="仿宋"/>
          <w:sz w:val="32"/>
          <w:u w:color="auto"/>
          <w:lang w:val="en-US" w:eastAsia="zh-CN"/>
        </w:rPr>
        <w:t>2.57</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：本年度基本支出较上年减少12.66万元，原因为本年度一人退休等；本年度项目支出较上年增加29.3万元，原因为本年度多红茂矿区异地搬迁安置工程款等经费。</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u w:color="auto"/>
          <w:lang w:eastAsia="zh-CN"/>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eastAsia="zh-CN"/>
        </w:rPr>
        <w:t>环江县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sz w:val="32"/>
          <w:u w:color="auto"/>
          <w:lang w:eastAsia="zh-CN"/>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本单位没有政府性基金预算财政拨款收入。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u w:color="auto"/>
          <w:lang w:eastAsia="zh-CN"/>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eastAsia="zh-CN"/>
        </w:rPr>
        <w:t>环江县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sz w:val="32"/>
          <w:u w:color="auto"/>
          <w:lang w:eastAsia="zh-CN"/>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本单位没有国有资本经营预算财政拨款收入。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4.上级补助收入</w:t>
      </w:r>
      <w:r>
        <w:rPr>
          <w:rFonts w:hint="eastAsia" w:ascii="仿宋" w:hAnsi="仿宋" w:eastAsia="仿宋" w:cs="仿宋"/>
          <w:color w:val="auto"/>
          <w:sz w:val="32"/>
          <w:u w:color="auto"/>
          <w:lang w:val="en-US" w:eastAsia="zh-CN"/>
        </w:rPr>
        <w:t>0</w:t>
      </w:r>
      <w:r>
        <w:rPr>
          <w:rFonts w:hint="eastAsia" w:ascii="仿宋" w:hAnsi="仿宋" w:eastAsia="仿宋" w:cs="仿宋"/>
          <w:color w:val="auto"/>
          <w:kern w:val="2"/>
          <w:sz w:val="32"/>
          <w:szCs w:val="32"/>
          <w:highlight w:val="none"/>
          <w:lang w:val="en-US" w:eastAsia="zh-CN" w:bidi="ar"/>
        </w:rPr>
        <w:t>万元，为上级部门当年拨付的资金。较2021年度决算数</w:t>
      </w:r>
      <w:r>
        <w:rPr>
          <w:rFonts w:ascii="仿宋" w:hAnsi="仿宋" w:eastAsia="仿宋" w:cs="仿宋"/>
          <w:color w:val="auto"/>
          <w:sz w:val="32"/>
          <w:u w:color="auto"/>
        </w:rPr>
        <w:t>增加</w:t>
      </w:r>
      <w:r>
        <w:rPr>
          <w:rFonts w:hint="eastAsia" w:ascii="仿宋" w:hAnsi="仿宋" w:eastAsia="仿宋" w:cs="仿宋"/>
          <w:color w:val="auto"/>
          <w:sz w:val="32"/>
          <w:u w:color="auto"/>
          <w:lang w:val="en-US" w:eastAsia="zh-CN"/>
        </w:rPr>
        <w:t>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w:t>
      </w:r>
      <w:r>
        <w:rPr>
          <w:rFonts w:hint="eastAsia" w:ascii="仿宋" w:hAnsi="仿宋" w:eastAsia="仿宋" w:cs="仿宋"/>
          <w:color w:val="auto"/>
          <w:sz w:val="32"/>
          <w:u w:color="auto"/>
          <w:lang w:val="en-US" w:eastAsia="zh-CN"/>
        </w:rPr>
        <w:t>0</w:t>
      </w:r>
      <w:r>
        <w:rPr>
          <w:rFonts w:ascii="仿宋" w:hAnsi="仿宋" w:eastAsia="仿宋" w:cs="仿宋"/>
          <w:color w:val="auto"/>
          <w:sz w:val="32"/>
          <w:u w:color="auto"/>
        </w:rPr>
        <w:t>%</w:t>
      </w:r>
      <w:r>
        <w:rPr>
          <w:rFonts w:hint="eastAsia" w:ascii="仿宋" w:hAnsi="仿宋" w:eastAsia="仿宋" w:cs="仿宋"/>
          <w:color w:val="auto"/>
          <w:kern w:val="2"/>
          <w:sz w:val="32"/>
          <w:szCs w:val="32"/>
          <w:highlight w:val="none"/>
          <w:lang w:val="en-US" w:eastAsia="zh-CN" w:bidi="ar"/>
        </w:rPr>
        <w:t>，主要原因是：本单位没有上级补助收入。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本单位没有事业收入。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6.</w:t>
      </w:r>
      <w:r>
        <w:rPr>
          <w:rFonts w:hint="eastAsia" w:ascii="仿宋" w:hAnsi="仿宋" w:eastAsia="仿宋" w:cs="仿宋"/>
          <w:kern w:val="2"/>
          <w:sz w:val="36"/>
          <w:szCs w:val="36"/>
          <w:highlight w:val="none"/>
          <w:lang w:val="en-US" w:eastAsia="zh-CN" w:bidi="ar"/>
        </w:rPr>
        <w:t>经营收入</w:t>
      </w:r>
      <w:r>
        <w:rPr>
          <w:rFonts w:hint="eastAsia" w:ascii="仿宋" w:hAnsi="仿宋" w:eastAsia="仿宋" w:cs="仿宋"/>
          <w:kern w:val="2"/>
          <w:sz w:val="32"/>
          <w:szCs w:val="32"/>
          <w:highlight w:val="none"/>
          <w:lang w:val="en-US" w:eastAsia="zh-CN" w:bidi="ar"/>
        </w:rPr>
        <w:t>0.00万,为事业单位在业务活动之外开展非独立核算经营活动取得的收入。较2021年度决算数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本单位没有经营性收入。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本单位无附属单位上缴收入。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8.其他收入</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本单位没有其他收入。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本单位没有非财政拨款结余。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10.上年结转和结余</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本单位没有上年结转和结余。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784725" cy="3295650"/>
            <wp:effectExtent l="4445" t="5080" r="11430" b="13970"/>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hint="eastAsia" w:ascii="仿宋" w:hAnsi="仿宋" w:eastAsia="仿宋" w:cs="仿宋"/>
          <w:sz w:val="32"/>
          <w:u w:color="auto"/>
          <w:lang w:val="en-US" w:eastAsia="zh-CN"/>
        </w:rPr>
        <w:t>665.03</w:t>
      </w:r>
      <w:r>
        <w:rPr>
          <w:rFonts w:hint="eastAsia" w:ascii="仿宋" w:hAnsi="仿宋" w:eastAsia="仿宋" w:cs="仿宋"/>
          <w:sz w:val="32"/>
          <w:szCs w:val="32"/>
          <w:highlight w:val="none"/>
        </w:rPr>
        <w:t>万元，其中本年支出</w:t>
      </w:r>
      <w:r>
        <w:rPr>
          <w:rFonts w:hint="eastAsia" w:ascii="仿宋" w:hAnsi="仿宋" w:eastAsia="仿宋" w:cs="仿宋"/>
          <w:sz w:val="32"/>
          <w:u w:color="auto"/>
          <w:lang w:val="en-US" w:eastAsia="zh-CN"/>
        </w:rPr>
        <w:t>665.03</w:t>
      </w:r>
      <w:r>
        <w:rPr>
          <w:rFonts w:hint="eastAsia" w:ascii="仿宋" w:hAnsi="仿宋" w:eastAsia="仿宋" w:cs="仿宋"/>
          <w:sz w:val="32"/>
          <w:szCs w:val="32"/>
          <w:highlight w:val="none"/>
        </w:rPr>
        <w:t>万元，较2021年度决算数</w:t>
      </w:r>
      <w:r>
        <w:rPr>
          <w:rFonts w:hint="eastAsia" w:ascii="仿宋" w:hAnsi="仿宋" w:eastAsia="仿宋" w:cs="仿宋"/>
          <w:sz w:val="32"/>
          <w:u w:color="auto"/>
          <w:lang w:eastAsia="zh-CN"/>
        </w:rPr>
        <w:t>增加</w:t>
      </w:r>
      <w:r>
        <w:rPr>
          <w:rFonts w:hint="eastAsia" w:ascii="仿宋" w:hAnsi="仿宋" w:eastAsia="仿宋" w:cs="仿宋"/>
          <w:sz w:val="32"/>
          <w:u w:color="auto"/>
          <w:lang w:val="en-US" w:eastAsia="zh-CN"/>
        </w:rPr>
        <w:t>16.64</w:t>
      </w:r>
      <w:r>
        <w:rPr>
          <w:rFonts w:hint="eastAsia" w:ascii="仿宋" w:hAnsi="仿宋" w:eastAsia="仿宋" w:cs="仿宋"/>
          <w:sz w:val="32"/>
          <w:szCs w:val="32"/>
          <w:highlight w:val="none"/>
        </w:rPr>
        <w:t>万元，</w:t>
      </w:r>
      <w:r>
        <w:rPr>
          <w:rFonts w:hint="eastAsia" w:ascii="仿宋" w:hAnsi="仿宋" w:eastAsia="仿宋" w:cs="仿宋"/>
          <w:sz w:val="32"/>
          <w:u w:color="auto"/>
          <w:lang w:eastAsia="zh-CN"/>
        </w:rPr>
        <w:t>增长</w:t>
      </w:r>
      <w:r>
        <w:rPr>
          <w:rFonts w:hint="eastAsia" w:ascii="仿宋" w:hAnsi="仿宋" w:eastAsia="仿宋" w:cs="仿宋"/>
          <w:sz w:val="32"/>
          <w:u w:color="auto"/>
          <w:lang w:val="en-US" w:eastAsia="zh-CN"/>
        </w:rPr>
        <w:t>2.57</w:t>
      </w:r>
      <w:r>
        <w:rPr>
          <w:rFonts w:ascii="仿宋" w:hAnsi="仿宋" w:eastAsia="仿宋" w:cs="仿宋"/>
          <w:sz w:val="32"/>
          <w:u w:color="auto"/>
        </w:rPr>
        <w:t>%</w:t>
      </w:r>
      <w:r>
        <w:rPr>
          <w:rFonts w:hint="eastAsia" w:ascii="仿宋" w:hAnsi="仿宋" w:eastAsia="仿宋" w:cs="仿宋"/>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auto"/>
          <w:kern w:val="2"/>
          <w:sz w:val="32"/>
          <w:szCs w:val="32"/>
          <w:highlight w:val="none"/>
          <w:lang w:val="en-US" w:eastAsia="zh-CN" w:bidi="ar"/>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sz w:val="32"/>
          <w:szCs w:val="32"/>
          <w:highlight w:val="none"/>
          <w:lang w:eastAsia="zh-CN" w:bidi="ar"/>
        </w:rPr>
        <w:t>一般公共服务支出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w:t>
      </w:r>
      <w:r>
        <w:rPr>
          <w:rFonts w:hint="eastAsia" w:ascii="仿宋" w:hAnsi="仿宋" w:eastAsia="仿宋" w:cs="仿宋"/>
          <w:sz w:val="32"/>
          <w:szCs w:val="32"/>
          <w:highlight w:val="none"/>
          <w:lang w:val="en-US" w:eastAsia="zh-CN" w:bidi="ar"/>
        </w:rPr>
        <w:t>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7.27</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r>
        <w:rPr>
          <w:rFonts w:hint="eastAsia" w:ascii="仿宋" w:hAnsi="仿宋" w:eastAsia="仿宋"/>
          <w:sz w:val="32"/>
          <w:szCs w:val="32"/>
        </w:rPr>
        <w:t>主要用于本部门为保证日常运转发生的基本支出和为完成各项工作任务、保障</w:t>
      </w:r>
      <w:r>
        <w:rPr>
          <w:rFonts w:hint="eastAsia" w:ascii="仿宋" w:hAnsi="仿宋" w:eastAsia="仿宋" w:cs="仿宋_GB2312"/>
          <w:kern w:val="0"/>
          <w:sz w:val="32"/>
          <w:szCs w:val="32"/>
        </w:rPr>
        <w:t>单位事业</w:t>
      </w:r>
      <w:r>
        <w:rPr>
          <w:rFonts w:hint="eastAsia" w:ascii="仿宋" w:hAnsi="仿宋" w:eastAsia="仿宋"/>
          <w:sz w:val="32"/>
          <w:szCs w:val="32"/>
        </w:rPr>
        <w:t>发展而发生的项目支出。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eastAsia="zh-CN" w:bidi="ar"/>
        </w:rPr>
        <w:t>增加</w:t>
      </w:r>
      <w:r>
        <w:rPr>
          <w:rFonts w:hint="eastAsia" w:ascii="仿宋" w:hAnsi="仿宋" w:eastAsia="仿宋" w:cs="仿宋"/>
          <w:sz w:val="32"/>
          <w:szCs w:val="32"/>
          <w:highlight w:val="none"/>
          <w:lang w:val="en-US" w:eastAsia="zh-CN" w:bidi="ar"/>
        </w:rPr>
        <w:t>0.92</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bidi="ar"/>
        </w:rPr>
        <w:t>增长</w:t>
      </w:r>
      <w:r>
        <w:rPr>
          <w:rFonts w:hint="eastAsia" w:ascii="仿宋" w:hAnsi="仿宋" w:eastAsia="仿宋" w:cs="仿宋"/>
          <w:sz w:val="32"/>
          <w:szCs w:val="32"/>
          <w:highlight w:val="none"/>
          <w:lang w:val="en-US" w:eastAsia="zh-CN" w:bidi="ar"/>
        </w:rPr>
        <w:t>14.49</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w:t>
      </w:r>
      <w:r>
        <w:rPr>
          <w:rFonts w:hint="eastAsia" w:ascii="仿宋" w:hAnsi="仿宋" w:eastAsia="仿宋" w:cs="仿宋"/>
          <w:color w:val="auto"/>
          <w:kern w:val="2"/>
          <w:sz w:val="32"/>
          <w:szCs w:val="32"/>
          <w:highlight w:val="none"/>
          <w:lang w:val="en-US" w:eastAsia="zh-CN" w:bidi="ar"/>
        </w:rPr>
        <w:t>因是：本年度一般公共服务支出基本支出较上年多工会经费支出4.05万元；项目支出较上年少3.13万元，主要原因是上年度项目多了社区换届选举经费等。</w:t>
      </w:r>
    </w:p>
    <w:p>
      <w:pPr>
        <w:spacing w:line="560" w:lineRule="exact"/>
        <w:ind w:firstLine="640" w:firstLineChars="200"/>
        <w:rPr>
          <w:rFonts w:hint="eastAsia" w:ascii="仿宋" w:hAnsi="仿宋" w:eastAsia="仿宋" w:cs="仿宋"/>
          <w:color w:val="auto"/>
          <w:sz w:val="32"/>
          <w:szCs w:val="32"/>
          <w:highlight w:val="none"/>
          <w:lang w:val="en-US"/>
        </w:rPr>
      </w:pPr>
      <w:r>
        <w:rPr>
          <w:rFonts w:hint="eastAsia" w:ascii="仿宋" w:hAnsi="仿宋" w:eastAsia="仿宋" w:cs="仿宋"/>
          <w:sz w:val="32"/>
          <w:szCs w:val="32"/>
          <w:highlight w:val="none"/>
        </w:rPr>
        <w:t>2</w:t>
      </w:r>
      <w:r>
        <w:rPr>
          <w:rFonts w:ascii="仿宋" w:hAnsi="仿宋" w:eastAsia="仿宋" w:cs="仿宋"/>
          <w:sz w:val="32"/>
          <w:u w:color="auto"/>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208</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129.95</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hAnsi="仿宋" w:eastAsia="仿宋"/>
          <w:sz w:val="32"/>
          <w:szCs w:val="32"/>
        </w:rPr>
        <w:t>机关单位基本养老保险缴费</w:t>
      </w:r>
      <w:r>
        <w:rPr>
          <w:rFonts w:hint="eastAsia" w:hAnsi="仿宋" w:eastAsia="仿宋"/>
          <w:sz w:val="32"/>
          <w:szCs w:val="32"/>
          <w:lang w:eastAsia="zh-CN"/>
        </w:rPr>
        <w:t>、退休教师待遇补差资金发放</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减少2.</w:t>
      </w:r>
      <w:r>
        <w:rPr>
          <w:rFonts w:hint="eastAsia" w:ascii="仿宋" w:hAnsi="仿宋" w:eastAsia="仿宋" w:cs="仿宋"/>
          <w:sz w:val="32"/>
          <w:szCs w:val="32"/>
          <w:highlight w:val="none"/>
          <w:lang w:val="en-US" w:eastAsia="zh-CN" w:bidi="ar"/>
        </w:rPr>
        <w:t>38</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w:t>
      </w:r>
      <w:r>
        <w:rPr>
          <w:rFonts w:hint="eastAsia" w:ascii="仿宋" w:hAnsi="仿宋" w:eastAsia="仿宋" w:cs="仿宋"/>
          <w:sz w:val="32"/>
          <w:szCs w:val="32"/>
          <w:highlight w:val="none"/>
          <w:lang w:val="en-US" w:eastAsia="zh-CN" w:bidi="ar"/>
        </w:rPr>
        <w:t>1.80</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本年度一人退休，</w:t>
      </w:r>
      <w:r>
        <w:rPr>
          <w:rFonts w:hint="eastAsia" w:hAnsi="仿宋" w:eastAsia="仿宋"/>
          <w:color w:val="auto"/>
          <w:sz w:val="32"/>
          <w:szCs w:val="32"/>
        </w:rPr>
        <w:t>机关单位基本养老保险缴费</w:t>
      </w:r>
      <w:r>
        <w:rPr>
          <w:rFonts w:hint="eastAsia" w:hAnsi="仿宋" w:eastAsia="仿宋"/>
          <w:color w:val="auto"/>
          <w:sz w:val="32"/>
          <w:szCs w:val="32"/>
          <w:lang w:eastAsia="zh-CN"/>
        </w:rPr>
        <w:t>较上年减少</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sz w:val="32"/>
          <w:szCs w:val="32"/>
          <w:highlight w:val="none"/>
        </w:rPr>
        <w:t>3</w:t>
      </w:r>
      <w:r>
        <w:rPr>
          <w:rFonts w:ascii="仿宋" w:hAnsi="仿宋" w:eastAsia="仿宋" w:cs="仿宋"/>
          <w:sz w:val="32"/>
          <w:u w:color="auto"/>
        </w:rPr>
        <w:t>.</w:t>
      </w:r>
      <w:r>
        <w:rPr>
          <w:rFonts w:hint="eastAsia" w:ascii="仿宋" w:hAnsi="仿宋" w:eastAsia="仿宋" w:cs="仿宋"/>
          <w:sz w:val="32"/>
          <w:szCs w:val="32"/>
          <w:highlight w:val="none"/>
          <w:lang w:eastAsia="zh-CN" w:bidi="ar"/>
        </w:rPr>
        <w:t>城乡社区支出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21</w:t>
      </w:r>
      <w:r>
        <w:rPr>
          <w:rFonts w:hint="eastAsia" w:ascii="仿宋" w:hAnsi="仿宋" w:eastAsia="仿宋" w:cs="仿宋"/>
          <w:sz w:val="32"/>
          <w:szCs w:val="32"/>
          <w:highlight w:val="none"/>
          <w:lang w:val="en-US" w:eastAsia="zh-CN" w:bidi="ar"/>
        </w:rPr>
        <w:t>2</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49.63</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：支付</w:t>
      </w:r>
      <w:r>
        <w:rPr>
          <w:rFonts w:hint="eastAsia" w:ascii="仿宋" w:hAnsi="仿宋" w:eastAsia="仿宋" w:cs="仿宋"/>
          <w:color w:val="auto"/>
          <w:sz w:val="32"/>
          <w:szCs w:val="32"/>
          <w:highlight w:val="none"/>
          <w:lang w:val="en-US" w:eastAsia="zh-CN"/>
        </w:rPr>
        <w:t>红茂矿区异地搬迁安置工程款以及退休人员社会化管理补助资金</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eastAsia="zh-CN" w:bidi="ar"/>
        </w:rPr>
        <w:t>增加</w:t>
      </w:r>
      <w:r>
        <w:rPr>
          <w:rFonts w:hint="eastAsia" w:ascii="仿宋" w:hAnsi="仿宋" w:eastAsia="仿宋" w:cs="仿宋"/>
          <w:color w:val="auto"/>
          <w:sz w:val="32"/>
          <w:szCs w:val="32"/>
          <w:highlight w:val="none"/>
          <w:lang w:val="en-US" w:eastAsia="zh-CN" w:bidi="ar"/>
        </w:rPr>
        <w:t>37.62</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增长</w:t>
      </w:r>
      <w:r>
        <w:rPr>
          <w:rFonts w:hint="eastAsia" w:ascii="仿宋" w:hAnsi="仿宋" w:eastAsia="仿宋" w:cs="仿宋"/>
          <w:color w:val="auto"/>
          <w:sz w:val="32"/>
          <w:szCs w:val="32"/>
          <w:highlight w:val="none"/>
          <w:lang w:val="en-US" w:eastAsia="zh-CN" w:bidi="ar"/>
        </w:rPr>
        <w:t>313.24</w:t>
      </w:r>
      <w:r>
        <w:rPr>
          <w:rFonts w:hint="eastAsia" w:ascii="仿宋" w:hAnsi="仿宋" w:eastAsia="仿宋" w:cs="仿宋"/>
          <w:color w:val="auto"/>
          <w:sz w:val="32"/>
          <w:szCs w:val="32"/>
          <w:highlight w:val="none"/>
          <w:lang w:bidi="ar"/>
        </w:rPr>
        <w:t>%</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主要原因是：本年度项目支出较上年多</w:t>
      </w:r>
      <w:r>
        <w:rPr>
          <w:rFonts w:hint="eastAsia" w:ascii="仿宋" w:hAnsi="仿宋" w:eastAsia="仿宋" w:cs="仿宋"/>
          <w:color w:val="auto"/>
          <w:sz w:val="32"/>
          <w:szCs w:val="32"/>
          <w:highlight w:val="none"/>
          <w:lang w:val="en-US" w:eastAsia="zh-CN"/>
        </w:rPr>
        <w:t>红茂矿区异地搬迁安置工程款项目</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kern w:val="2"/>
          <w:sz w:val="32"/>
          <w:szCs w:val="32"/>
          <w:highlight w:val="none"/>
          <w:lang w:val="en-US" w:eastAsia="zh-CN" w:bidi="ar"/>
        </w:rPr>
      </w:pPr>
      <w:r>
        <w:rPr>
          <w:rFonts w:hint="eastAsia" w:ascii="仿宋" w:hAnsi="仿宋" w:eastAsia="仿宋" w:cs="仿宋"/>
          <w:sz w:val="32"/>
          <w:szCs w:val="32"/>
          <w:highlight w:val="none"/>
        </w:rPr>
        <w:t>4</w:t>
      </w:r>
      <w:r>
        <w:rPr>
          <w:rFonts w:ascii="仿宋" w:hAnsi="仿宋" w:eastAsia="仿宋" w:cs="仿宋"/>
          <w:sz w:val="32"/>
          <w:u w:color="auto"/>
        </w:rPr>
        <w:t>.</w:t>
      </w:r>
      <w:r>
        <w:rPr>
          <w:rFonts w:hint="eastAsia" w:ascii="仿宋" w:hAnsi="仿宋" w:eastAsia="仿宋" w:cs="仿宋"/>
          <w:sz w:val="32"/>
          <w:szCs w:val="32"/>
          <w:highlight w:val="none"/>
          <w:lang w:bidi="ar"/>
        </w:rPr>
        <w:t>农林水支出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213</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57.39</w:t>
      </w:r>
      <w:r>
        <w:rPr>
          <w:rFonts w:hint="eastAsia" w:ascii="仿宋" w:hAnsi="仿宋" w:eastAsia="仿宋" w:cs="仿宋"/>
          <w:sz w:val="32"/>
          <w:szCs w:val="32"/>
          <w:highlight w:val="none"/>
        </w:rPr>
        <w:t>万元：</w:t>
      </w:r>
      <w:r>
        <w:rPr>
          <w:rFonts w:hint="eastAsia" w:ascii="仿宋" w:hAnsi="仿宋" w:eastAsia="仿宋" w:cs="仿宋"/>
          <w:color w:val="auto"/>
          <w:sz w:val="32"/>
          <w:szCs w:val="32"/>
          <w:highlight w:val="none"/>
        </w:rPr>
        <w:t>主要用于</w:t>
      </w:r>
      <w:r>
        <w:rPr>
          <w:rFonts w:hint="eastAsia" w:ascii="仿宋" w:hAnsi="仿宋" w:eastAsia="仿宋" w:cs="仿宋"/>
          <w:color w:val="auto"/>
          <w:sz w:val="32"/>
          <w:szCs w:val="32"/>
          <w:highlight w:val="none"/>
          <w:lang w:eastAsia="zh-CN"/>
        </w:rPr>
        <w:t>：社区干部工资支出和办公费支出</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eastAsia="zh-CN" w:bidi="ar"/>
        </w:rPr>
        <w:t>增加</w:t>
      </w:r>
      <w:r>
        <w:rPr>
          <w:rFonts w:hint="eastAsia" w:ascii="仿宋" w:hAnsi="仿宋" w:eastAsia="仿宋" w:cs="仿宋"/>
          <w:color w:val="auto"/>
          <w:sz w:val="32"/>
          <w:szCs w:val="32"/>
          <w:highlight w:val="none"/>
          <w:lang w:val="en-US" w:eastAsia="zh-CN" w:bidi="ar"/>
        </w:rPr>
        <w:t>3.76</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bidi="ar"/>
        </w:rPr>
        <w:t>增长</w:t>
      </w:r>
      <w:r>
        <w:rPr>
          <w:rFonts w:hint="eastAsia" w:ascii="仿宋" w:hAnsi="仿宋" w:eastAsia="仿宋" w:cs="仿宋"/>
          <w:color w:val="auto"/>
          <w:sz w:val="32"/>
          <w:szCs w:val="32"/>
          <w:highlight w:val="none"/>
          <w:lang w:val="en-US" w:eastAsia="zh-CN" w:bidi="ar"/>
        </w:rPr>
        <w:t>7.01</w:t>
      </w:r>
      <w:r>
        <w:rPr>
          <w:rFonts w:hint="eastAsia" w:ascii="仿宋" w:hAnsi="仿宋" w:eastAsia="仿宋" w:cs="仿宋"/>
          <w:color w:val="auto"/>
          <w:sz w:val="32"/>
          <w:szCs w:val="32"/>
          <w:highlight w:val="none"/>
          <w:lang w:bidi="ar"/>
        </w:rPr>
        <w:t>%</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主要原因是：社区干部工资调整等。</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sz w:val="32"/>
          <w:szCs w:val="32"/>
          <w:highlight w:val="none"/>
        </w:rPr>
        <w:t>5</w:t>
      </w:r>
      <w:r>
        <w:rPr>
          <w:rFonts w:ascii="仿宋" w:hAnsi="仿宋" w:eastAsia="仿宋" w:cs="仿宋"/>
          <w:sz w:val="32"/>
          <w:u w:color="auto"/>
        </w:rPr>
        <w:t>.</w:t>
      </w:r>
      <w:r>
        <w:rPr>
          <w:rFonts w:hint="eastAsia" w:hAnsi="仿宋" w:eastAsia="仿宋"/>
          <w:sz w:val="32"/>
          <w:szCs w:val="32"/>
        </w:rPr>
        <w:t>资源勘探</w:t>
      </w:r>
      <w:r>
        <w:rPr>
          <w:rFonts w:hint="eastAsia" w:hAnsi="仿宋" w:eastAsia="仿宋"/>
          <w:sz w:val="32"/>
          <w:szCs w:val="32"/>
          <w:lang w:eastAsia="zh-CN"/>
        </w:rPr>
        <w:t>工业</w:t>
      </w:r>
      <w:r>
        <w:rPr>
          <w:rFonts w:hint="eastAsia" w:hAnsi="仿宋" w:eastAsia="仿宋"/>
          <w:sz w:val="32"/>
          <w:szCs w:val="32"/>
        </w:rPr>
        <w:t>信息</w:t>
      </w:r>
      <w:r>
        <w:rPr>
          <w:rFonts w:hint="eastAsia" w:hAnsi="仿宋" w:eastAsia="仿宋"/>
          <w:sz w:val="32"/>
          <w:szCs w:val="32"/>
          <w:lang w:eastAsia="zh-CN"/>
        </w:rPr>
        <w:t>等</w:t>
      </w:r>
      <w:r>
        <w:rPr>
          <w:rFonts w:hint="eastAsia" w:hAnsi="仿宋" w:eastAsia="仿宋"/>
          <w:sz w:val="32"/>
          <w:szCs w:val="32"/>
        </w:rPr>
        <w:t>支</w:t>
      </w:r>
      <w:r>
        <w:rPr>
          <w:rFonts w:hint="eastAsia" w:hAnsi="仿宋" w:eastAsia="仿宋"/>
          <w:color w:val="auto"/>
          <w:sz w:val="32"/>
          <w:szCs w:val="32"/>
        </w:rPr>
        <w:t>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21</w:t>
      </w:r>
      <w:r>
        <w:rPr>
          <w:rFonts w:hint="eastAsia" w:ascii="仿宋" w:hAnsi="仿宋" w:eastAsia="仿宋" w:cs="仿宋"/>
          <w:color w:val="auto"/>
          <w:sz w:val="32"/>
          <w:szCs w:val="32"/>
          <w:highlight w:val="none"/>
          <w:lang w:val="en-US" w:eastAsia="zh-CN" w:bidi="ar"/>
        </w:rPr>
        <w:t>5</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hAnsi="仿宋" w:eastAsia="仿宋"/>
          <w:color w:val="auto"/>
          <w:sz w:val="32"/>
          <w:szCs w:val="32"/>
          <w:lang w:val="en-US" w:eastAsia="zh-CN"/>
        </w:rPr>
        <w:t>345.2</w:t>
      </w:r>
      <w:r>
        <w:rPr>
          <w:rFonts w:hint="eastAsia" w:hAnsi="仿宋" w:eastAsia="仿宋"/>
          <w:color w:val="auto"/>
          <w:sz w:val="32"/>
          <w:szCs w:val="32"/>
        </w:rPr>
        <w:t>万元：主要用于为保障本单位正常运转、完成日常工作任务而发生的人员支出和公用支出</w:t>
      </w:r>
      <w:r>
        <w:rPr>
          <w:rFonts w:hint="eastAsia" w:hAnsi="仿宋" w:eastAsia="仿宋"/>
          <w:color w:val="auto"/>
          <w:sz w:val="32"/>
          <w:szCs w:val="32"/>
          <w:lang w:val="en-US" w:eastAsia="zh-CN"/>
        </w:rPr>
        <w:t>216.56</w:t>
      </w:r>
      <w:r>
        <w:rPr>
          <w:rFonts w:hint="eastAsia" w:hAnsi="仿宋" w:eastAsia="仿宋"/>
          <w:color w:val="auto"/>
          <w:sz w:val="32"/>
          <w:szCs w:val="32"/>
        </w:rPr>
        <w:t>万元，为完成特定事业发展的项目支出</w:t>
      </w:r>
      <w:r>
        <w:rPr>
          <w:rFonts w:hint="eastAsia" w:hAnsi="仿宋" w:eastAsia="仿宋"/>
          <w:color w:val="auto"/>
          <w:sz w:val="32"/>
          <w:szCs w:val="32"/>
          <w:lang w:val="en-US" w:eastAsia="zh-CN"/>
        </w:rPr>
        <w:t>128.64</w:t>
      </w:r>
      <w:r>
        <w:rPr>
          <w:rFonts w:hint="eastAsia" w:hAnsi="仿宋" w:eastAsia="仿宋"/>
          <w:color w:val="auto"/>
          <w:sz w:val="32"/>
          <w:szCs w:val="32"/>
        </w:rPr>
        <w:t>万元。资源勘探</w:t>
      </w:r>
      <w:r>
        <w:rPr>
          <w:rFonts w:hint="eastAsia" w:hAnsi="仿宋" w:eastAsia="仿宋"/>
          <w:color w:val="auto"/>
          <w:sz w:val="32"/>
          <w:szCs w:val="32"/>
          <w:lang w:eastAsia="zh-CN"/>
        </w:rPr>
        <w:t>工业</w:t>
      </w:r>
      <w:r>
        <w:rPr>
          <w:rFonts w:hint="eastAsia" w:hAnsi="仿宋" w:eastAsia="仿宋"/>
          <w:color w:val="auto"/>
          <w:sz w:val="32"/>
          <w:szCs w:val="32"/>
        </w:rPr>
        <w:t>信息</w:t>
      </w:r>
      <w:r>
        <w:rPr>
          <w:rFonts w:hint="eastAsia" w:hAnsi="仿宋" w:eastAsia="仿宋"/>
          <w:color w:val="auto"/>
          <w:sz w:val="32"/>
          <w:szCs w:val="32"/>
          <w:lang w:eastAsia="zh-CN"/>
        </w:rPr>
        <w:t>等</w:t>
      </w:r>
      <w:r>
        <w:rPr>
          <w:rFonts w:hint="eastAsia" w:hAnsi="仿宋" w:eastAsia="仿宋"/>
          <w:color w:val="auto"/>
          <w:sz w:val="32"/>
          <w:szCs w:val="32"/>
        </w:rPr>
        <w:t>支出</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eastAsia="zh-CN" w:bidi="ar"/>
        </w:rPr>
        <w:t>减少</w:t>
      </w:r>
      <w:r>
        <w:rPr>
          <w:rFonts w:hint="eastAsia" w:ascii="仿宋" w:hAnsi="仿宋" w:eastAsia="仿宋" w:cs="仿宋"/>
          <w:color w:val="auto"/>
          <w:sz w:val="32"/>
          <w:szCs w:val="32"/>
          <w:highlight w:val="none"/>
          <w:lang w:val="en-US" w:eastAsia="zh-CN" w:bidi="ar"/>
        </w:rPr>
        <w:t>1.27</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bidi="ar"/>
        </w:rPr>
        <w:t>下降</w:t>
      </w:r>
      <w:r>
        <w:rPr>
          <w:rFonts w:hint="eastAsia" w:ascii="仿宋" w:hAnsi="仿宋" w:eastAsia="仿宋" w:cs="仿宋"/>
          <w:color w:val="auto"/>
          <w:sz w:val="32"/>
          <w:szCs w:val="32"/>
          <w:highlight w:val="none"/>
          <w:lang w:val="en-US" w:eastAsia="zh-CN" w:bidi="ar"/>
        </w:rPr>
        <w:t>0.37</w:t>
      </w:r>
      <w:r>
        <w:rPr>
          <w:rFonts w:hint="eastAsia" w:ascii="仿宋" w:hAnsi="仿宋" w:eastAsia="仿宋" w:cs="仿宋"/>
          <w:color w:val="auto"/>
          <w:sz w:val="32"/>
          <w:szCs w:val="32"/>
          <w:highlight w:val="none"/>
          <w:lang w:bidi="ar"/>
        </w:rPr>
        <w:t>%</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主要原因是：人员减少以及项目变动等。</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sz w:val="32"/>
          <w:u w:color="auto"/>
          <w:lang w:val="en-US" w:eastAsia="zh-CN"/>
        </w:rPr>
        <w:t>6</w:t>
      </w:r>
      <w:r>
        <w:rPr>
          <w:rFonts w:ascii="仿宋" w:hAnsi="仿宋" w:eastAsia="仿宋" w:cs="仿宋"/>
          <w:sz w:val="32"/>
          <w:u w:color="auto"/>
        </w:rPr>
        <w:t>.</w:t>
      </w: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color w:val="auto"/>
          <w:sz w:val="32"/>
          <w:szCs w:val="32"/>
          <w:highlight w:val="none"/>
          <w:lang w:val="en-US" w:eastAsia="zh-CN" w:bidi="ar"/>
        </w:rPr>
        <w:t>23.25</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仿宋" w:hAnsi="仿宋" w:eastAsia="仿宋" w:cs="仿宋_GB2312"/>
          <w:color w:val="auto"/>
          <w:kern w:val="0"/>
          <w:sz w:val="32"/>
          <w:szCs w:val="32"/>
        </w:rPr>
        <w:t>按照国家政策规定向职工发放的住房公积金、提租补贴、购房补贴等住房改革方</w:t>
      </w:r>
      <w:r>
        <w:rPr>
          <w:rFonts w:hint="eastAsia" w:ascii="仿宋" w:hAnsi="仿宋" w:eastAsia="仿宋" w:cs="仿宋_GB2312"/>
          <w:color w:val="auto"/>
          <w:spacing w:val="-3"/>
          <w:kern w:val="0"/>
          <w:sz w:val="32"/>
          <w:szCs w:val="32"/>
        </w:rPr>
        <w:t>面的支出</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减少</w:t>
      </w:r>
      <w:r>
        <w:rPr>
          <w:rFonts w:hint="eastAsia" w:ascii="仿宋" w:hAnsi="仿宋" w:eastAsia="仿宋" w:cs="仿宋"/>
          <w:color w:val="auto"/>
          <w:sz w:val="32"/>
          <w:szCs w:val="32"/>
          <w:highlight w:val="none"/>
          <w:lang w:val="en-US" w:eastAsia="zh-CN" w:bidi="ar"/>
        </w:rPr>
        <w:t>0.58</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下降</w:t>
      </w:r>
      <w:r>
        <w:rPr>
          <w:rFonts w:hint="eastAsia" w:ascii="仿宋" w:hAnsi="仿宋" w:eastAsia="仿宋" w:cs="仿宋"/>
          <w:color w:val="auto"/>
          <w:sz w:val="32"/>
          <w:szCs w:val="32"/>
          <w:highlight w:val="none"/>
          <w:lang w:val="en-US" w:eastAsia="zh-CN" w:bidi="ar"/>
        </w:rPr>
        <w:t>2.43</w:t>
      </w:r>
      <w:r>
        <w:rPr>
          <w:rFonts w:hint="eastAsia" w:ascii="仿宋" w:hAnsi="仿宋" w:eastAsia="仿宋" w:cs="仿宋"/>
          <w:color w:val="auto"/>
          <w:sz w:val="32"/>
          <w:szCs w:val="32"/>
          <w:highlight w:val="none"/>
          <w:lang w:bidi="ar"/>
        </w:rPr>
        <w:t>%</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主要原因是：人员减少。</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auto"/>
          <w:kern w:val="2"/>
          <w:sz w:val="32"/>
          <w:szCs w:val="32"/>
          <w:highlight w:val="none"/>
          <w:lang w:val="en-US" w:eastAsia="zh-CN" w:bidi="ar"/>
        </w:rPr>
      </w:pPr>
      <w:r>
        <w:rPr>
          <w:rFonts w:hint="eastAsia" w:ascii="仿宋" w:hAnsi="仿宋" w:eastAsia="仿宋" w:cs="仿宋"/>
          <w:color w:val="auto"/>
          <w:kern w:val="2"/>
          <w:sz w:val="32"/>
          <w:szCs w:val="32"/>
          <w:highlight w:val="none"/>
          <w:lang w:val="en-US" w:eastAsia="zh-CN" w:bidi="ar"/>
        </w:rPr>
        <w:t>7.其他支出（229类）52.33万元：主要用于：发放职工的奖励性补贴以及伙食费补助。</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减少</w:t>
      </w:r>
      <w:r>
        <w:rPr>
          <w:rFonts w:hint="eastAsia" w:ascii="仿宋" w:hAnsi="仿宋" w:eastAsia="仿宋" w:cs="仿宋"/>
          <w:color w:val="auto"/>
          <w:sz w:val="32"/>
          <w:szCs w:val="32"/>
          <w:highlight w:val="none"/>
          <w:lang w:val="en-US" w:eastAsia="zh-CN" w:bidi="ar"/>
        </w:rPr>
        <w:t>21.43</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下降</w:t>
      </w:r>
      <w:r>
        <w:rPr>
          <w:rFonts w:hint="eastAsia" w:ascii="仿宋" w:hAnsi="仿宋" w:eastAsia="仿宋" w:cs="仿宋"/>
          <w:color w:val="auto"/>
          <w:sz w:val="32"/>
          <w:szCs w:val="32"/>
          <w:highlight w:val="none"/>
          <w:lang w:val="en-US" w:eastAsia="zh-CN" w:bidi="ar"/>
        </w:rPr>
        <w:t>29.05</w:t>
      </w:r>
      <w:r>
        <w:rPr>
          <w:rFonts w:hint="eastAsia" w:ascii="仿宋" w:hAnsi="仿宋" w:eastAsia="仿宋" w:cs="仿宋"/>
          <w:color w:val="auto"/>
          <w:sz w:val="32"/>
          <w:szCs w:val="32"/>
          <w:highlight w:val="none"/>
          <w:lang w:bidi="ar"/>
        </w:rPr>
        <w:t>%</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主要原因是：本年度发放奖励性补贴较上年减少。</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_GB2312" w:cs="仿宋"/>
          <w:color w:val="auto"/>
          <w:sz w:val="32"/>
          <w:szCs w:val="32"/>
          <w:highlight w:val="none"/>
          <w:lang w:eastAsia="zh-CN" w:bidi="ar"/>
        </w:rPr>
      </w:pP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万元，为事业单位按规定提取的专用结余、缴纳所得税和转入非财政拨款结余等。</w:t>
      </w:r>
      <w:r>
        <w:rPr>
          <w:rFonts w:hint="default" w:ascii="仿宋_GB2312" w:hAnsi="微软雅黑" w:eastAsia="仿宋_GB2312" w:cs="仿宋_GB2312"/>
          <w:i w:val="0"/>
          <w:iCs w:val="0"/>
          <w:caps w:val="0"/>
          <w:color w:val="auto"/>
          <w:spacing w:val="0"/>
          <w:sz w:val="31"/>
          <w:szCs w:val="31"/>
          <w:highlight w:val="none"/>
          <w:shd w:val="clear" w:color="auto" w:fill="FFFFFF"/>
        </w:rPr>
        <w:t>较202</w:t>
      </w:r>
      <w:r>
        <w:rPr>
          <w:rFonts w:hint="eastAsia" w:ascii="仿宋_GB2312" w:hAnsi="微软雅黑" w:eastAsia="仿宋_GB2312" w:cs="仿宋_GB2312"/>
          <w:i w:val="0"/>
          <w:iCs w:val="0"/>
          <w:caps w:val="0"/>
          <w:color w:val="auto"/>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auto"/>
          <w:spacing w:val="0"/>
          <w:sz w:val="31"/>
          <w:szCs w:val="31"/>
          <w:highlight w:val="none"/>
          <w:shd w:val="clear" w:color="auto" w:fill="FFFFFF"/>
        </w:rPr>
        <w:t>年决算</w:t>
      </w:r>
      <w:r>
        <w:rPr>
          <w:rFonts w:hint="eastAsia" w:ascii="仿宋_GB2312" w:hAnsi="微软雅黑" w:eastAsia="仿宋_GB2312" w:cs="仿宋_GB2312"/>
          <w:color w:val="auto"/>
          <w:sz w:val="31"/>
          <w:szCs w:val="31"/>
          <w:highlight w:val="none"/>
          <w:shd w:val="clear" w:color="auto" w:fill="FFFFFF"/>
        </w:rPr>
        <w:t>0.00</w:t>
      </w:r>
      <w:r>
        <w:rPr>
          <w:rFonts w:hint="default" w:ascii="仿宋_GB2312" w:hAnsi="微软雅黑" w:eastAsia="仿宋_GB2312" w:cs="仿宋_GB2312"/>
          <w:i w:val="0"/>
          <w:iCs w:val="0"/>
          <w:caps w:val="0"/>
          <w:color w:val="auto"/>
          <w:spacing w:val="0"/>
          <w:sz w:val="31"/>
          <w:szCs w:val="31"/>
          <w:highlight w:val="none"/>
          <w:shd w:val="clear" w:color="auto" w:fill="FFFFFF"/>
        </w:rPr>
        <w:t>万元</w:t>
      </w:r>
      <w:r>
        <w:rPr>
          <w:rFonts w:hint="eastAsia" w:ascii="仿宋_GB2312" w:hAnsi="微软雅黑" w:eastAsia="仿宋_GB2312" w:cs="仿宋_GB2312"/>
          <w:i w:val="0"/>
          <w:iCs w:val="0"/>
          <w:caps w:val="0"/>
          <w:color w:val="auto"/>
          <w:spacing w:val="0"/>
          <w:sz w:val="31"/>
          <w:szCs w:val="31"/>
          <w:highlight w:val="none"/>
          <w:shd w:val="clear" w:color="auto" w:fill="FFFFFF"/>
          <w:lang w:val="en-US" w:eastAsia="zh-CN"/>
        </w:rPr>
        <w:t>,</w:t>
      </w:r>
      <w:r>
        <w:rPr>
          <w:rFonts w:hint="eastAsia" w:ascii="仿宋_GB2312" w:hAnsi="微软雅黑" w:eastAsia="仿宋_GB2312" w:cs="仿宋_GB2312"/>
          <w:color w:val="auto"/>
          <w:sz w:val="31"/>
          <w:szCs w:val="31"/>
          <w:highlight w:val="none"/>
          <w:shd w:val="clear" w:color="auto" w:fill="FFFFFF"/>
        </w:rPr>
        <w:t>增加0.00</w:t>
      </w:r>
      <w:r>
        <w:rPr>
          <w:rFonts w:hint="default" w:ascii="仿宋_GB2312" w:hAnsi="微软雅黑" w:eastAsia="仿宋_GB2312" w:cs="仿宋_GB2312"/>
          <w:i w:val="0"/>
          <w:iCs w:val="0"/>
          <w:caps w:val="0"/>
          <w:color w:val="auto"/>
          <w:spacing w:val="0"/>
          <w:sz w:val="31"/>
          <w:szCs w:val="31"/>
          <w:highlight w:val="none"/>
          <w:shd w:val="clear" w:color="auto" w:fill="FFFFFF"/>
        </w:rPr>
        <w:t>万元，</w:t>
      </w:r>
      <w:r>
        <w:rPr>
          <w:rFonts w:hint="eastAsia" w:ascii="仿宋_GB2312" w:hAnsi="微软雅黑" w:eastAsia="仿宋_GB2312" w:cs="仿宋_GB2312"/>
          <w:color w:val="auto"/>
          <w:sz w:val="31"/>
          <w:szCs w:val="31"/>
          <w:highlight w:val="none"/>
          <w:shd w:val="clear" w:color="auto" w:fill="FFFFFF"/>
        </w:rPr>
        <w:t>增长0%</w:t>
      </w:r>
      <w:r>
        <w:rPr>
          <w:rFonts w:hint="default" w:ascii="仿宋_GB2312" w:hAnsi="微软雅黑" w:eastAsia="仿宋_GB2312" w:cs="仿宋_GB2312"/>
          <w:i w:val="0"/>
          <w:iCs w:val="0"/>
          <w:caps w:val="0"/>
          <w:color w:val="auto"/>
          <w:spacing w:val="0"/>
          <w:sz w:val="31"/>
          <w:szCs w:val="31"/>
          <w:highlight w:val="none"/>
          <w:shd w:val="clear" w:color="auto" w:fill="FFFFFF"/>
        </w:rPr>
        <w:t>，主要原因是</w:t>
      </w:r>
      <w:r>
        <w:rPr>
          <w:rFonts w:hint="eastAsia" w:ascii="仿宋" w:hAnsi="仿宋" w:eastAsia="仿宋" w:cs="仿宋"/>
          <w:color w:val="auto"/>
          <w:kern w:val="2"/>
          <w:sz w:val="32"/>
          <w:szCs w:val="32"/>
          <w:highlight w:val="none"/>
          <w:lang w:val="en-US" w:eastAsia="zh-CN" w:bidi="ar"/>
        </w:rPr>
        <w:t>：本单位无结余分配。</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年末结转和结余</w:t>
      </w:r>
      <w:r>
        <w:rPr>
          <w:rFonts w:hint="eastAsia" w:ascii="仿宋" w:hAnsi="仿宋" w:eastAsia="仿宋" w:cs="仿宋"/>
          <w:color w:val="auto"/>
          <w:sz w:val="32"/>
          <w:u w:color="auto"/>
          <w:lang w:val="en-US" w:eastAsia="zh-CN"/>
        </w:rPr>
        <w:t>0</w:t>
      </w:r>
      <w:r>
        <w:rPr>
          <w:rFonts w:hint="eastAsia" w:ascii="仿宋" w:hAnsi="仿宋" w:eastAsia="仿宋" w:cs="仿宋"/>
          <w:color w:val="auto"/>
          <w:sz w:val="32"/>
          <w:szCs w:val="32"/>
          <w:highlight w:val="none"/>
        </w:rPr>
        <w:t>万元，为本年度或以前年度预算安排、因客观条件发生变化无法按原计划实施，需要延迟到以后年度按有关规定继续使用的资金。较2021年度决算数</w:t>
      </w:r>
      <w:r>
        <w:rPr>
          <w:rFonts w:ascii="仿宋" w:hAnsi="仿宋" w:eastAsia="仿宋" w:cs="仿宋"/>
          <w:color w:val="auto"/>
          <w:sz w:val="32"/>
          <w:u w:color="auto"/>
        </w:rPr>
        <w:t>增加</w:t>
      </w:r>
      <w:r>
        <w:rPr>
          <w:rFonts w:hint="eastAsia" w:ascii="仿宋" w:hAnsi="仿宋" w:eastAsia="仿宋" w:cs="仿宋"/>
          <w:color w:val="auto"/>
          <w:sz w:val="32"/>
          <w:u w:color="auto"/>
          <w:lang w:val="en-US" w:eastAsia="zh-CN"/>
        </w:rPr>
        <w:t>0</w:t>
      </w:r>
      <w:r>
        <w:rPr>
          <w:rFonts w:hint="eastAsia" w:ascii="仿宋" w:hAnsi="仿宋" w:eastAsia="仿宋" w:cs="仿宋"/>
          <w:color w:val="auto"/>
          <w:sz w:val="32"/>
          <w:szCs w:val="32"/>
          <w:highlight w:val="none"/>
        </w:rPr>
        <w:t>万元，</w:t>
      </w:r>
      <w:r>
        <w:rPr>
          <w:rFonts w:ascii="仿宋" w:hAnsi="仿宋" w:eastAsia="仿宋" w:cs="仿宋"/>
          <w:color w:val="auto"/>
          <w:sz w:val="32"/>
          <w:u w:color="auto"/>
        </w:rPr>
        <w:t>增长</w:t>
      </w:r>
      <w:r>
        <w:rPr>
          <w:rFonts w:hint="eastAsia" w:ascii="仿宋" w:hAnsi="仿宋" w:eastAsia="仿宋" w:cs="仿宋"/>
          <w:color w:val="auto"/>
          <w:sz w:val="32"/>
          <w:u w:color="auto"/>
          <w:lang w:val="en-US" w:eastAsia="zh-CN"/>
        </w:rPr>
        <w:t>0</w:t>
      </w:r>
      <w:r>
        <w:rPr>
          <w:rFonts w:ascii="仿宋" w:hAnsi="仿宋" w:eastAsia="仿宋" w:cs="仿宋"/>
          <w:color w:val="auto"/>
          <w:sz w:val="32"/>
          <w:u w:color="auto"/>
        </w:rPr>
        <w:t>%</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主要原因是：本单位无</w:t>
      </w:r>
      <w:r>
        <w:rPr>
          <w:rFonts w:hint="eastAsia" w:ascii="仿宋" w:hAnsi="仿宋" w:eastAsia="仿宋" w:cs="仿宋"/>
          <w:color w:val="auto"/>
          <w:sz w:val="32"/>
          <w:szCs w:val="32"/>
          <w:highlight w:val="none"/>
        </w:rPr>
        <w:t>年末结转和结余</w:t>
      </w:r>
      <w:r>
        <w:rPr>
          <w:rFonts w:hint="eastAsia" w:ascii="仿宋" w:hAnsi="仿宋" w:eastAsia="仿宋" w:cs="仿宋"/>
          <w:color w:val="auto"/>
          <w:sz w:val="32"/>
          <w:szCs w:val="32"/>
          <w:highlight w:val="none"/>
          <w:lang w:eastAsia="zh-CN"/>
        </w:rPr>
        <w:t>。</w:t>
      </w: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547235" cy="2603500"/>
            <wp:effectExtent l="4445" t="4445" r="20320" b="2095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0" w:name="OLE_LINK1"/>
      <w:r>
        <w:rPr>
          <w:rFonts w:hint="eastAsia" w:ascii="黑体" w:hAnsi="黑体" w:eastAsia="黑体" w:cs="黑体"/>
          <w:sz w:val="32"/>
          <w:szCs w:val="32"/>
          <w:highlight w:val="none"/>
        </w:rPr>
        <w:t>一般公共预算财政拨款支出决算情况</w:t>
      </w:r>
      <w:bookmarkEnd w:id="0"/>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红茂矿区管理处</w:t>
      </w:r>
      <w:r>
        <w:rPr>
          <w:rFonts w:hint="eastAsia" w:ascii="仿宋" w:hAnsi="仿宋" w:eastAsia="仿宋" w:cs="仿宋"/>
          <w:sz w:val="32"/>
          <w:szCs w:val="32"/>
          <w:highlight w:val="none"/>
        </w:rPr>
        <w:t>2022年度一般公共预算财政拨款支出</w:t>
      </w:r>
      <w:r>
        <w:rPr>
          <w:rFonts w:hint="eastAsia" w:ascii="仿宋" w:hAnsi="仿宋" w:eastAsia="仿宋" w:cs="仿宋"/>
          <w:sz w:val="32"/>
          <w:u w:color="auto"/>
          <w:lang w:val="en-US" w:eastAsia="zh-CN"/>
        </w:rPr>
        <w:t>665.03</w:t>
      </w:r>
      <w:r>
        <w:rPr>
          <w:rFonts w:hint="eastAsia" w:ascii="仿宋" w:hAnsi="仿宋" w:eastAsia="仿宋" w:cs="仿宋"/>
          <w:sz w:val="32"/>
          <w:szCs w:val="32"/>
          <w:highlight w:val="none"/>
        </w:rPr>
        <w:t>万元，较2021年度决算数</w:t>
      </w:r>
      <w:r>
        <w:rPr>
          <w:rFonts w:hint="eastAsia" w:ascii="仿宋" w:hAnsi="仿宋" w:eastAsia="仿宋" w:cs="仿宋"/>
          <w:sz w:val="32"/>
          <w:u w:color="auto"/>
          <w:lang w:eastAsia="zh-CN"/>
        </w:rPr>
        <w:t>增加</w:t>
      </w:r>
      <w:r>
        <w:rPr>
          <w:rFonts w:hint="eastAsia" w:ascii="仿宋" w:hAnsi="仿宋" w:eastAsia="仿宋" w:cs="仿宋"/>
          <w:sz w:val="32"/>
          <w:u w:color="auto"/>
          <w:lang w:val="en-US" w:eastAsia="zh-CN"/>
        </w:rPr>
        <w:t>16.64</w:t>
      </w:r>
      <w:r>
        <w:rPr>
          <w:rFonts w:hint="eastAsia" w:ascii="仿宋" w:hAnsi="仿宋" w:eastAsia="仿宋" w:cs="仿宋"/>
          <w:sz w:val="32"/>
          <w:szCs w:val="32"/>
          <w:highlight w:val="none"/>
        </w:rPr>
        <w:t>万元，</w:t>
      </w:r>
      <w:r>
        <w:rPr>
          <w:rFonts w:hint="eastAsia" w:ascii="仿宋" w:hAnsi="仿宋" w:eastAsia="仿宋" w:cs="仿宋"/>
          <w:sz w:val="32"/>
          <w:u w:color="auto"/>
          <w:lang w:eastAsia="zh-CN"/>
        </w:rPr>
        <w:t>增长</w:t>
      </w:r>
      <w:r>
        <w:rPr>
          <w:rFonts w:hint="eastAsia" w:ascii="仿宋" w:hAnsi="仿宋" w:eastAsia="仿宋" w:cs="仿宋"/>
          <w:sz w:val="32"/>
          <w:u w:color="auto"/>
          <w:lang w:val="en-US" w:eastAsia="zh-CN"/>
        </w:rPr>
        <w:t>2.57</w:t>
      </w:r>
      <w:r>
        <w:rPr>
          <w:rFonts w:ascii="仿宋" w:hAnsi="仿宋" w:eastAsia="仿宋" w:cs="仿宋"/>
          <w:sz w:val="32"/>
          <w:u w:color="auto"/>
        </w:rPr>
        <w:t>%</w:t>
      </w:r>
      <w:r>
        <w:rPr>
          <w:rFonts w:hint="eastAsia" w:ascii="仿宋" w:hAnsi="仿宋" w:eastAsia="仿宋" w:cs="仿宋"/>
          <w:sz w:val="32"/>
          <w:szCs w:val="32"/>
          <w:highlight w:val="none"/>
        </w:rPr>
        <w:t>。其中：基本支出</w:t>
      </w:r>
      <w:r>
        <w:rPr>
          <w:rFonts w:hint="eastAsia" w:ascii="仿宋" w:hAnsi="仿宋" w:eastAsia="仿宋" w:cs="仿宋"/>
          <w:sz w:val="32"/>
          <w:u w:color="auto"/>
          <w:lang w:val="en-US" w:eastAsia="zh-CN"/>
        </w:rPr>
        <w:t>384.74</w:t>
      </w:r>
      <w:r>
        <w:rPr>
          <w:rFonts w:hint="eastAsia" w:ascii="仿宋" w:hAnsi="仿宋" w:eastAsia="仿宋" w:cs="仿宋"/>
          <w:sz w:val="32"/>
          <w:szCs w:val="32"/>
          <w:highlight w:val="none"/>
        </w:rPr>
        <w:t>万元，项目支出</w:t>
      </w:r>
      <w:r>
        <w:rPr>
          <w:rFonts w:hint="eastAsia" w:ascii="仿宋" w:hAnsi="仿宋" w:eastAsia="仿宋" w:cs="仿宋"/>
          <w:sz w:val="32"/>
          <w:u w:color="auto"/>
          <w:lang w:val="en-US" w:eastAsia="zh-CN"/>
        </w:rPr>
        <w:t>280.29</w:t>
      </w:r>
      <w:r>
        <w:rPr>
          <w:rFonts w:hint="eastAsia" w:ascii="仿宋" w:hAnsi="仿宋" w:eastAsia="仿宋" w:cs="仿宋"/>
          <w:sz w:val="32"/>
          <w:szCs w:val="32"/>
          <w:highlight w:val="none"/>
        </w:rPr>
        <w:t>万元。</w:t>
      </w:r>
    </w:p>
    <w:p>
      <w:pPr>
        <w:ind w:firstLine="640" w:firstLineChars="200"/>
        <w:jc w:val="left"/>
        <w:rPr>
          <w:rFonts w:ascii="仿宋" w:hAnsi="仿宋" w:eastAsia="仿宋"/>
          <w:sz w:val="32"/>
          <w:szCs w:val="32"/>
          <w:highlight w:val="none"/>
        </w:rPr>
      </w:pPr>
      <w:r>
        <w:rPr>
          <w:rFonts w:hint="eastAsia" w:ascii="仿宋" w:hAnsi="仿宋" w:eastAsia="仿宋" w:cs="仿宋"/>
          <w:sz w:val="32"/>
          <w:szCs w:val="32"/>
          <w:highlight w:val="none"/>
          <w:lang w:eastAsia="zh-CN"/>
        </w:rPr>
        <w:t>红茂矿区管理处</w:t>
      </w:r>
      <w:r>
        <w:rPr>
          <w:rFonts w:hint="eastAsia" w:ascii="仿宋" w:hAnsi="仿宋" w:eastAsia="仿宋" w:cs="仿宋"/>
          <w:sz w:val="32"/>
          <w:szCs w:val="32"/>
          <w:highlight w:val="none"/>
        </w:rPr>
        <w:t>2022 年度一般公共预算财政拨款支出年初预算为</w:t>
      </w:r>
      <w:r>
        <w:rPr>
          <w:rFonts w:hint="eastAsia" w:ascii="仿宋" w:hAnsi="仿宋" w:eastAsia="仿宋" w:cs="仿宋"/>
          <w:sz w:val="32"/>
          <w:u w:color="auto"/>
          <w:lang w:val="en-US" w:eastAsia="zh-CN"/>
        </w:rPr>
        <w:t>407.79</w:t>
      </w:r>
      <w:r>
        <w:rPr>
          <w:rFonts w:hint="eastAsia" w:ascii="仿宋" w:hAnsi="仿宋" w:eastAsia="仿宋" w:cs="仿宋"/>
          <w:sz w:val="32"/>
          <w:szCs w:val="32"/>
          <w:highlight w:val="none"/>
        </w:rPr>
        <w:t>万元，支出决算为</w:t>
      </w:r>
      <w:r>
        <w:rPr>
          <w:rFonts w:hint="eastAsia" w:ascii="仿宋" w:hAnsi="仿宋" w:eastAsia="仿宋" w:cs="仿宋"/>
          <w:sz w:val="32"/>
          <w:u w:color="auto"/>
          <w:lang w:val="en-US" w:eastAsia="zh-CN"/>
        </w:rPr>
        <w:t>665.03</w:t>
      </w:r>
      <w:r>
        <w:rPr>
          <w:rFonts w:hint="eastAsia" w:ascii="仿宋" w:hAnsi="仿宋" w:eastAsia="仿宋" w:cs="仿宋"/>
          <w:sz w:val="32"/>
          <w:szCs w:val="32"/>
          <w:highlight w:val="none"/>
        </w:rPr>
        <w:t>万元，完成年初预算的</w:t>
      </w:r>
      <w:r>
        <w:rPr>
          <w:rFonts w:hint="eastAsia" w:ascii="仿宋" w:hAnsi="仿宋" w:eastAsia="仿宋" w:cs="仿宋"/>
          <w:sz w:val="32"/>
          <w:u w:color="auto"/>
          <w:lang w:val="en-US" w:eastAsia="zh-CN"/>
        </w:rPr>
        <w:t>163.08</w:t>
      </w:r>
      <w:r>
        <w:rPr>
          <w:rFonts w:ascii="仿宋" w:hAnsi="仿宋" w:eastAsia="仿宋" w:cs="仿宋"/>
          <w:sz w:val="32"/>
          <w:u w:color="auto"/>
        </w:rPr>
        <w:t>%</w:t>
      </w:r>
      <w:r>
        <w:rPr>
          <w:rFonts w:hint="eastAsia" w:ascii="仿宋" w:hAnsi="仿宋" w:eastAsia="仿宋" w:cs="仿宋"/>
          <w:sz w:val="32"/>
          <w:szCs w:val="32"/>
          <w:highlight w:val="none"/>
        </w:rPr>
        <w:t>。</w:t>
      </w:r>
      <w:bookmarkStart w:id="1" w:name="OLE_LINK2"/>
      <w:bookmarkEnd w:id="1"/>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auto"/>
          <w:highlight w:val="none"/>
          <w:lang w:val="en-US" w:eastAsia="zh-CN"/>
        </w:rPr>
      </w:pPr>
      <w:r>
        <w:rPr>
          <w:rFonts w:hint="eastAsia" w:ascii="仿宋" w:hAnsi="仿宋" w:eastAsia="仿宋" w:cs="仿宋"/>
          <w:sz w:val="32"/>
          <w:szCs w:val="32"/>
          <w:highlight w:val="none"/>
          <w:lang w:eastAsia="zh-CN" w:bidi="ar"/>
        </w:rPr>
        <w:t>一般公共服</w:t>
      </w:r>
      <w:r>
        <w:rPr>
          <w:rFonts w:hint="eastAsia" w:ascii="仿宋" w:hAnsi="仿宋" w:eastAsia="仿宋" w:cs="仿宋"/>
          <w:color w:val="auto"/>
          <w:sz w:val="32"/>
          <w:szCs w:val="32"/>
          <w:highlight w:val="none"/>
          <w:lang w:eastAsia="zh-CN" w:bidi="ar"/>
        </w:rPr>
        <w:t>务支出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20</w:t>
      </w:r>
      <w:r>
        <w:rPr>
          <w:rFonts w:hint="eastAsia" w:ascii="仿宋" w:hAnsi="仿宋" w:eastAsia="仿宋" w:cs="仿宋"/>
          <w:color w:val="auto"/>
          <w:sz w:val="32"/>
          <w:szCs w:val="32"/>
          <w:highlight w:val="none"/>
          <w:lang w:val="en-US" w:eastAsia="zh-CN" w:bidi="ar"/>
        </w:rPr>
        <w:t>1</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olor w:val="auto"/>
          <w:sz w:val="32"/>
          <w:szCs w:val="32"/>
          <w:highlight w:val="none"/>
        </w:rPr>
        <w:t>年初预算为</w:t>
      </w:r>
      <w:r>
        <w:rPr>
          <w:rFonts w:hint="eastAsia" w:ascii="仿宋" w:hAnsi="仿宋" w:eastAsia="仿宋"/>
          <w:color w:val="auto"/>
          <w:sz w:val="32"/>
          <w:szCs w:val="32"/>
          <w:highlight w:val="none"/>
          <w:lang w:val="en-US" w:eastAsia="zh-CN"/>
        </w:rPr>
        <w:t>4.05</w:t>
      </w:r>
      <w:r>
        <w:rPr>
          <w:rFonts w:hint="eastAsia" w:ascii="仿宋" w:hAnsi="仿宋" w:eastAsia="仿宋"/>
          <w:color w:val="auto"/>
          <w:sz w:val="32"/>
          <w:szCs w:val="32"/>
          <w:highlight w:val="none"/>
        </w:rPr>
        <w:t>万元，支出决算为</w:t>
      </w:r>
      <w:r>
        <w:rPr>
          <w:rFonts w:hint="eastAsia" w:ascii="仿宋" w:hAnsi="仿宋" w:eastAsia="仿宋"/>
          <w:color w:val="auto"/>
          <w:sz w:val="32"/>
          <w:szCs w:val="32"/>
          <w:highlight w:val="none"/>
          <w:lang w:val="en-US" w:eastAsia="zh-CN"/>
        </w:rPr>
        <w:t>7.27</w:t>
      </w:r>
      <w:r>
        <w:rPr>
          <w:rFonts w:hint="eastAsia" w:ascii="仿宋" w:hAnsi="仿宋" w:eastAsia="仿宋"/>
          <w:color w:val="auto"/>
          <w:sz w:val="32"/>
          <w:szCs w:val="32"/>
          <w:highlight w:val="none"/>
        </w:rPr>
        <w:t>万元，完成年初预算的</w:t>
      </w:r>
      <w:r>
        <w:rPr>
          <w:rFonts w:hint="eastAsia" w:ascii="仿宋" w:hAnsi="仿宋" w:eastAsia="仿宋"/>
          <w:color w:val="auto"/>
          <w:sz w:val="32"/>
          <w:szCs w:val="32"/>
          <w:highlight w:val="none"/>
          <w:lang w:val="en-US" w:eastAsia="zh-CN"/>
        </w:rPr>
        <w:t>179.51</w:t>
      </w:r>
      <w:r>
        <w:rPr>
          <w:rFonts w:ascii="仿宋" w:hAnsi="仿宋" w:eastAsia="仿宋"/>
          <w:color w:val="auto"/>
          <w:sz w:val="32"/>
          <w:szCs w:val="32"/>
          <w:highlight w:val="none"/>
        </w:rPr>
        <w:t>%</w:t>
      </w:r>
      <w:r>
        <w:rPr>
          <w:rFonts w:hint="eastAsia" w:ascii="仿宋" w:hAnsi="仿宋" w:eastAsia="仿宋"/>
          <w:color w:val="auto"/>
          <w:sz w:val="32"/>
          <w:szCs w:val="32"/>
          <w:highlight w:val="none"/>
        </w:rPr>
        <w:t>。预决算</w:t>
      </w:r>
      <w:r>
        <w:rPr>
          <w:rFonts w:hint="eastAsia" w:ascii="仿宋" w:hAnsi="仿宋" w:eastAsia="仿宋"/>
          <w:color w:val="auto"/>
          <w:sz w:val="32"/>
          <w:szCs w:val="32"/>
          <w:highlight w:val="none"/>
          <w:lang w:val="en-US" w:eastAsia="zh-CN"/>
        </w:rPr>
        <w:t>存有</w:t>
      </w:r>
      <w:r>
        <w:rPr>
          <w:rFonts w:hint="eastAsia" w:ascii="仿宋" w:hAnsi="仿宋" w:eastAsia="仿宋"/>
          <w:color w:val="auto"/>
          <w:sz w:val="32"/>
          <w:szCs w:val="32"/>
          <w:highlight w:val="none"/>
        </w:rPr>
        <w:t>差异</w:t>
      </w:r>
      <w:r>
        <w:rPr>
          <w:rFonts w:hint="eastAsia" w:ascii="仿宋" w:hAnsi="仿宋" w:eastAsia="仿宋"/>
          <w:color w:val="auto"/>
          <w:sz w:val="32"/>
          <w:szCs w:val="32"/>
          <w:highlight w:val="none"/>
          <w:lang w:val="en-US" w:eastAsia="zh-CN"/>
        </w:rPr>
        <w:t>原因是：</w:t>
      </w:r>
      <w:r>
        <w:rPr>
          <w:rFonts w:hint="eastAsia" w:ascii="仿宋" w:hAnsi="仿宋" w:eastAsia="仿宋" w:cs="仿宋"/>
          <w:color w:val="auto"/>
          <w:kern w:val="2"/>
          <w:sz w:val="32"/>
          <w:szCs w:val="32"/>
          <w:highlight w:val="none"/>
          <w:lang w:val="en-US" w:eastAsia="zh-CN" w:bidi="ar"/>
        </w:rPr>
        <w:t>星级党组织所在村办公经费、党员培训费及维稳经费共计3.22万元均为年中追加项目，年初未预算。</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p>
      <w:pPr>
        <w:keepNext w:val="0"/>
        <w:keepLines w:val="0"/>
        <w:widowControl w:val="0"/>
        <w:numPr>
          <w:ilvl w:val="0"/>
          <w:numId w:val="0"/>
        </w:numPr>
        <w:suppressLineNumbers w:val="0"/>
        <w:spacing w:before="0" w:beforeAutospacing="0" w:after="0" w:afterAutospacing="0"/>
        <w:ind w:left="420" w:leftChars="0" w:right="0" w:rightChars="0"/>
        <w:jc w:val="left"/>
        <w:rPr>
          <w:rFonts w:hint="eastAsia" w:eastAsia="仿宋"/>
          <w:color w:val="FF0000"/>
          <w:highlight w:val="none"/>
          <w:lang w:val="en-US" w:eastAsia="zh-CN"/>
        </w:rPr>
      </w:pP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358"/>
        <w:gridCol w:w="885"/>
        <w:gridCol w:w="765"/>
        <w:gridCol w:w="965"/>
        <w:gridCol w:w="1960"/>
        <w:gridCol w:w="16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35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88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7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9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96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64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2010301</w:t>
            </w:r>
          </w:p>
        </w:tc>
        <w:tc>
          <w:tcPr>
            <w:tcW w:w="135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行政运行</w:t>
            </w:r>
          </w:p>
        </w:tc>
        <w:tc>
          <w:tcPr>
            <w:tcW w:w="88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7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0.75</w:t>
            </w:r>
          </w:p>
        </w:tc>
        <w:tc>
          <w:tcPr>
            <w:tcW w:w="9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96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星级社区办公费</w:t>
            </w:r>
          </w:p>
        </w:tc>
        <w:tc>
          <w:tcPr>
            <w:tcW w:w="164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年中追加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35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其他群众团体事务支出</w:t>
            </w:r>
          </w:p>
        </w:tc>
        <w:tc>
          <w:tcPr>
            <w:tcW w:w="88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4.05</w:t>
            </w:r>
          </w:p>
        </w:tc>
        <w:tc>
          <w:tcPr>
            <w:tcW w:w="7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4.05</w:t>
            </w:r>
          </w:p>
        </w:tc>
        <w:tc>
          <w:tcPr>
            <w:tcW w:w="9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96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工会经费</w:t>
            </w:r>
          </w:p>
        </w:tc>
        <w:tc>
          <w:tcPr>
            <w:tcW w:w="164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2013202</w:t>
            </w:r>
          </w:p>
        </w:tc>
        <w:tc>
          <w:tcPr>
            <w:tcW w:w="135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一般行政管理事务</w:t>
            </w:r>
          </w:p>
        </w:tc>
        <w:tc>
          <w:tcPr>
            <w:tcW w:w="88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7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1.5</w:t>
            </w:r>
          </w:p>
        </w:tc>
        <w:tc>
          <w:tcPr>
            <w:tcW w:w="9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96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党员培训费</w:t>
            </w:r>
          </w:p>
        </w:tc>
        <w:tc>
          <w:tcPr>
            <w:tcW w:w="164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年中追加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2013601</w:t>
            </w:r>
          </w:p>
        </w:tc>
        <w:tc>
          <w:tcPr>
            <w:tcW w:w="135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行政运行</w:t>
            </w:r>
          </w:p>
        </w:tc>
        <w:tc>
          <w:tcPr>
            <w:tcW w:w="88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7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0.97</w:t>
            </w:r>
          </w:p>
        </w:tc>
        <w:tc>
          <w:tcPr>
            <w:tcW w:w="9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96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二十大维稳经费</w:t>
            </w:r>
          </w:p>
        </w:tc>
        <w:tc>
          <w:tcPr>
            <w:tcW w:w="164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年中追加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35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88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4.05</w:t>
            </w:r>
          </w:p>
        </w:tc>
        <w:tc>
          <w:tcPr>
            <w:tcW w:w="7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7.27</w:t>
            </w:r>
          </w:p>
        </w:tc>
        <w:tc>
          <w:tcPr>
            <w:tcW w:w="9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179.51%</w:t>
            </w:r>
          </w:p>
        </w:tc>
        <w:tc>
          <w:tcPr>
            <w:tcW w:w="196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164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追加项目年初未预算</w:t>
            </w:r>
          </w:p>
        </w:tc>
      </w:tr>
    </w:tbl>
    <w:p>
      <w:pPr>
        <w:keepNext w:val="0"/>
        <w:keepLines w:val="0"/>
        <w:widowControl w:val="0"/>
        <w:numPr>
          <w:ilvl w:val="0"/>
          <w:numId w:val="0"/>
        </w:numPr>
        <w:suppressLineNumbers w:val="0"/>
        <w:spacing w:before="0" w:beforeAutospacing="0" w:after="0" w:afterAutospacing="0"/>
        <w:ind w:left="420" w:leftChars="0" w:right="0" w:rightChars="0"/>
        <w:jc w:val="left"/>
        <w:rPr>
          <w:rFonts w:hint="eastAsia" w:eastAsia="仿宋"/>
          <w:color w:val="FF0000"/>
          <w:highlight w:val="none"/>
          <w:lang w:val="en-US" w:eastAsia="zh-CN"/>
        </w:rPr>
      </w:pPr>
    </w:p>
    <w:p>
      <w:pPr>
        <w:keepNext w:val="0"/>
        <w:keepLines w:val="0"/>
        <w:widowControl w:val="0"/>
        <w:numPr>
          <w:ilvl w:val="0"/>
          <w:numId w:val="0"/>
        </w:numPr>
        <w:suppressLineNumbers w:val="0"/>
        <w:spacing w:before="0" w:beforeAutospacing="0" w:after="0" w:afterAutospacing="0"/>
        <w:ind w:left="420" w:leftChars="0" w:right="0" w:rightChars="0"/>
        <w:jc w:val="left"/>
        <w:rPr>
          <w:rFonts w:hint="eastAsia" w:eastAsia="仿宋"/>
          <w:color w:val="FF0000"/>
          <w:highlight w:val="none"/>
          <w:lang w:val="en-US" w:eastAsia="zh-CN"/>
        </w:rPr>
      </w:pPr>
      <w:r>
        <w:rPr>
          <w:rFonts w:hint="eastAsia" w:ascii="仿宋" w:hAnsi="仿宋" w:eastAsia="仿宋" w:cs="仿宋"/>
          <w:sz w:val="32"/>
          <w:szCs w:val="32"/>
          <w:highlight w:val="none"/>
        </w:rPr>
        <w:drawing>
          <wp:inline distT="0" distB="0" distL="114300" distR="114300">
            <wp:extent cx="4274820" cy="2539365"/>
            <wp:effectExtent l="4445" t="4445" r="6985" b="8890"/>
            <wp:docPr id="1"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ascii="仿宋" w:hAnsi="仿宋" w:eastAsia="仿宋"/>
          <w:color w:val="auto"/>
          <w:sz w:val="32"/>
          <w:szCs w:val="32"/>
          <w:highlight w:val="none"/>
          <w:lang w:val="en-US" w:eastAsia="zh-CN"/>
        </w:rPr>
      </w:pP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208</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sz w:val="32"/>
          <w:szCs w:val="32"/>
          <w:highlight w:val="none"/>
        </w:rPr>
        <w:t>年初预算为</w:t>
      </w:r>
      <w:r>
        <w:rPr>
          <w:rFonts w:hint="eastAsia" w:ascii="仿宋" w:hAnsi="仿宋" w:eastAsia="仿宋"/>
          <w:sz w:val="32"/>
          <w:szCs w:val="32"/>
          <w:highlight w:val="none"/>
          <w:lang w:val="en-US" w:eastAsia="zh-CN"/>
        </w:rPr>
        <w:t>32.41</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129.95</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400.96</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olor w:val="auto"/>
          <w:sz w:val="32"/>
          <w:szCs w:val="32"/>
          <w:highlight w:val="none"/>
          <w:lang w:val="en-US" w:eastAsia="zh-CN"/>
        </w:rPr>
        <w:t>1、人员变动导致基本支出养老保险缴费较预算数减少1.25万元；2、退休教师待遇补差资金98.79万元为年中追加项目，年初未预算。</w:t>
      </w:r>
    </w:p>
    <w:p>
      <w:pPr>
        <w:jc w:val="left"/>
        <w:rPr>
          <w:rFonts w:hint="eastAsia" w:ascii="仿宋" w:hAnsi="仿宋" w:eastAsia="仿宋"/>
          <w:color w:val="FF0000"/>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358"/>
        <w:gridCol w:w="885"/>
        <w:gridCol w:w="765"/>
        <w:gridCol w:w="965"/>
        <w:gridCol w:w="1960"/>
        <w:gridCol w:w="16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35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88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7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9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96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64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35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88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32.41</w:t>
            </w:r>
          </w:p>
        </w:tc>
        <w:tc>
          <w:tcPr>
            <w:tcW w:w="7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31.16</w:t>
            </w:r>
          </w:p>
        </w:tc>
        <w:tc>
          <w:tcPr>
            <w:tcW w:w="9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96.14%</w:t>
            </w:r>
          </w:p>
        </w:tc>
        <w:tc>
          <w:tcPr>
            <w:tcW w:w="196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default" w:ascii="宋体" w:hAnsi="宋体" w:eastAsia="宋体" w:cs="宋体"/>
                <w:i w:val="0"/>
                <w:iCs w:val="0"/>
                <w:color w:val="000000"/>
                <w:sz w:val="20"/>
                <w:szCs w:val="20"/>
                <w:highlight w:val="none"/>
                <w:u w:val="none"/>
                <w:lang w:val="en-US" w:eastAsia="zh-CN"/>
              </w:rPr>
              <w:t>机关事业单位基本养老保险缴费支出</w:t>
            </w:r>
          </w:p>
        </w:tc>
        <w:tc>
          <w:tcPr>
            <w:tcW w:w="164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1人退休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2089999</w:t>
            </w:r>
          </w:p>
        </w:tc>
        <w:tc>
          <w:tcPr>
            <w:tcW w:w="135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其他社会保障和就业支出</w:t>
            </w:r>
          </w:p>
        </w:tc>
        <w:tc>
          <w:tcPr>
            <w:tcW w:w="88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7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98.79</w:t>
            </w:r>
          </w:p>
        </w:tc>
        <w:tc>
          <w:tcPr>
            <w:tcW w:w="9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96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退休教师待遇补差资金</w:t>
            </w:r>
          </w:p>
        </w:tc>
        <w:tc>
          <w:tcPr>
            <w:tcW w:w="164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年中追加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35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88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32.41</w:t>
            </w:r>
          </w:p>
        </w:tc>
        <w:tc>
          <w:tcPr>
            <w:tcW w:w="7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129.95</w:t>
            </w:r>
          </w:p>
        </w:tc>
        <w:tc>
          <w:tcPr>
            <w:tcW w:w="9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400.96%</w:t>
            </w:r>
          </w:p>
        </w:tc>
        <w:tc>
          <w:tcPr>
            <w:tcW w:w="196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164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追加项目年初未预算</w:t>
            </w:r>
          </w:p>
        </w:tc>
      </w:tr>
    </w:tbl>
    <w:p>
      <w:pPr>
        <w:jc w:val="left"/>
        <w:rPr>
          <w:rFonts w:hint="eastAsia" w:ascii="仿宋" w:hAnsi="仿宋" w:eastAsia="仿宋"/>
          <w:sz w:val="32"/>
          <w:szCs w:val="32"/>
          <w:highlight w:val="none"/>
        </w:rPr>
      </w:pPr>
    </w:p>
    <w:p>
      <w:pPr>
        <w:jc w:val="center"/>
        <w:rPr>
          <w:rFonts w:hint="eastAsia" w:ascii="仿宋" w:hAnsi="仿宋" w:eastAsia="仿宋"/>
          <w:color w:val="FF0000"/>
          <w:sz w:val="32"/>
          <w:szCs w:val="32"/>
          <w:highlight w:val="none"/>
          <w:lang w:val="en-US" w:eastAsia="zh-CN"/>
        </w:rPr>
      </w:pPr>
      <w:r>
        <w:rPr>
          <w:rFonts w:hint="eastAsia" w:ascii="仿宋" w:hAnsi="仿宋" w:eastAsia="仿宋" w:cs="仿宋"/>
          <w:sz w:val="32"/>
          <w:szCs w:val="32"/>
          <w:highlight w:val="none"/>
        </w:rPr>
        <w:drawing>
          <wp:inline distT="0" distB="0" distL="114300" distR="114300">
            <wp:extent cx="4474845" cy="3215640"/>
            <wp:effectExtent l="4445" t="4445" r="16510" b="18415"/>
            <wp:docPr id="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auto"/>
          <w:highlight w:val="none"/>
          <w:lang w:val="en-US" w:eastAsia="zh-CN"/>
        </w:rPr>
      </w:pPr>
      <w:r>
        <w:rPr>
          <w:rFonts w:hint="eastAsia" w:ascii="仿宋" w:hAnsi="仿宋" w:eastAsia="仿宋" w:cs="仿宋"/>
          <w:sz w:val="32"/>
          <w:szCs w:val="32"/>
          <w:highlight w:val="none"/>
          <w:lang w:eastAsia="zh-CN" w:bidi="ar"/>
        </w:rPr>
        <w:t>城乡社区支出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21</w:t>
      </w:r>
      <w:r>
        <w:rPr>
          <w:rFonts w:hint="eastAsia" w:ascii="仿宋" w:hAnsi="仿宋" w:eastAsia="仿宋" w:cs="仿宋"/>
          <w:sz w:val="32"/>
          <w:szCs w:val="32"/>
          <w:highlight w:val="none"/>
          <w:lang w:val="en-US" w:eastAsia="zh-CN" w:bidi="ar"/>
        </w:rPr>
        <w:t>2</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sz w:val="32"/>
          <w:szCs w:val="32"/>
          <w:highlight w:val="none"/>
        </w:rPr>
        <w:t>年初预算为</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49.63</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100</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olor w:val="auto"/>
          <w:sz w:val="32"/>
          <w:szCs w:val="32"/>
          <w:highlight w:val="none"/>
          <w:lang w:val="en-US" w:eastAsia="zh-CN"/>
        </w:rPr>
        <w:t>红茂矿区异地搬迁安置工程款47.10万元及退休人员社会化管理补助资金2.53万元</w:t>
      </w:r>
      <w:r>
        <w:rPr>
          <w:rFonts w:hint="eastAsia" w:ascii="仿宋" w:hAnsi="仿宋" w:eastAsia="仿宋" w:cs="仿宋"/>
          <w:color w:val="auto"/>
          <w:kern w:val="2"/>
          <w:sz w:val="32"/>
          <w:szCs w:val="32"/>
          <w:highlight w:val="none"/>
          <w:lang w:val="en-US" w:eastAsia="zh-CN" w:bidi="ar"/>
        </w:rPr>
        <w:t>均为年中追加项目，年初未预算。</w:t>
      </w:r>
    </w:p>
    <w:p>
      <w:pPr>
        <w:jc w:val="left"/>
        <w:rPr>
          <w:rFonts w:hint="eastAsia" w:ascii="仿宋" w:hAnsi="仿宋" w:eastAsia="仿宋"/>
          <w:color w:val="FF0000"/>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33"/>
        <w:gridCol w:w="1440"/>
        <w:gridCol w:w="825"/>
        <w:gridCol w:w="765"/>
        <w:gridCol w:w="965"/>
        <w:gridCol w:w="1960"/>
        <w:gridCol w:w="16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3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44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7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9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96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64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3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2129999</w:t>
            </w:r>
          </w:p>
        </w:tc>
        <w:tc>
          <w:tcPr>
            <w:tcW w:w="144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其他城乡社区支出</w:t>
            </w:r>
          </w:p>
        </w:tc>
        <w:tc>
          <w:tcPr>
            <w:tcW w:w="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7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49.63</w:t>
            </w:r>
          </w:p>
        </w:tc>
        <w:tc>
          <w:tcPr>
            <w:tcW w:w="9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96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红茂矿区异地搬迁安置工程款、退休人员社会化管理补助资金</w:t>
            </w:r>
          </w:p>
        </w:tc>
        <w:tc>
          <w:tcPr>
            <w:tcW w:w="164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年中追加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14" w:hRule="atLeast"/>
        </w:trPr>
        <w:tc>
          <w:tcPr>
            <w:tcW w:w="93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44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7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49.63</w:t>
            </w:r>
          </w:p>
        </w:tc>
        <w:tc>
          <w:tcPr>
            <w:tcW w:w="9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96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164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追加项目年初未预算</w:t>
            </w:r>
          </w:p>
        </w:tc>
      </w:tr>
    </w:tbl>
    <w:p>
      <w:pPr>
        <w:jc w:val="left"/>
        <w:rPr>
          <w:rFonts w:hint="eastAsia" w:ascii="仿宋" w:hAnsi="仿宋" w:eastAsia="仿宋"/>
          <w:sz w:val="32"/>
          <w:szCs w:val="32"/>
          <w:highlight w:val="none"/>
        </w:rPr>
      </w:pPr>
    </w:p>
    <w:p>
      <w:pPr>
        <w:keepNext w:val="0"/>
        <w:keepLines w:val="0"/>
        <w:widowControl w:val="0"/>
        <w:numPr>
          <w:ilvl w:val="0"/>
          <w:numId w:val="0"/>
        </w:numPr>
        <w:suppressLineNumbers w:val="0"/>
        <w:spacing w:before="0" w:beforeAutospacing="0" w:after="0" w:afterAutospacing="0"/>
        <w:ind w:left="420" w:leftChars="0" w:right="0" w:rightChars="0"/>
        <w:jc w:val="left"/>
        <w:rPr>
          <w:rFonts w:hint="eastAsia" w:eastAsia="仿宋"/>
          <w:color w:val="FF0000"/>
          <w:highlight w:val="none"/>
          <w:lang w:val="en-US" w:eastAsia="zh-CN"/>
        </w:rPr>
      </w:pPr>
      <w:r>
        <w:rPr>
          <w:rFonts w:hint="eastAsia" w:ascii="仿宋" w:hAnsi="仿宋" w:eastAsia="仿宋" w:cs="仿宋"/>
          <w:sz w:val="32"/>
          <w:szCs w:val="32"/>
          <w:highlight w:val="none"/>
        </w:rPr>
        <w:drawing>
          <wp:inline distT="0" distB="0" distL="114300" distR="114300">
            <wp:extent cx="4474845" cy="3215640"/>
            <wp:effectExtent l="4445" t="4445" r="16510" b="18415"/>
            <wp:docPr id="5" name="图表 5"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ascii="仿宋" w:hAnsi="仿宋" w:eastAsia="仿宋"/>
          <w:color w:val="auto"/>
          <w:sz w:val="32"/>
          <w:szCs w:val="32"/>
          <w:highlight w:val="none"/>
          <w:lang w:val="en-US" w:eastAsia="zh-CN"/>
        </w:rPr>
      </w:pPr>
      <w:r>
        <w:rPr>
          <w:rFonts w:hint="eastAsia" w:ascii="仿宋" w:hAnsi="仿宋" w:eastAsia="仿宋" w:cs="仿宋"/>
          <w:sz w:val="32"/>
          <w:szCs w:val="32"/>
          <w:highlight w:val="none"/>
          <w:lang w:bidi="ar"/>
        </w:rPr>
        <w:t>农林水支出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213</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sz w:val="32"/>
          <w:szCs w:val="32"/>
          <w:highlight w:val="none"/>
        </w:rPr>
        <w:t>年初预算为</w:t>
      </w:r>
      <w:r>
        <w:rPr>
          <w:rFonts w:hint="eastAsia" w:ascii="仿宋" w:hAnsi="仿宋" w:eastAsia="仿宋"/>
          <w:sz w:val="32"/>
          <w:szCs w:val="32"/>
          <w:highlight w:val="none"/>
          <w:lang w:val="en-US" w:eastAsia="zh-CN"/>
        </w:rPr>
        <w:t>53.05</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57.39</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108.18</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社区干部工资调整等。</w:t>
      </w:r>
    </w:p>
    <w:p>
      <w:pPr>
        <w:jc w:val="left"/>
        <w:rPr>
          <w:rFonts w:hint="eastAsia" w:ascii="仿宋" w:hAnsi="仿宋" w:eastAsia="仿宋"/>
          <w:color w:val="FF0000"/>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33"/>
        <w:gridCol w:w="1440"/>
        <w:gridCol w:w="825"/>
        <w:gridCol w:w="765"/>
        <w:gridCol w:w="965"/>
        <w:gridCol w:w="1960"/>
        <w:gridCol w:w="16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3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44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7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9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96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64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3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2130705</w:t>
            </w:r>
          </w:p>
        </w:tc>
        <w:tc>
          <w:tcPr>
            <w:tcW w:w="144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default" w:ascii="宋体" w:hAnsi="宋体" w:eastAsia="宋体" w:cs="宋体"/>
                <w:i w:val="0"/>
                <w:iCs w:val="0"/>
                <w:color w:val="000000"/>
                <w:sz w:val="20"/>
                <w:szCs w:val="20"/>
                <w:highlight w:val="none"/>
                <w:u w:val="none"/>
                <w:lang w:val="en-US" w:eastAsia="zh-CN"/>
              </w:rPr>
              <w:t>对村民委员会和村党支部的补助</w:t>
            </w:r>
          </w:p>
        </w:tc>
        <w:tc>
          <w:tcPr>
            <w:tcW w:w="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53.05</w:t>
            </w:r>
          </w:p>
        </w:tc>
        <w:tc>
          <w:tcPr>
            <w:tcW w:w="7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57.39</w:t>
            </w:r>
          </w:p>
        </w:tc>
        <w:tc>
          <w:tcPr>
            <w:tcW w:w="9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108.18%</w:t>
            </w:r>
          </w:p>
        </w:tc>
        <w:tc>
          <w:tcPr>
            <w:tcW w:w="196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default" w:ascii="宋体" w:hAnsi="宋体" w:eastAsia="宋体" w:cs="宋体"/>
                <w:i w:val="0"/>
                <w:iCs w:val="0"/>
                <w:color w:val="000000"/>
                <w:sz w:val="20"/>
                <w:szCs w:val="20"/>
                <w:highlight w:val="none"/>
                <w:u w:val="none"/>
                <w:lang w:val="en-US" w:eastAsia="zh-CN"/>
              </w:rPr>
              <w:t>社区干部工资支出和办公费支出</w:t>
            </w:r>
          </w:p>
        </w:tc>
        <w:tc>
          <w:tcPr>
            <w:tcW w:w="164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default" w:ascii="宋体" w:hAnsi="宋体" w:eastAsia="宋体" w:cs="宋体"/>
                <w:i w:val="0"/>
                <w:iCs w:val="0"/>
                <w:color w:val="000000"/>
                <w:sz w:val="20"/>
                <w:szCs w:val="20"/>
                <w:highlight w:val="none"/>
                <w:u w:val="none"/>
                <w:lang w:val="en-US" w:eastAsia="zh-CN"/>
              </w:rPr>
              <w:t>社区干部工资调整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3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44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53.05</w:t>
            </w:r>
          </w:p>
        </w:tc>
        <w:tc>
          <w:tcPr>
            <w:tcW w:w="7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57.39</w:t>
            </w:r>
          </w:p>
        </w:tc>
        <w:tc>
          <w:tcPr>
            <w:tcW w:w="9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108.18%</w:t>
            </w:r>
          </w:p>
        </w:tc>
        <w:tc>
          <w:tcPr>
            <w:tcW w:w="196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164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default" w:ascii="宋体" w:hAnsi="宋体" w:eastAsia="宋体" w:cs="宋体"/>
                <w:i w:val="0"/>
                <w:iCs w:val="0"/>
                <w:color w:val="000000"/>
                <w:sz w:val="20"/>
                <w:szCs w:val="20"/>
                <w:highlight w:val="none"/>
                <w:u w:val="none"/>
                <w:lang w:val="en-US" w:eastAsia="zh-CN"/>
              </w:rPr>
              <w:t>社区干部工资调整</w:t>
            </w:r>
          </w:p>
        </w:tc>
      </w:tr>
    </w:tbl>
    <w:p>
      <w:pPr>
        <w:jc w:val="left"/>
        <w:rPr>
          <w:rFonts w:hint="eastAsia" w:ascii="仿宋" w:hAnsi="仿宋" w:eastAsia="仿宋"/>
          <w:sz w:val="32"/>
          <w:szCs w:val="32"/>
          <w:highlight w:val="none"/>
        </w:rPr>
      </w:pPr>
    </w:p>
    <w:p>
      <w:pPr>
        <w:keepNext w:val="0"/>
        <w:keepLines w:val="0"/>
        <w:widowControl w:val="0"/>
        <w:numPr>
          <w:ilvl w:val="0"/>
          <w:numId w:val="0"/>
        </w:numPr>
        <w:suppressLineNumbers w:val="0"/>
        <w:spacing w:before="0" w:beforeAutospacing="0" w:after="0" w:afterAutospacing="0"/>
        <w:ind w:left="420" w:leftChars="0" w:right="0" w:rightChars="0"/>
        <w:jc w:val="left"/>
        <w:rPr>
          <w:rFonts w:hint="eastAsia" w:ascii="仿宋" w:hAnsi="仿宋" w:eastAsia="仿宋"/>
          <w:color w:val="FF0000"/>
          <w:sz w:val="32"/>
          <w:szCs w:val="32"/>
          <w:highlight w:val="none"/>
          <w:lang w:val="en-US" w:eastAsia="zh-CN"/>
        </w:rPr>
      </w:pPr>
      <w:r>
        <w:rPr>
          <w:rFonts w:hint="eastAsia" w:ascii="仿宋" w:hAnsi="仿宋" w:eastAsia="仿宋" w:cs="仿宋"/>
          <w:sz w:val="32"/>
          <w:szCs w:val="32"/>
          <w:highlight w:val="none"/>
        </w:rPr>
        <w:drawing>
          <wp:inline distT="0" distB="0" distL="114300" distR="114300">
            <wp:extent cx="4474845" cy="3215640"/>
            <wp:effectExtent l="4445" t="4445" r="16510" b="18415"/>
            <wp:docPr id="7" name="图表 7"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auto"/>
          <w:highlight w:val="none"/>
          <w:lang w:val="en-US" w:eastAsia="zh-CN"/>
        </w:rPr>
      </w:pPr>
      <w:r>
        <w:rPr>
          <w:rFonts w:hint="eastAsia" w:hAnsi="仿宋" w:eastAsia="仿宋"/>
          <w:sz w:val="32"/>
          <w:szCs w:val="32"/>
        </w:rPr>
        <w:t>资源勘探</w:t>
      </w:r>
      <w:r>
        <w:rPr>
          <w:rFonts w:hint="eastAsia" w:hAnsi="仿宋" w:eastAsia="仿宋"/>
          <w:sz w:val="32"/>
          <w:szCs w:val="32"/>
          <w:lang w:eastAsia="zh-CN"/>
        </w:rPr>
        <w:t>工业</w:t>
      </w:r>
      <w:r>
        <w:rPr>
          <w:rFonts w:hint="eastAsia" w:hAnsi="仿宋" w:eastAsia="仿宋"/>
          <w:sz w:val="32"/>
          <w:szCs w:val="32"/>
        </w:rPr>
        <w:t>信息</w:t>
      </w:r>
      <w:r>
        <w:rPr>
          <w:rFonts w:hint="eastAsia" w:hAnsi="仿宋" w:eastAsia="仿宋"/>
          <w:sz w:val="32"/>
          <w:szCs w:val="32"/>
          <w:lang w:eastAsia="zh-CN"/>
        </w:rPr>
        <w:t>等</w:t>
      </w:r>
      <w:r>
        <w:rPr>
          <w:rFonts w:hint="eastAsia" w:hAnsi="仿宋" w:eastAsia="仿宋"/>
          <w:sz w:val="32"/>
          <w:szCs w:val="32"/>
        </w:rPr>
        <w:t>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21</w:t>
      </w:r>
      <w:r>
        <w:rPr>
          <w:rFonts w:hint="eastAsia" w:ascii="仿宋" w:hAnsi="仿宋" w:eastAsia="仿宋" w:cs="仿宋"/>
          <w:sz w:val="32"/>
          <w:szCs w:val="32"/>
          <w:highlight w:val="none"/>
          <w:lang w:val="en-US" w:eastAsia="zh-CN" w:bidi="ar"/>
        </w:rPr>
        <w:t>5</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sz w:val="32"/>
          <w:szCs w:val="32"/>
          <w:highlight w:val="none"/>
        </w:rPr>
        <w:t>年初预算为</w:t>
      </w:r>
      <w:r>
        <w:rPr>
          <w:rFonts w:hint="eastAsia" w:ascii="仿宋" w:hAnsi="仿宋" w:eastAsia="仿宋"/>
          <w:sz w:val="32"/>
          <w:szCs w:val="32"/>
          <w:highlight w:val="none"/>
          <w:lang w:val="en-US" w:eastAsia="zh-CN"/>
        </w:rPr>
        <w:t>293.97</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345.2</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117.43</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人员减少以及部分项目因资金紧缺未能安排支付。</w:t>
      </w:r>
    </w:p>
    <w:p>
      <w:pPr>
        <w:jc w:val="left"/>
        <w:rPr>
          <w:rFonts w:hint="eastAsia" w:ascii="仿宋" w:hAnsi="仿宋" w:eastAsia="仿宋"/>
          <w:color w:val="FF0000"/>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33"/>
        <w:gridCol w:w="1440"/>
        <w:gridCol w:w="825"/>
        <w:gridCol w:w="765"/>
        <w:gridCol w:w="965"/>
        <w:gridCol w:w="1960"/>
        <w:gridCol w:w="16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3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44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7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9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96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64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3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2150199</w:t>
            </w:r>
          </w:p>
        </w:tc>
        <w:tc>
          <w:tcPr>
            <w:tcW w:w="144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default" w:ascii="宋体" w:hAnsi="宋体" w:eastAsia="宋体" w:cs="宋体"/>
                <w:i w:val="0"/>
                <w:iCs w:val="0"/>
                <w:color w:val="000000"/>
                <w:sz w:val="20"/>
                <w:szCs w:val="20"/>
                <w:highlight w:val="none"/>
                <w:u w:val="none"/>
                <w:lang w:val="en-US" w:eastAsia="zh-CN"/>
              </w:rPr>
              <w:t>其他资源勘探业支出</w:t>
            </w:r>
          </w:p>
        </w:tc>
        <w:tc>
          <w:tcPr>
            <w:tcW w:w="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195.46</w:t>
            </w:r>
          </w:p>
        </w:tc>
        <w:tc>
          <w:tcPr>
            <w:tcW w:w="7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215.7</w:t>
            </w:r>
          </w:p>
        </w:tc>
        <w:tc>
          <w:tcPr>
            <w:tcW w:w="9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110.36%</w:t>
            </w:r>
          </w:p>
        </w:tc>
        <w:tc>
          <w:tcPr>
            <w:tcW w:w="196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default" w:ascii="宋体" w:hAnsi="宋体" w:eastAsia="宋体" w:cs="宋体"/>
                <w:i w:val="0"/>
                <w:iCs w:val="0"/>
                <w:color w:val="000000"/>
                <w:sz w:val="20"/>
                <w:szCs w:val="20"/>
                <w:highlight w:val="none"/>
                <w:u w:val="none"/>
                <w:lang w:val="en-US" w:eastAsia="zh-CN"/>
              </w:rPr>
              <w:t>为保障本单位正常运转、完成日常工作任务而发生的人员支出和公用支出</w:t>
            </w:r>
            <w:r>
              <w:rPr>
                <w:rFonts w:hint="eastAsia" w:ascii="宋体" w:hAnsi="宋体" w:eastAsia="宋体" w:cs="宋体"/>
                <w:i w:val="0"/>
                <w:iCs w:val="0"/>
                <w:color w:val="000000"/>
                <w:sz w:val="20"/>
                <w:szCs w:val="20"/>
                <w:highlight w:val="none"/>
                <w:u w:val="none"/>
                <w:lang w:val="en-US" w:eastAsia="zh-CN"/>
              </w:rPr>
              <w:t>、为完成特定事业发展的项目支出</w:t>
            </w:r>
          </w:p>
        </w:tc>
        <w:tc>
          <w:tcPr>
            <w:tcW w:w="164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追加项目年初未预算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3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2159999</w:t>
            </w:r>
          </w:p>
        </w:tc>
        <w:tc>
          <w:tcPr>
            <w:tcW w:w="144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其他资源勘探工业信息等支出</w:t>
            </w:r>
          </w:p>
        </w:tc>
        <w:tc>
          <w:tcPr>
            <w:tcW w:w="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98.51</w:t>
            </w:r>
          </w:p>
        </w:tc>
        <w:tc>
          <w:tcPr>
            <w:tcW w:w="7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129.5</w:t>
            </w:r>
          </w:p>
        </w:tc>
        <w:tc>
          <w:tcPr>
            <w:tcW w:w="9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131.46%</w:t>
            </w:r>
          </w:p>
        </w:tc>
        <w:tc>
          <w:tcPr>
            <w:tcW w:w="196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发放基本工资和经补贴</w:t>
            </w:r>
          </w:p>
        </w:tc>
        <w:tc>
          <w:tcPr>
            <w:tcW w:w="164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工资调整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3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44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293.97</w:t>
            </w:r>
          </w:p>
        </w:tc>
        <w:tc>
          <w:tcPr>
            <w:tcW w:w="7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215.7</w:t>
            </w:r>
          </w:p>
        </w:tc>
        <w:tc>
          <w:tcPr>
            <w:tcW w:w="9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163.08%</w:t>
            </w:r>
          </w:p>
        </w:tc>
        <w:tc>
          <w:tcPr>
            <w:tcW w:w="196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164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追加项目年初未预算</w:t>
            </w:r>
          </w:p>
        </w:tc>
      </w:tr>
    </w:tbl>
    <w:p>
      <w:pPr>
        <w:jc w:val="left"/>
        <w:rPr>
          <w:rFonts w:hint="eastAsia" w:ascii="仿宋" w:hAnsi="仿宋" w:eastAsia="仿宋"/>
          <w:sz w:val="32"/>
          <w:szCs w:val="32"/>
          <w:highlight w:val="none"/>
        </w:rPr>
      </w:pPr>
    </w:p>
    <w:p>
      <w:pPr>
        <w:keepNext w:val="0"/>
        <w:keepLines w:val="0"/>
        <w:widowControl w:val="0"/>
        <w:numPr>
          <w:ilvl w:val="0"/>
          <w:numId w:val="0"/>
        </w:numPr>
        <w:suppressLineNumbers w:val="0"/>
        <w:spacing w:before="0" w:beforeAutospacing="0" w:after="0" w:afterAutospacing="0"/>
        <w:ind w:left="420" w:leftChars="0" w:right="0" w:rightChars="0"/>
        <w:jc w:val="left"/>
        <w:rPr>
          <w:rFonts w:hint="eastAsia" w:eastAsia="仿宋"/>
          <w:color w:val="FF0000"/>
          <w:highlight w:val="none"/>
          <w:lang w:val="en-US" w:eastAsia="zh-CN"/>
        </w:rPr>
      </w:pPr>
      <w:r>
        <w:rPr>
          <w:rFonts w:hint="eastAsia" w:ascii="仿宋" w:hAnsi="仿宋" w:eastAsia="仿宋" w:cs="仿宋"/>
          <w:sz w:val="32"/>
          <w:szCs w:val="32"/>
          <w:highlight w:val="none"/>
        </w:rPr>
        <w:drawing>
          <wp:inline distT="0" distB="0" distL="114300" distR="114300">
            <wp:extent cx="4474845" cy="3215640"/>
            <wp:effectExtent l="4445" t="4445" r="16510" b="18415"/>
            <wp:docPr id="9" name="图表 9"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auto"/>
          <w:highlight w:val="none"/>
          <w:lang w:val="en-US" w:eastAsia="zh-CN"/>
        </w:rPr>
      </w:pP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sz w:val="32"/>
          <w:szCs w:val="32"/>
          <w:highlight w:val="none"/>
        </w:rPr>
        <w:t>年初预算为</w:t>
      </w:r>
      <w:r>
        <w:rPr>
          <w:rFonts w:hint="eastAsia" w:ascii="仿宋" w:hAnsi="仿宋" w:eastAsia="仿宋"/>
          <w:sz w:val="32"/>
          <w:szCs w:val="32"/>
          <w:highlight w:val="none"/>
          <w:lang w:val="en-US" w:eastAsia="zh-CN"/>
        </w:rPr>
        <w:t>24.31</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23.25</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95.64</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olor w:val="auto"/>
          <w:sz w:val="32"/>
          <w:szCs w:val="32"/>
          <w:highlight w:val="none"/>
          <w:lang w:val="en-US" w:eastAsia="zh-CN"/>
        </w:rPr>
        <w:t>本年度1人退休。</w:t>
      </w:r>
    </w:p>
    <w:p>
      <w:pPr>
        <w:jc w:val="left"/>
        <w:rPr>
          <w:rFonts w:hint="eastAsia" w:ascii="仿宋" w:hAnsi="仿宋" w:eastAsia="仿宋"/>
          <w:color w:val="FF0000"/>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33"/>
        <w:gridCol w:w="1440"/>
        <w:gridCol w:w="825"/>
        <w:gridCol w:w="765"/>
        <w:gridCol w:w="965"/>
        <w:gridCol w:w="1960"/>
        <w:gridCol w:w="16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3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44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7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9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96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64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3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44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default" w:ascii="宋体" w:hAnsi="宋体" w:eastAsia="宋体" w:cs="宋体"/>
                <w:i w:val="0"/>
                <w:iCs w:val="0"/>
                <w:color w:val="000000"/>
                <w:sz w:val="20"/>
                <w:szCs w:val="20"/>
                <w:highlight w:val="none"/>
                <w:u w:val="none"/>
                <w:lang w:val="en-US" w:eastAsia="zh-CN"/>
              </w:rPr>
              <w:t>住房改革支出</w:t>
            </w:r>
          </w:p>
        </w:tc>
        <w:tc>
          <w:tcPr>
            <w:tcW w:w="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24.31</w:t>
            </w:r>
          </w:p>
        </w:tc>
        <w:tc>
          <w:tcPr>
            <w:tcW w:w="7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23.25</w:t>
            </w:r>
          </w:p>
        </w:tc>
        <w:tc>
          <w:tcPr>
            <w:tcW w:w="9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95.64%</w:t>
            </w:r>
          </w:p>
        </w:tc>
        <w:tc>
          <w:tcPr>
            <w:tcW w:w="196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default" w:ascii="宋体" w:hAnsi="宋体" w:eastAsia="宋体" w:cs="宋体"/>
                <w:i w:val="0"/>
                <w:iCs w:val="0"/>
                <w:color w:val="000000"/>
                <w:sz w:val="20"/>
                <w:szCs w:val="20"/>
                <w:highlight w:val="none"/>
                <w:u w:val="none"/>
                <w:lang w:val="en-US" w:eastAsia="zh-CN"/>
              </w:rPr>
              <w:t>按照</w:t>
            </w:r>
            <w:r>
              <w:rPr>
                <w:rFonts w:hint="eastAsia" w:ascii="宋体" w:hAnsi="宋体" w:eastAsia="宋体" w:cs="宋体"/>
                <w:i w:val="0"/>
                <w:iCs w:val="0"/>
                <w:color w:val="000000"/>
                <w:sz w:val="20"/>
                <w:szCs w:val="20"/>
                <w:highlight w:val="none"/>
                <w:u w:val="none"/>
                <w:lang w:val="en-US" w:eastAsia="zh-CN"/>
              </w:rPr>
              <w:t>政策</w:t>
            </w:r>
            <w:r>
              <w:rPr>
                <w:rFonts w:hint="default" w:ascii="宋体" w:hAnsi="宋体" w:eastAsia="宋体" w:cs="宋体"/>
                <w:i w:val="0"/>
                <w:iCs w:val="0"/>
                <w:color w:val="000000"/>
                <w:sz w:val="20"/>
                <w:szCs w:val="20"/>
                <w:highlight w:val="none"/>
                <w:u w:val="none"/>
                <w:lang w:val="en-US" w:eastAsia="zh-CN"/>
              </w:rPr>
              <w:t>规定向职工发放的住房公积金</w:t>
            </w:r>
          </w:p>
        </w:tc>
        <w:tc>
          <w:tcPr>
            <w:tcW w:w="164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default" w:ascii="宋体" w:hAnsi="宋体" w:eastAsia="宋体" w:cs="宋体"/>
                <w:i w:val="0"/>
                <w:iCs w:val="0"/>
                <w:color w:val="000000"/>
                <w:sz w:val="20"/>
                <w:szCs w:val="20"/>
                <w:highlight w:val="none"/>
                <w:u w:val="none"/>
                <w:lang w:val="en-US" w:eastAsia="zh-CN"/>
              </w:rPr>
              <w:t>人员减少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3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44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24.31</w:t>
            </w:r>
          </w:p>
        </w:tc>
        <w:tc>
          <w:tcPr>
            <w:tcW w:w="7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23.25</w:t>
            </w:r>
          </w:p>
        </w:tc>
        <w:tc>
          <w:tcPr>
            <w:tcW w:w="9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95.64%</w:t>
            </w:r>
          </w:p>
        </w:tc>
        <w:tc>
          <w:tcPr>
            <w:tcW w:w="196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164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default" w:ascii="宋体" w:hAnsi="宋体" w:eastAsia="宋体" w:cs="宋体"/>
                <w:i w:val="0"/>
                <w:iCs w:val="0"/>
                <w:color w:val="000000"/>
                <w:sz w:val="20"/>
                <w:szCs w:val="20"/>
                <w:highlight w:val="none"/>
                <w:u w:val="none"/>
                <w:lang w:val="en-US" w:eastAsia="zh-CN"/>
              </w:rPr>
              <w:t>人员减少</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lang w:val="en-US" w:eastAsia="zh-CN"/>
        </w:rPr>
      </w:pPr>
    </w:p>
    <w:p>
      <w:pPr>
        <w:keepNext w:val="0"/>
        <w:keepLines w:val="0"/>
        <w:widowControl w:val="0"/>
        <w:numPr>
          <w:ilvl w:val="0"/>
          <w:numId w:val="0"/>
        </w:numPr>
        <w:suppressLineNumbers w:val="0"/>
        <w:spacing w:before="0" w:beforeAutospacing="0" w:after="0" w:afterAutospacing="0"/>
        <w:ind w:left="420" w:leftChars="0" w:right="0" w:rightChars="0"/>
        <w:jc w:val="left"/>
        <w:rPr>
          <w:rFonts w:hint="eastAsia" w:eastAsia="仿宋"/>
          <w:color w:val="FF0000"/>
          <w:highlight w:val="none"/>
          <w:lang w:val="en-US" w:eastAsia="zh-CN"/>
        </w:rPr>
      </w:pPr>
      <w:r>
        <w:rPr>
          <w:rFonts w:hint="eastAsia" w:ascii="仿宋" w:hAnsi="仿宋" w:eastAsia="仿宋" w:cs="仿宋"/>
          <w:sz w:val="32"/>
          <w:szCs w:val="32"/>
          <w:highlight w:val="none"/>
        </w:rPr>
        <w:drawing>
          <wp:inline distT="0" distB="0" distL="114300" distR="114300">
            <wp:extent cx="4474845" cy="3215640"/>
            <wp:effectExtent l="4445" t="4445" r="16510" b="18415"/>
            <wp:docPr id="11" name="图表 11"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cs="仿宋"/>
          <w:color w:val="auto"/>
          <w:kern w:val="2"/>
          <w:sz w:val="32"/>
          <w:szCs w:val="32"/>
          <w:highlight w:val="none"/>
          <w:lang w:val="en-US" w:eastAsia="zh-CN" w:bidi="ar"/>
        </w:rPr>
        <w:t>其他支出（229类）</w:t>
      </w:r>
      <w:r>
        <w:rPr>
          <w:rFonts w:hint="eastAsia" w:ascii="仿宋" w:hAnsi="仿宋" w:eastAsia="仿宋"/>
          <w:sz w:val="32"/>
          <w:szCs w:val="32"/>
          <w:highlight w:val="none"/>
        </w:rPr>
        <w:t>年初预算为</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52.33</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100</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olor w:val="auto"/>
          <w:sz w:val="32"/>
          <w:szCs w:val="32"/>
          <w:highlight w:val="none"/>
          <w:lang w:val="en-US" w:eastAsia="zh-CN"/>
        </w:rPr>
        <w:t>奖励性绩效及伙食费补助，年初未预算。</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358"/>
        <w:gridCol w:w="885"/>
        <w:gridCol w:w="765"/>
        <w:gridCol w:w="965"/>
        <w:gridCol w:w="1960"/>
        <w:gridCol w:w="16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35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88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7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9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96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64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135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其他支出</w:t>
            </w:r>
          </w:p>
        </w:tc>
        <w:tc>
          <w:tcPr>
            <w:tcW w:w="88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7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52.33</w:t>
            </w:r>
          </w:p>
        </w:tc>
        <w:tc>
          <w:tcPr>
            <w:tcW w:w="9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96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default" w:ascii="宋体" w:hAnsi="宋体" w:eastAsia="宋体" w:cs="宋体"/>
                <w:i w:val="0"/>
                <w:iCs w:val="0"/>
                <w:color w:val="000000"/>
                <w:sz w:val="20"/>
                <w:szCs w:val="20"/>
                <w:highlight w:val="none"/>
                <w:u w:val="none"/>
                <w:lang w:val="en-US" w:eastAsia="zh-CN"/>
              </w:rPr>
              <w:t>发放职工的奖励性补贴以及伙食费补助</w:t>
            </w:r>
          </w:p>
        </w:tc>
        <w:tc>
          <w:tcPr>
            <w:tcW w:w="164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default" w:ascii="宋体" w:hAnsi="宋体" w:eastAsia="宋体" w:cs="宋体"/>
                <w:i w:val="0"/>
                <w:iCs w:val="0"/>
                <w:color w:val="000000"/>
                <w:sz w:val="20"/>
                <w:szCs w:val="20"/>
                <w:highlight w:val="none"/>
                <w:u w:val="none"/>
                <w:lang w:val="en-US" w:eastAsia="zh-CN"/>
              </w:rPr>
              <w:t>年初未预算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35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88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7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52.33</w:t>
            </w:r>
          </w:p>
        </w:tc>
        <w:tc>
          <w:tcPr>
            <w:tcW w:w="9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96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164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追加项目年初未预算</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红茂矿区管理处</w:t>
      </w:r>
      <w:r>
        <w:rPr>
          <w:rFonts w:hint="eastAsia" w:ascii="仿宋" w:hAnsi="仿宋" w:eastAsia="仿宋" w:cs="仿宋"/>
          <w:sz w:val="32"/>
          <w:szCs w:val="32"/>
          <w:highlight w:val="none"/>
        </w:rPr>
        <w:t>2022年度一般公共预算财政拨款基本支出</w:t>
      </w:r>
      <w:r>
        <w:rPr>
          <w:rFonts w:hint="eastAsia" w:ascii="仿宋" w:hAnsi="仿宋" w:eastAsia="仿宋" w:cs="仿宋"/>
          <w:sz w:val="32"/>
          <w:u w:color="auto"/>
          <w:lang w:val="en-US" w:eastAsia="zh-CN"/>
        </w:rPr>
        <w:t>665.03</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lang w:val="en-US" w:eastAsia="zh-CN"/>
        </w:rPr>
        <w:t>363.21</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lang w:val="en-US" w:eastAsia="zh-CN"/>
        </w:rPr>
        <w:t>21.53</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auto"/>
          <w:sz w:val="32"/>
          <w:szCs w:val="32"/>
          <w:highlight w:val="none"/>
        </w:rPr>
      </w:pPr>
      <w:r>
        <w:rPr>
          <w:rFonts w:hint="eastAsia" w:ascii="仿宋" w:hAnsi="仿宋" w:eastAsia="仿宋" w:cs="仿宋"/>
          <w:sz w:val="32"/>
          <w:szCs w:val="32"/>
          <w:highlight w:val="none"/>
        </w:rPr>
        <w:t>工资福利支出</w:t>
      </w:r>
      <w:r>
        <w:rPr>
          <w:rFonts w:hint="eastAsia" w:ascii="仿宋" w:hAnsi="仿宋" w:eastAsia="仿宋" w:cs="仿宋"/>
          <w:sz w:val="32"/>
          <w:u w:color="auto"/>
          <w:lang w:val="en-US" w:eastAsia="zh-CN"/>
        </w:rPr>
        <w:t>293.37</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102.04</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伙食补助费年初未预算等。</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73.72万元，30102津贴补贴59.54万元，30103奖金71.33万元，30106伙食补助费4.40万元，30107绩效工资15.62万元，30108机关事业单位基本养老保险缴费31.16万元，30110职工基本医疗保险缴费12.98万元，30111公务员医疗补助缴费0万元，30112其他社会保障缴费1.36万元，30113住房公积金23.25万元，30199其他工资福利支出5.29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6060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auto"/>
          <w:sz w:val="32"/>
          <w:szCs w:val="32"/>
          <w:highlight w:val="none"/>
        </w:rPr>
      </w:pPr>
      <w:r>
        <w:rPr>
          <w:rFonts w:hint="eastAsia" w:ascii="仿宋" w:hAnsi="仿宋" w:eastAsia="仿宋" w:cs="仿宋"/>
          <w:sz w:val="32"/>
          <w:szCs w:val="32"/>
          <w:highlight w:val="none"/>
        </w:rPr>
        <w:t>商品和服务支出</w:t>
      </w:r>
      <w:r>
        <w:rPr>
          <w:rFonts w:hint="eastAsia" w:ascii="仿宋" w:hAnsi="仿宋" w:eastAsia="仿宋" w:cs="仿宋"/>
          <w:sz w:val="32"/>
          <w:u w:color="auto"/>
          <w:lang w:val="en-US" w:eastAsia="zh-CN"/>
        </w:rPr>
        <w:t>21.53</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95.94</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财政资金紧缺，部分公用经费未能安排支付。</w:t>
      </w:r>
    </w:p>
    <w:p>
      <w:pPr>
        <w:ind w:firstLine="640" w:firstLineChars="200"/>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7.42万元，30205水费0.36万元，30206电费2.02万元，30207邮电费0.01万元，30211差旅费2.05万元，30215会议费0.55万元，30216培训费0万元，30226劳务费0.20万元，30228工会经费4.05万元，30231公务用车运行维护费4.89万元，30299其他商品和服务支出0.17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342130" cy="2244725"/>
            <wp:effectExtent l="4445" t="4445" r="15875" b="17780"/>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对个人和家庭的补助</w:t>
      </w:r>
      <w:r>
        <w:rPr>
          <w:rFonts w:hint="eastAsia" w:ascii="仿宋" w:hAnsi="仿宋" w:eastAsia="仿宋" w:cs="仿宋"/>
          <w:sz w:val="32"/>
          <w:u w:color="auto"/>
          <w:lang w:val="en-US" w:eastAsia="zh-CN"/>
        </w:rPr>
        <w:t>69.84</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372.68</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主要原因是：社区干部工资年初预算时放在“30199其他工资福利支出”科目下，后因使用科目不正确，决算时放在“30305生活补助”科目下。</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30301离休费0万元，30302退休费0万元，30305生活补助69.84万元。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sz w:val="32"/>
          <w:szCs w:val="32"/>
          <w:highlight w:val="none"/>
          <w:lang w:val="en-US" w:eastAsia="zh-CN"/>
        </w:rPr>
        <w:t>本单位无债务利息及费用支出。</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342130" cy="2807335"/>
            <wp:effectExtent l="4445" t="4445" r="15875" b="7620"/>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auto"/>
          <w:sz w:val="32"/>
          <w:szCs w:val="32"/>
          <w:highlight w:val="none"/>
        </w:rPr>
      </w:pPr>
      <w:r>
        <w:rPr>
          <w:rFonts w:hint="eastAsia" w:ascii="仿宋" w:hAnsi="仿宋" w:eastAsia="仿宋" w:cs="仿宋"/>
          <w:sz w:val="32"/>
          <w:szCs w:val="32"/>
          <w:highlight w:val="none"/>
        </w:rPr>
        <w:t>资本性支出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本单位无资本性支出。</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本单位无其他支出。</w:t>
      </w:r>
    </w:p>
    <w:p>
      <w:pPr>
        <w:jc w:val="left"/>
        <w:rPr>
          <w:rFonts w:hint="default"/>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435225"/>
            <wp:effectExtent l="5080" t="4445" r="15875" b="17780"/>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jc w:val="left"/>
        <w:rPr>
          <w:rFonts w:hint="eastAsia" w:ascii="仿宋" w:hAnsi="仿宋" w:eastAsia="仿宋" w:cs="仿宋"/>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红茂矿区管理处</w:t>
      </w:r>
      <w:r>
        <w:rPr>
          <w:rFonts w:ascii="仿宋_GB2312" w:hAnsi="仿宋_GB2312" w:eastAsia="仿宋_GB2312" w:cs="仿宋_GB2312"/>
          <w:color w:val="auto"/>
          <w:sz w:val="32"/>
          <w:u w:color="auto"/>
        </w:rPr>
        <w:t>没有政府性基金收入，也没有政府性基金收入安排的支出</w:t>
      </w:r>
      <w:r>
        <w:rPr>
          <w:rFonts w:hint="eastAsia" w:ascii="仿宋_GB2312" w:hAnsi="Times New Roman" w:eastAsia="仿宋_GB2312" w:cs="Times New Roman"/>
          <w:color w:val="auto"/>
          <w:sz w:val="32"/>
          <w:szCs w:val="32"/>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hint="eastAsia" w:ascii="仿宋" w:hAnsi="仿宋" w:eastAsia="仿宋" w:cs="仿宋"/>
          <w:color w:val="auto"/>
          <w:sz w:val="32"/>
          <w:szCs w:val="32"/>
          <w:highlight w:val="none"/>
        </w:rPr>
      </w:pPr>
      <w:bookmarkStart w:id="2" w:name="PO_part3A5B1C1DiffReason1"/>
      <w:r>
        <w:rPr>
          <w:rFonts w:hint="eastAsia" w:ascii="仿宋" w:hAnsi="仿宋" w:eastAsia="仿宋" w:cs="仿宋"/>
          <w:color w:val="auto"/>
          <w:sz w:val="32"/>
          <w:szCs w:val="32"/>
          <w:highlight w:val="none"/>
          <w:lang w:eastAsia="zh-CN"/>
        </w:rPr>
        <w:t>红茂矿区管理处</w:t>
      </w:r>
      <w:r>
        <w:rPr>
          <w:rFonts w:ascii="仿宋_GB2312" w:hAnsi="仿宋_GB2312" w:eastAsia="仿宋_GB2312" w:cs="仿宋_GB2312"/>
          <w:color w:val="auto"/>
          <w:sz w:val="32"/>
          <w:u w:color="auto"/>
        </w:rPr>
        <w:t>没有国有资本经营预算收入，也没有国有资本经营预算收入</w:t>
      </w:r>
      <w:r>
        <w:rPr>
          <w:rFonts w:hint="eastAsia" w:ascii="仿宋_GB2312" w:hAnsi="仿宋_GB2312" w:eastAsia="仿宋_GB2312" w:cs="仿宋_GB2312"/>
          <w:color w:val="auto"/>
          <w:sz w:val="32"/>
          <w:u w:color="auto"/>
          <w:lang w:val="en-US" w:eastAsia="zh-CN"/>
        </w:rPr>
        <w:t>安排的支出</w:t>
      </w:r>
      <w:bookmarkStart w:id="4" w:name="_GoBack"/>
      <w:bookmarkEnd w:id="4"/>
      <w:r>
        <w:rPr>
          <w:rFonts w:hint="eastAsia" w:ascii="仿宋_GB2312" w:hAnsi="Times New Roman" w:eastAsia="仿宋_GB2312" w:cs="Times New Roman"/>
          <w:color w:val="auto"/>
          <w:sz w:val="32"/>
          <w:szCs w:val="32"/>
        </w:rPr>
        <w:t>。</w:t>
      </w:r>
      <w:bookmarkEnd w:id="2"/>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六、一般公共预算财政拨款安排的“三公”经费支出决算情况说明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2022年度一般公共预算财政拨款安排的“三公”经费支出</w:t>
      </w:r>
      <w:r>
        <w:rPr>
          <w:rFonts w:hint="eastAsia" w:ascii="仿宋" w:hAnsi="仿宋" w:eastAsia="仿宋" w:cs="仿宋"/>
          <w:sz w:val="32"/>
          <w:szCs w:val="32"/>
          <w:highlight w:val="none"/>
          <w:lang w:val="en-US" w:eastAsia="zh-CN"/>
        </w:rPr>
        <w:t>4.89</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100</w:t>
      </w:r>
      <w:r>
        <w:rPr>
          <w:rFonts w:ascii="仿宋" w:hAnsi="仿宋" w:eastAsia="仿宋" w:cs="仿宋"/>
          <w:sz w:val="32"/>
          <w:szCs w:val="32"/>
          <w:highlight w:val="none"/>
        </w:rPr>
        <w:t>%</w:t>
      </w:r>
      <w:r>
        <w:rPr>
          <w:rFonts w:hint="eastAsia" w:ascii="仿宋" w:hAnsi="仿宋" w:eastAsia="仿宋" w:cs="仿宋"/>
          <w:sz w:val="32"/>
          <w:szCs w:val="32"/>
          <w:highlight w:val="none"/>
        </w:rPr>
        <w:t>，比上年</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1.16</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本年度公务用车数量较上年增加一辆环卫车。</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hint="eastAsia" w:ascii="仿宋" w:hAnsi="仿宋" w:eastAsia="仿宋" w:cs="仿宋"/>
          <w:sz w:val="32"/>
          <w:szCs w:val="32"/>
          <w:highlight w:val="none"/>
          <w:lang w:val="en-US" w:eastAsia="zh-CN"/>
        </w:rPr>
        <w:t>4.89</w:t>
      </w:r>
      <w:r>
        <w:rPr>
          <w:rFonts w:hint="eastAsia" w:ascii="仿宋" w:hAnsi="仿宋" w:eastAsia="仿宋" w:cs="仿宋"/>
          <w:sz w:val="32"/>
          <w:szCs w:val="32"/>
          <w:highlight w:val="none"/>
        </w:rPr>
        <w:t>万元，公务接待费支出决算</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numPr>
          <w:ilvl w:val="0"/>
          <w:numId w:val="3"/>
        </w:numPr>
        <w:ind w:left="-10" w:leftChars="0" w:firstLine="640" w:firstLineChars="0"/>
        <w:jc w:val="left"/>
        <w:rPr>
          <w:rFonts w:hint="eastAsia" w:ascii="仿宋_GB2312" w:hAnsi="Times New Roman" w:eastAsia="仿宋_GB2312" w:cs="Times New Roman"/>
          <w:color w:val="auto"/>
          <w:sz w:val="32"/>
          <w:szCs w:val="32"/>
        </w:rPr>
      </w:pPr>
      <w:r>
        <w:rPr>
          <w:rFonts w:hint="eastAsia" w:ascii="仿宋" w:hAnsi="仿宋" w:eastAsia="仿宋" w:cs="仿宋"/>
          <w:sz w:val="32"/>
          <w:szCs w:val="32"/>
          <w:highlight w:val="none"/>
        </w:rPr>
        <w:t>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r>
        <w:rPr>
          <w:rFonts w:hint="eastAsia" w:ascii="仿宋" w:hAnsi="仿宋" w:eastAsia="仿宋" w:cs="仿宋"/>
          <w:color w:val="auto"/>
          <w:sz w:val="32"/>
          <w:szCs w:val="32"/>
          <w:highlight w:val="none"/>
        </w:rPr>
        <w:t>，完成年初预算的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，比上年</w:t>
      </w:r>
      <w:r>
        <w:rPr>
          <w:rFonts w:ascii="仿宋" w:hAnsi="仿宋" w:eastAsia="仿宋" w:cs="仿宋"/>
          <w:color w:val="auto"/>
          <w:sz w:val="32"/>
          <w:szCs w:val="32"/>
          <w:highlight w:val="none"/>
        </w:rPr>
        <w:t>增加0.00</w:t>
      </w:r>
      <w:r>
        <w:rPr>
          <w:rFonts w:hint="eastAsia" w:ascii="仿宋" w:hAnsi="仿宋" w:eastAsia="仿宋" w:cs="仿宋"/>
          <w:color w:val="auto"/>
          <w:sz w:val="32"/>
          <w:szCs w:val="32"/>
          <w:highlight w:val="none"/>
        </w:rPr>
        <w:t xml:space="preserve"> 万元。</w:t>
      </w:r>
      <w:r>
        <w:rPr>
          <w:rFonts w:hint="eastAsia" w:ascii="仿宋" w:hAnsi="仿宋" w:eastAsia="仿宋" w:cs="仿宋"/>
          <w:color w:val="auto"/>
          <w:sz w:val="32"/>
          <w:szCs w:val="32"/>
          <w:highlight w:val="none"/>
          <w:lang w:val="en-US" w:eastAsia="zh-CN"/>
        </w:rPr>
        <w:t>原因是：</w:t>
      </w:r>
      <w:r>
        <w:rPr>
          <w:rFonts w:hint="eastAsia" w:ascii="仿宋_GB2312" w:hAnsi="Times New Roman" w:eastAsia="仿宋_GB2312" w:cs="Times New Roman"/>
          <w:color w:val="auto"/>
          <w:sz w:val="32"/>
          <w:szCs w:val="32"/>
          <w:lang w:val="en-US" w:eastAsia="zh-CN"/>
        </w:rPr>
        <w:t>本年无因公出国（境）费支出</w:t>
      </w:r>
      <w:r>
        <w:rPr>
          <w:rFonts w:hint="eastAsia" w:ascii="仿宋_GB2312" w:hAnsi="Times New Roman" w:eastAsia="仿宋_GB2312" w:cs="Times New Roman"/>
          <w:color w:val="auto"/>
          <w:sz w:val="32"/>
          <w:szCs w:val="32"/>
        </w:rPr>
        <w:t>。</w:t>
      </w:r>
    </w:p>
    <w:p>
      <w:pPr>
        <w:numPr>
          <w:ilvl w:val="0"/>
          <w:numId w:val="0"/>
        </w:num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highlight w:val="none"/>
        </w:rPr>
        <w:t>（二）公务用车购置及运行维护费</w:t>
      </w:r>
      <w:r>
        <w:rPr>
          <w:rFonts w:hint="eastAsia" w:ascii="仿宋" w:hAnsi="仿宋" w:eastAsia="仿宋" w:cs="仿宋"/>
          <w:color w:val="auto"/>
          <w:sz w:val="32"/>
          <w:u w:color="auto"/>
          <w:lang w:val="en-US" w:eastAsia="zh-CN"/>
        </w:rPr>
        <w:t>4.89</w:t>
      </w:r>
      <w:r>
        <w:rPr>
          <w:rFonts w:hint="eastAsia" w:ascii="仿宋" w:hAnsi="仿宋" w:eastAsia="仿宋" w:cs="仿宋"/>
          <w:color w:val="auto"/>
          <w:sz w:val="32"/>
          <w:szCs w:val="32"/>
          <w:highlight w:val="none"/>
        </w:rPr>
        <w:t>万元。其中：公务用车购置支出</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u w:color="auto"/>
        </w:rPr>
        <w:t>0%</w:t>
      </w:r>
      <w:r>
        <w:rPr>
          <w:rFonts w:hint="eastAsia" w:ascii="仿宋" w:hAnsi="仿宋" w:eastAsia="仿宋" w:cs="仿宋"/>
          <w:color w:val="auto"/>
          <w:sz w:val="32"/>
          <w:szCs w:val="32"/>
          <w:highlight w:val="none"/>
        </w:rPr>
        <w:t>，比上年</w:t>
      </w:r>
      <w:r>
        <w:rPr>
          <w:rFonts w:ascii="仿宋" w:hAnsi="仿宋" w:eastAsia="仿宋" w:cs="仿宋"/>
          <w:color w:val="auto"/>
          <w:sz w:val="32"/>
          <w:u w:color="auto"/>
        </w:rPr>
        <w:t>增加0.00</w:t>
      </w:r>
      <w:r>
        <w:rPr>
          <w:rFonts w:hint="eastAsia" w:ascii="仿宋" w:hAnsi="仿宋" w:eastAsia="仿宋" w:cs="仿宋"/>
          <w:color w:val="auto"/>
          <w:sz w:val="32"/>
          <w:szCs w:val="32"/>
          <w:highlight w:val="none"/>
        </w:rPr>
        <w:t xml:space="preserve"> 万元。</w:t>
      </w:r>
      <w:r>
        <w:rPr>
          <w:rFonts w:hint="eastAsia" w:ascii="仿宋" w:hAnsi="仿宋" w:eastAsia="仿宋" w:cs="仿宋"/>
          <w:color w:val="auto"/>
          <w:sz w:val="32"/>
          <w:szCs w:val="32"/>
        </w:rPr>
        <w:t>主要原因是</w:t>
      </w:r>
      <w:bookmarkStart w:id="3" w:name="PO_part3A6B2IncReason1"/>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本部门无公务用车购置</w:t>
      </w:r>
      <w:bookmarkEnd w:id="3"/>
      <w:r>
        <w:rPr>
          <w:rFonts w:hint="eastAsia" w:ascii="仿宋" w:hAnsi="仿宋" w:eastAsia="仿宋" w:cs="仿宋"/>
          <w:color w:val="auto"/>
          <w:sz w:val="32"/>
          <w:szCs w:val="32"/>
        </w:rPr>
        <w:t>。</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sz w:val="32"/>
          <w:szCs w:val="32"/>
          <w:highlight w:val="none"/>
        </w:rPr>
        <w:t>公务用车运行维护支出</w:t>
      </w:r>
      <w:r>
        <w:rPr>
          <w:rFonts w:hint="eastAsia" w:ascii="仿宋" w:hAnsi="仿宋" w:eastAsia="仿宋" w:cs="仿宋"/>
          <w:sz w:val="32"/>
          <w:u w:color="auto"/>
          <w:lang w:val="en-US" w:eastAsia="zh-CN"/>
        </w:rPr>
        <w:t>4.89</w:t>
      </w:r>
      <w:r>
        <w:rPr>
          <w:rFonts w:hint="eastAsia" w:ascii="仿宋" w:hAnsi="仿宋" w:eastAsia="仿宋" w:cs="仿宋"/>
          <w:sz w:val="32"/>
          <w:szCs w:val="32"/>
          <w:highlight w:val="none"/>
        </w:rPr>
        <w:t>万元，完成年初预算的</w:t>
      </w:r>
      <w:r>
        <w:rPr>
          <w:rFonts w:hint="eastAsia" w:ascii="仿宋" w:hAnsi="仿宋" w:eastAsia="仿宋" w:cs="仿宋"/>
          <w:sz w:val="32"/>
          <w:u w:color="auto"/>
          <w:lang w:val="en-US" w:eastAsia="zh-CN"/>
        </w:rPr>
        <w:t>100</w:t>
      </w:r>
      <w:r>
        <w:rPr>
          <w:rFonts w:ascii="仿宋" w:hAnsi="仿宋" w:eastAsia="仿宋" w:cs="仿宋"/>
          <w:sz w:val="32"/>
          <w:u w:color="auto"/>
        </w:rPr>
        <w:t>%</w:t>
      </w:r>
      <w:r>
        <w:rPr>
          <w:rFonts w:hint="eastAsia" w:ascii="仿宋" w:hAnsi="仿宋" w:eastAsia="仿宋" w:cs="仿宋"/>
          <w:sz w:val="32"/>
          <w:szCs w:val="32"/>
          <w:highlight w:val="none"/>
        </w:rPr>
        <w:t>，比上年</w:t>
      </w:r>
      <w:r>
        <w:rPr>
          <w:rFonts w:ascii="仿宋" w:hAnsi="仿宋" w:eastAsia="仿宋" w:cs="仿宋"/>
          <w:sz w:val="32"/>
          <w:u w:color="auto"/>
        </w:rPr>
        <w:t>增加</w:t>
      </w:r>
      <w:r>
        <w:rPr>
          <w:rFonts w:hint="eastAsia" w:ascii="仿宋" w:hAnsi="仿宋" w:eastAsia="仿宋" w:cs="仿宋"/>
          <w:sz w:val="32"/>
          <w:u w:color="auto"/>
          <w:lang w:val="en-US" w:eastAsia="zh-CN"/>
        </w:rPr>
        <w:t>1.16</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w:t>
      </w:r>
      <w:r>
        <w:rPr>
          <w:rFonts w:hint="eastAsia" w:ascii="仿宋" w:hAnsi="仿宋" w:eastAsia="仿宋" w:cs="仿宋"/>
          <w:color w:val="auto"/>
          <w:sz w:val="32"/>
          <w:szCs w:val="32"/>
          <w:highlight w:val="none"/>
        </w:rPr>
        <w:t>要原因是：机要文件交换、市内因公出行以及开展</w:t>
      </w:r>
      <w:r>
        <w:rPr>
          <w:rFonts w:hint="eastAsia" w:ascii="仿宋" w:hAnsi="仿宋" w:eastAsia="仿宋" w:cs="仿宋"/>
          <w:color w:val="auto"/>
          <w:sz w:val="32"/>
          <w:szCs w:val="32"/>
          <w:highlight w:val="none"/>
          <w:lang w:eastAsia="zh-CN"/>
        </w:rPr>
        <w:t>退休人员认证等</w:t>
      </w:r>
      <w:r>
        <w:rPr>
          <w:rFonts w:hint="eastAsia" w:ascii="仿宋" w:hAnsi="仿宋" w:eastAsia="仿宋" w:cs="仿宋"/>
          <w:color w:val="auto"/>
          <w:sz w:val="32"/>
          <w:szCs w:val="32"/>
          <w:highlight w:val="none"/>
        </w:rPr>
        <w:t>业务所需车辆燃料费、维修费、过路过桥费、保险费等</w:t>
      </w:r>
      <w:r>
        <w:rPr>
          <w:rFonts w:hint="eastAsia" w:ascii="仿宋" w:hAnsi="仿宋" w:eastAsia="仿宋" w:cs="仿宋"/>
          <w:color w:val="auto"/>
          <w:sz w:val="32"/>
          <w:szCs w:val="32"/>
          <w:highlight w:val="none"/>
          <w:lang w:eastAsia="zh-CN"/>
        </w:rPr>
        <w:t>支出及</w:t>
      </w:r>
      <w:r>
        <w:rPr>
          <w:rFonts w:hint="eastAsia" w:ascii="仿宋" w:hAnsi="仿宋" w:eastAsia="仿宋" w:cs="仿宋"/>
          <w:color w:val="auto"/>
          <w:kern w:val="2"/>
          <w:sz w:val="32"/>
          <w:szCs w:val="32"/>
          <w:highlight w:val="none"/>
          <w:lang w:val="en-US" w:eastAsia="zh-CN" w:bidi="ar"/>
        </w:rPr>
        <w:t>本年度公务用车数量较上年增加一辆环卫车</w:t>
      </w:r>
      <w:r>
        <w:rPr>
          <w:rFonts w:hint="eastAsia" w:ascii="仿宋" w:hAnsi="仿宋" w:eastAsia="仿宋" w:cs="仿宋"/>
          <w:color w:val="auto"/>
          <w:sz w:val="32"/>
          <w:szCs w:val="32"/>
          <w:highlight w:val="none"/>
        </w:rPr>
        <w:t>。2022年，</w:t>
      </w:r>
      <w:r>
        <w:rPr>
          <w:rFonts w:hint="eastAsia" w:ascii="仿宋" w:hAnsi="仿宋" w:eastAsia="仿宋" w:cs="仿宋"/>
          <w:color w:val="auto"/>
          <w:sz w:val="32"/>
          <w:u w:color="auto"/>
          <w:lang w:eastAsia="zh-CN"/>
        </w:rPr>
        <w:t>红茂矿区管理处</w:t>
      </w:r>
      <w:r>
        <w:rPr>
          <w:rFonts w:hint="eastAsia" w:ascii="仿宋" w:hAnsi="仿宋" w:eastAsia="仿宋" w:cs="仿宋"/>
          <w:color w:val="auto"/>
          <w:sz w:val="32"/>
          <w:szCs w:val="32"/>
          <w:highlight w:val="none"/>
        </w:rPr>
        <w:t>开支财政拨款的公务用车保有量为</w:t>
      </w:r>
      <w:r>
        <w:rPr>
          <w:rFonts w:hint="eastAsia" w:ascii="仿宋" w:hAnsi="仿宋" w:eastAsia="仿宋" w:cs="仿宋"/>
          <w:color w:val="auto"/>
          <w:sz w:val="32"/>
          <w:u w:color="auto"/>
          <w:lang w:val="en-US" w:eastAsia="zh-CN"/>
        </w:rPr>
        <w:t>3</w:t>
      </w:r>
      <w:r>
        <w:rPr>
          <w:rFonts w:hint="eastAsia" w:ascii="仿宋" w:hAnsi="仿宋" w:eastAsia="仿宋" w:cs="仿宋"/>
          <w:color w:val="auto"/>
          <w:sz w:val="32"/>
          <w:szCs w:val="32"/>
          <w:highlight w:val="none"/>
        </w:rPr>
        <w:t>辆，全年运行费支出</w:t>
      </w:r>
      <w:r>
        <w:rPr>
          <w:rFonts w:hint="eastAsia" w:ascii="仿宋" w:hAnsi="仿宋" w:eastAsia="仿宋" w:cs="仿宋"/>
          <w:color w:val="auto"/>
          <w:sz w:val="32"/>
          <w:u w:color="auto"/>
          <w:lang w:val="en-US" w:eastAsia="zh-CN"/>
        </w:rPr>
        <w:t>4.89</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 xml:space="preserve">平均每辆 </w:t>
      </w:r>
      <w:r>
        <w:rPr>
          <w:rFonts w:hint="eastAsia" w:ascii="仿宋" w:hAnsi="仿宋" w:eastAsia="仿宋" w:cs="仿宋"/>
          <w:color w:val="auto"/>
          <w:sz w:val="32"/>
          <w:szCs w:val="32"/>
          <w:highlight w:val="none"/>
          <w:lang w:val="en-US" w:eastAsia="zh-CN"/>
        </w:rPr>
        <w:t>1.63</w:t>
      </w:r>
      <w:r>
        <w:rPr>
          <w:rFonts w:hint="eastAsia" w:ascii="仿宋" w:hAnsi="仿宋" w:eastAsia="仿宋" w:cs="仿宋"/>
          <w:color w:val="auto"/>
          <w:sz w:val="32"/>
          <w:szCs w:val="32"/>
          <w:highlight w:val="none"/>
        </w:rPr>
        <w:t>万元。</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（三）公务接待费支出</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0</w:t>
      </w:r>
      <w:r>
        <w:rPr>
          <w:rFonts w:ascii="仿宋" w:hAnsi="仿宋" w:eastAsia="仿宋" w:cs="仿宋"/>
          <w:sz w:val="32"/>
          <w:szCs w:val="32"/>
          <w:highlight w:val="none"/>
        </w:rPr>
        <w:t>%</w:t>
      </w:r>
      <w:r>
        <w:rPr>
          <w:rFonts w:hint="eastAsia" w:ascii="仿宋" w:hAnsi="仿宋" w:eastAsia="仿宋" w:cs="仿宋"/>
          <w:sz w:val="32"/>
          <w:szCs w:val="32"/>
          <w:highlight w:val="none"/>
        </w:rPr>
        <w:t xml:space="preserve">， </w:t>
      </w:r>
      <w:r>
        <w:rPr>
          <w:rFonts w:hint="eastAsia" w:ascii="仿宋" w:hAnsi="仿宋" w:eastAsia="仿宋" w:cs="仿宋"/>
          <w:sz w:val="32"/>
          <w:szCs w:val="32"/>
          <w:highlight w:val="none"/>
          <w:lang w:eastAsia="zh-CN"/>
        </w:rPr>
        <w:t>较</w:t>
      </w:r>
      <w:r>
        <w:rPr>
          <w:rFonts w:hint="eastAsia" w:ascii="仿宋" w:hAnsi="仿宋" w:eastAsia="仿宋" w:cs="仿宋"/>
          <w:sz w:val="32"/>
          <w:szCs w:val="32"/>
          <w:highlight w:val="none"/>
        </w:rPr>
        <w:t>上年</w:t>
      </w:r>
      <w:r>
        <w:rPr>
          <w:rFonts w:hint="eastAsia" w:ascii="仿宋" w:hAnsi="仿宋" w:eastAsia="仿宋" w:cs="仿宋"/>
          <w:sz w:val="32"/>
          <w:szCs w:val="32"/>
          <w:highlight w:val="none"/>
          <w:lang w:eastAsia="zh-CN"/>
        </w:rPr>
        <w:t>无变动</w:t>
      </w:r>
      <w:r>
        <w:rPr>
          <w:rFonts w:hint="eastAsia" w:ascii="仿宋" w:hAnsi="仿宋" w:eastAsia="仿宋" w:cs="仿宋"/>
          <w:sz w:val="32"/>
          <w:szCs w:val="32"/>
          <w:highlight w:val="none"/>
        </w:rPr>
        <w:t>，</w:t>
      </w:r>
      <w:r>
        <w:rPr>
          <w:rFonts w:hint="eastAsia" w:ascii="仿宋" w:hAnsi="仿宋" w:eastAsia="仿宋" w:cs="仿宋"/>
          <w:color w:val="auto"/>
          <w:kern w:val="2"/>
          <w:sz w:val="32"/>
          <w:szCs w:val="32"/>
          <w:highlight w:val="none"/>
          <w:lang w:val="en-US" w:eastAsia="zh-CN" w:bidi="ar"/>
        </w:rPr>
        <w:t>主要原因是：本年度无公务接待费支出</w:t>
      </w:r>
      <w:r>
        <w:rPr>
          <w:rFonts w:hint="eastAsia" w:ascii="仿宋" w:hAnsi="仿宋" w:eastAsia="仿宋" w:cs="仿宋"/>
          <w:color w:val="auto"/>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jc w:val="left"/>
        <w:rPr>
          <w:rFonts w:hint="eastAsia" w:ascii="仿宋" w:hAnsi="仿宋" w:eastAsia="仿宋" w:cs="仿宋"/>
          <w:color w:val="auto"/>
          <w:sz w:val="32"/>
          <w:szCs w:val="32"/>
          <w:highlight w:val="none"/>
        </w:rPr>
      </w:pPr>
      <w:r>
        <w:rPr>
          <w:rFonts w:hint="eastAsia" w:ascii="仿宋" w:hAnsi="仿宋" w:eastAsia="仿宋" w:cs="仿宋"/>
          <w:sz w:val="32"/>
          <w:szCs w:val="32"/>
          <w:highlight w:val="none"/>
        </w:rPr>
        <w:t>本部门2022年度机关运行经费支出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万元，比年初预算数</w:t>
      </w:r>
      <w:r>
        <w:rPr>
          <w:rFonts w:ascii="仿宋" w:hAnsi="仿宋" w:eastAsia="仿宋" w:cs="仿宋"/>
          <w:sz w:val="32"/>
          <w:szCs w:val="32"/>
          <w:highlight w:val="none"/>
        </w:rPr>
        <w:t>减少</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w:t>
      </w:r>
      <w:r>
        <w:rPr>
          <w:rFonts w:ascii="仿宋" w:hAnsi="仿宋" w:eastAsia="仿宋" w:cs="仿宋"/>
          <w:sz w:val="32"/>
          <w:szCs w:val="32"/>
          <w:highlight w:val="none"/>
        </w:rPr>
        <w:t>下降</w:t>
      </w:r>
      <w:r>
        <w:rPr>
          <w:rFonts w:hint="eastAsia" w:ascii="仿宋" w:hAnsi="仿宋" w:eastAsia="仿宋" w:cs="仿宋"/>
          <w:sz w:val="32"/>
          <w:szCs w:val="32"/>
          <w:highlight w:val="none"/>
          <w:lang w:val="en-US" w:eastAsia="zh-CN"/>
        </w:rPr>
        <w:t>0</w:t>
      </w:r>
      <w:r>
        <w:rPr>
          <w:rFonts w:ascii="仿宋" w:hAnsi="仿宋" w:eastAsia="仿宋" w:cs="仿宋"/>
          <w:sz w:val="32"/>
          <w:szCs w:val="32"/>
          <w:highlight w:val="none"/>
        </w:rPr>
        <w:t>%</w:t>
      </w:r>
      <w:r>
        <w:rPr>
          <w:rFonts w:hint="eastAsia" w:ascii="仿宋" w:hAnsi="仿宋" w:eastAsia="仿宋" w:cs="仿宋"/>
          <w:sz w:val="32"/>
          <w:szCs w:val="32"/>
          <w:highlight w:val="none"/>
        </w:rPr>
        <w:t>，比上年决算数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rPr>
        <w:t>原因是：</w:t>
      </w:r>
      <w:r>
        <w:rPr>
          <w:rFonts w:hint="eastAsia" w:ascii="仿宋" w:hAnsi="仿宋" w:eastAsia="仿宋" w:cs="仿宋"/>
          <w:color w:val="auto"/>
          <w:sz w:val="32"/>
          <w:szCs w:val="32"/>
          <w:highlight w:val="none"/>
          <w:lang w:eastAsia="zh-CN"/>
        </w:rPr>
        <w:t>本单位无机关运行经费支出</w:t>
      </w:r>
      <w:r>
        <w:rPr>
          <w:rFonts w:hint="eastAsia" w:ascii="仿宋" w:hAnsi="仿宋" w:eastAsia="仿宋" w:cs="仿宋"/>
          <w:color w:val="auto"/>
          <w:sz w:val="32"/>
          <w:szCs w:val="32"/>
          <w:highlight w:val="none"/>
        </w:rPr>
        <w:t>。</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万元，其中：政府采购货物支出</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万元、政府采购工程支出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万元、政府采购服务支出</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万元。授予中小企业合同金额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万元，占政府采购支出总额的</w:t>
      </w:r>
      <w:r>
        <w:rPr>
          <w:rFonts w:ascii="仿宋" w:hAnsi="仿宋" w:eastAsia="仿宋" w:cs="仿宋"/>
          <w:sz w:val="32"/>
          <w:szCs w:val="32"/>
          <w:highlight w:val="none"/>
        </w:rPr>
        <w:t>0.00%</w:t>
      </w:r>
      <w:r>
        <w:rPr>
          <w:rFonts w:hint="eastAsia" w:ascii="仿宋" w:hAnsi="仿宋" w:eastAsia="仿宋" w:cs="仿宋"/>
          <w:sz w:val="32"/>
          <w:szCs w:val="32"/>
          <w:highlight w:val="none"/>
        </w:rPr>
        <w:t>，其中：授予小微企业合同金额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万元，占授予中小企业合同金额的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hint="eastAsia" w:ascii="仿宋" w:hAnsi="仿宋" w:eastAsia="仿宋" w:cs="仿宋"/>
          <w:sz w:val="32"/>
          <w:szCs w:val="32"/>
          <w:highlight w:val="none"/>
          <w:lang w:val="en-US" w:eastAsia="zh-CN"/>
        </w:rPr>
        <w:t>6</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hint="eastAsia" w:ascii="仿宋" w:hAnsi="仿宋" w:eastAsia="仿宋" w:cs="仿宋"/>
          <w:sz w:val="32"/>
          <w:szCs w:val="32"/>
          <w:highlight w:val="none"/>
          <w:lang w:val="en-US" w:eastAsia="zh-CN"/>
        </w:rPr>
        <w:t>6</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19</w:t>
      </w:r>
      <w:r>
        <w:rPr>
          <w:rFonts w:hint="eastAsia" w:ascii="仿宋" w:hAnsi="仿宋" w:eastAsia="仿宋" w:cs="仿宋"/>
          <w:color w:val="000000" w:themeColor="text1"/>
          <w:sz w:val="32"/>
          <w:szCs w:val="32"/>
          <w14:textFill>
            <w14:solidFill>
              <w14:schemeClr w14:val="tx1"/>
            </w14:solidFill>
          </w14:textFill>
        </w:rPr>
        <w:t>个，二</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个，共涉及资金</w:t>
      </w:r>
      <w:r>
        <w:rPr>
          <w:rFonts w:hint="eastAsia" w:ascii="仿宋" w:hAnsi="仿宋" w:eastAsia="仿宋" w:cs="仿宋"/>
          <w:color w:val="000000" w:themeColor="text1"/>
          <w:sz w:val="32"/>
          <w:szCs w:val="32"/>
          <w:lang w:val="en-US" w:eastAsia="zh-CN"/>
          <w14:textFill>
            <w14:solidFill>
              <w14:schemeClr w14:val="tx1"/>
            </w14:solidFill>
          </w14:textFill>
        </w:rPr>
        <w:t>281.60</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个政府性基金预算项目支出开展绩效自评，共涉及资金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万元，占政府性基金预算项目支出总额的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个国有资本经营预算项目支出开展绩效自评，共涉及资金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万元，占国有资本经营预算项目支出总额的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hint="eastAsia" w:ascii="仿宋" w:hAnsi="仿宋" w:eastAsia="仿宋" w:cs="仿宋"/>
          <w:color w:val="FF0000"/>
          <w:sz w:val="32"/>
          <w:szCs w:val="32"/>
          <w:highlight w:val="none"/>
        </w:rPr>
      </w:pPr>
      <w:r>
        <w:rPr>
          <w:rFonts w:hint="eastAsia" w:ascii="仿宋" w:hAnsi="仿宋" w:eastAsia="仿宋" w:cs="仿宋"/>
          <w:color w:val="000000" w:themeColor="text1"/>
          <w:sz w:val="32"/>
          <w:szCs w:val="32"/>
          <w:highlight w:val="none"/>
          <w14:textFill>
            <w14:solidFill>
              <w14:schemeClr w14:val="tx1"/>
            </w14:solidFill>
          </w14:textFill>
        </w:rPr>
        <w:t>组织对“红安、红阳社区公共设施日常管理经费”等</w:t>
      </w:r>
      <w:r>
        <w:rPr>
          <w:rFonts w:hint="eastAsia" w:ascii="仿宋" w:hAnsi="仿宋" w:eastAsia="仿宋" w:cs="仿宋"/>
          <w:color w:val="000000" w:themeColor="text1"/>
          <w:sz w:val="32"/>
          <w:szCs w:val="32"/>
          <w:highlight w:val="none"/>
          <w:lang w:val="en-US" w:eastAsia="zh-CN"/>
          <w14:textFill>
            <w14:solidFill>
              <w14:schemeClr w14:val="tx1"/>
            </w14:solidFill>
          </w14:textFill>
        </w:rPr>
        <w:t>19</w:t>
      </w:r>
      <w:r>
        <w:rPr>
          <w:rFonts w:hint="eastAsia" w:ascii="仿宋" w:hAnsi="仿宋" w:eastAsia="仿宋" w:cs="仿宋"/>
          <w:color w:val="000000" w:themeColor="text1"/>
          <w:sz w:val="32"/>
          <w:szCs w:val="32"/>
          <w:highlight w:val="none"/>
          <w14:textFill>
            <w14:solidFill>
              <w14:schemeClr w14:val="tx1"/>
            </w14:solidFill>
          </w14:textFill>
        </w:rPr>
        <w:t>个项目进行了部门评价，涉及一般公共预算支出</w:t>
      </w:r>
      <w:r>
        <w:rPr>
          <w:rFonts w:hint="eastAsia" w:ascii="仿宋" w:hAnsi="仿宋" w:eastAsia="仿宋" w:cs="仿宋"/>
          <w:color w:val="000000" w:themeColor="text1"/>
          <w:sz w:val="32"/>
          <w:szCs w:val="32"/>
          <w:highlight w:val="none"/>
          <w:lang w:val="en-US" w:eastAsia="zh-CN"/>
          <w14:textFill>
            <w14:solidFill>
              <w14:schemeClr w14:val="tx1"/>
            </w14:solidFill>
          </w14:textFill>
        </w:rPr>
        <w:t>281.60</w:t>
      </w:r>
      <w:r>
        <w:rPr>
          <w:rFonts w:hint="eastAsia" w:ascii="仿宋" w:hAnsi="仿宋" w:eastAsia="仿宋" w:cs="仿宋"/>
          <w:color w:val="000000" w:themeColor="text1"/>
          <w:sz w:val="32"/>
          <w:szCs w:val="32"/>
          <w:highlight w:val="none"/>
          <w14:textFill>
            <w14:solidFill>
              <w14:schemeClr w14:val="tx1"/>
            </w14:solidFill>
          </w14:textFill>
        </w:rPr>
        <w:t>万元，政府性基金预算支出</w:t>
      </w:r>
      <w:r>
        <w:rPr>
          <w:rFonts w:hint="eastAsia" w:ascii="仿宋" w:hAnsi="仿宋" w:eastAsia="仿宋" w:cs="仿宋"/>
          <w:color w:val="000000" w:themeColor="text1"/>
          <w:sz w:val="32"/>
          <w:szCs w:val="32"/>
          <w:highlight w:val="none"/>
          <w:lang w:val="en-US" w:eastAsia="zh-CN"/>
          <w14:textFill>
            <w14:solidFill>
              <w14:schemeClr w14:val="tx1"/>
            </w14:solidFill>
          </w14:textFill>
        </w:rPr>
        <w:t>0</w:t>
      </w:r>
      <w:r>
        <w:rPr>
          <w:rFonts w:hint="eastAsia" w:ascii="仿宋" w:hAnsi="仿宋" w:eastAsia="仿宋" w:cs="仿宋"/>
          <w:color w:val="000000" w:themeColor="text1"/>
          <w:sz w:val="32"/>
          <w:szCs w:val="32"/>
          <w:highlight w:val="none"/>
          <w14:textFill>
            <w14:solidFill>
              <w14:schemeClr w14:val="tx1"/>
            </w14:solidFill>
          </w14:textFill>
        </w:rPr>
        <w:t>万元，国有资本经营预算支出</w:t>
      </w:r>
      <w:r>
        <w:rPr>
          <w:rFonts w:hint="eastAsia" w:ascii="仿宋" w:hAnsi="仿宋" w:eastAsia="仿宋" w:cs="仿宋"/>
          <w:color w:val="000000" w:themeColor="text1"/>
          <w:sz w:val="32"/>
          <w:szCs w:val="32"/>
          <w:highlight w:val="none"/>
          <w:lang w:val="en-US" w:eastAsia="zh-CN"/>
          <w14:textFill>
            <w14:solidFill>
              <w14:schemeClr w14:val="tx1"/>
            </w14:solidFill>
          </w14:textFill>
        </w:rPr>
        <w:t>0</w:t>
      </w:r>
      <w:r>
        <w:rPr>
          <w:rFonts w:hint="eastAsia" w:ascii="仿宋" w:hAnsi="仿宋" w:eastAsia="仿宋" w:cs="仿宋"/>
          <w:color w:val="000000" w:themeColor="text1"/>
          <w:sz w:val="32"/>
          <w:szCs w:val="32"/>
          <w:highlight w:val="none"/>
          <w14:textFill>
            <w14:solidFill>
              <w14:schemeClr w14:val="tx1"/>
            </w14:solidFill>
          </w14:textFill>
        </w:rPr>
        <w:t>万元。从评价情况来看，</w:t>
      </w:r>
      <w:r>
        <w:rPr>
          <w:rFonts w:hint="eastAsia" w:ascii="仿宋" w:hAnsi="仿宋" w:eastAsia="仿宋" w:cs="仿宋"/>
          <w:color w:val="000000" w:themeColor="text1"/>
          <w:sz w:val="32"/>
          <w:szCs w:val="32"/>
          <w:highlight w:val="none"/>
          <w:lang w:val="en-US" w:eastAsia="zh-CN"/>
          <w14:textFill>
            <w14:solidFill>
              <w14:schemeClr w14:val="tx1"/>
            </w14:solidFill>
          </w14:textFill>
        </w:rPr>
        <w:t>本单位2022年度预算项目整体绩效自评98.04分，其中，指标完成自评90分，预算执行自评8.04分。</w:t>
      </w:r>
    </w:p>
    <w:p>
      <w:pPr>
        <w:ind w:firstLine="640" w:firstLineChars="200"/>
        <w:jc w:val="left"/>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组织对</w:t>
      </w:r>
      <w:r>
        <w:rPr>
          <w:rFonts w:hint="eastAsia" w:ascii="仿宋" w:hAnsi="仿宋" w:eastAsia="仿宋" w:cs="仿宋"/>
          <w:color w:val="000000" w:themeColor="text1"/>
          <w:sz w:val="32"/>
          <w:szCs w:val="32"/>
          <w:highlight w:val="none"/>
          <w:lang w:eastAsia="zh-CN"/>
          <w14:textFill>
            <w14:solidFill>
              <w14:schemeClr w14:val="tx1"/>
            </w14:solidFill>
          </w14:textFill>
        </w:rPr>
        <w:t>环江毛南族自治县红茂矿区管理处</w:t>
      </w:r>
      <w:r>
        <w:rPr>
          <w:rFonts w:hint="eastAsia" w:ascii="仿宋" w:hAnsi="仿宋" w:eastAsia="仿宋" w:cs="仿宋"/>
          <w:color w:val="000000" w:themeColor="text1"/>
          <w:sz w:val="32"/>
          <w:szCs w:val="32"/>
          <w:highlight w:val="none"/>
          <w:lang w:val="en-US" w:eastAsia="zh-CN"/>
          <w14:textFill>
            <w14:solidFill>
              <w14:schemeClr w14:val="tx1"/>
            </w14:solidFill>
          </w14:textFill>
        </w:rPr>
        <w:t>1</w:t>
      </w:r>
      <w:r>
        <w:rPr>
          <w:rFonts w:hint="eastAsia" w:ascii="仿宋" w:hAnsi="仿宋" w:eastAsia="仿宋" w:cs="仿宋"/>
          <w:color w:val="000000" w:themeColor="text1"/>
          <w:sz w:val="32"/>
          <w:szCs w:val="32"/>
          <w:highlight w:val="none"/>
          <w14:textFill>
            <w14:solidFill>
              <w14:schemeClr w14:val="tx1"/>
            </w14:solidFill>
          </w14:textFill>
        </w:rPr>
        <w:t>个</w:t>
      </w:r>
      <w:r>
        <w:rPr>
          <w:rFonts w:hint="eastAsia" w:ascii="仿宋" w:hAnsi="仿宋" w:eastAsia="仿宋" w:cs="仿宋"/>
          <w:color w:val="000000" w:themeColor="text1"/>
          <w:sz w:val="32"/>
          <w:szCs w:val="32"/>
          <w:highlight w:val="none"/>
          <w:lang w:eastAsia="zh-CN"/>
          <w14:textFill>
            <w14:solidFill>
              <w14:schemeClr w14:val="tx1"/>
            </w14:solidFill>
          </w14:textFill>
        </w:rPr>
        <w:t>单位</w:t>
      </w:r>
      <w:r>
        <w:rPr>
          <w:rFonts w:hint="eastAsia" w:ascii="仿宋" w:hAnsi="仿宋" w:eastAsia="仿宋" w:cs="仿宋"/>
          <w:color w:val="000000" w:themeColor="text1"/>
          <w:sz w:val="32"/>
          <w:szCs w:val="32"/>
          <w:highlight w:val="none"/>
          <w14:textFill>
            <w14:solidFill>
              <w14:schemeClr w14:val="tx1"/>
            </w14:solidFill>
          </w14:textFill>
        </w:rPr>
        <w:t>开展整体支出绩效评价试点，涉及一般公共预算支出</w:t>
      </w:r>
      <w:r>
        <w:rPr>
          <w:rFonts w:hint="eastAsia" w:ascii="仿宋" w:hAnsi="仿宋" w:eastAsia="仿宋" w:cs="仿宋"/>
          <w:color w:val="000000" w:themeColor="text1"/>
          <w:sz w:val="32"/>
          <w:szCs w:val="32"/>
          <w:highlight w:val="none"/>
          <w:lang w:val="en-US" w:eastAsia="zh-CN"/>
          <w14:textFill>
            <w14:solidFill>
              <w14:schemeClr w14:val="tx1"/>
            </w14:solidFill>
          </w14:textFill>
        </w:rPr>
        <w:t>646.10</w:t>
      </w:r>
      <w:r>
        <w:rPr>
          <w:rFonts w:hint="eastAsia" w:ascii="仿宋" w:hAnsi="仿宋" w:eastAsia="仿宋" w:cs="仿宋"/>
          <w:color w:val="000000" w:themeColor="text1"/>
          <w:sz w:val="32"/>
          <w:szCs w:val="32"/>
          <w:highlight w:val="none"/>
          <w14:textFill>
            <w14:solidFill>
              <w14:schemeClr w14:val="tx1"/>
            </w14:solidFill>
          </w14:textFill>
        </w:rPr>
        <w:t>万元，政府性基金预算支出</w:t>
      </w:r>
      <w:r>
        <w:rPr>
          <w:rFonts w:hint="eastAsia" w:ascii="仿宋" w:hAnsi="仿宋" w:eastAsia="仿宋" w:cs="仿宋"/>
          <w:color w:val="000000" w:themeColor="text1"/>
          <w:sz w:val="32"/>
          <w:szCs w:val="32"/>
          <w:highlight w:val="none"/>
          <w:lang w:val="en-US" w:eastAsia="zh-CN"/>
          <w14:textFill>
            <w14:solidFill>
              <w14:schemeClr w14:val="tx1"/>
            </w14:solidFill>
          </w14:textFill>
        </w:rPr>
        <w:t>0</w:t>
      </w:r>
      <w:r>
        <w:rPr>
          <w:rFonts w:hint="eastAsia" w:ascii="仿宋" w:hAnsi="仿宋" w:eastAsia="仿宋" w:cs="仿宋"/>
          <w:color w:val="000000" w:themeColor="text1"/>
          <w:sz w:val="32"/>
          <w:szCs w:val="32"/>
          <w:highlight w:val="none"/>
          <w14:textFill>
            <w14:solidFill>
              <w14:schemeClr w14:val="tx1"/>
            </w14:solidFill>
          </w14:textFill>
        </w:rPr>
        <w:t>万元。从评价情况来看，</w:t>
      </w:r>
      <w:r>
        <w:rPr>
          <w:rFonts w:hint="eastAsia" w:ascii="仿宋" w:hAnsi="仿宋" w:eastAsia="仿宋" w:cs="仿宋"/>
          <w:color w:val="000000" w:themeColor="text1"/>
          <w:sz w:val="32"/>
          <w:szCs w:val="32"/>
          <w:highlight w:val="none"/>
          <w:lang w:val="en-US" w:eastAsia="zh-CN"/>
          <w14:textFill>
            <w14:solidFill>
              <w14:schemeClr w14:val="tx1"/>
            </w14:solidFill>
          </w14:textFill>
        </w:rPr>
        <w:t>我单位高度重视绩效自评工作，成立了绩效自评工作组，明确目标要求，强化责任落实，确保绩效自评工作顺利开展。2022年度本单位预算项目支出19个，自评项目19个，自评覆盖100%，各预算项目支出及整体绩效自评工作如期完成。</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2.部门决算中项目绩效自评结果</w:t>
      </w:r>
      <w:r>
        <w:rPr>
          <w:rFonts w:hint="eastAsia" w:ascii="仿宋" w:hAnsi="仿宋" w:eastAsia="仿宋" w:cs="仿宋"/>
          <w:color w:val="auto"/>
          <w:sz w:val="32"/>
          <w:szCs w:val="32"/>
        </w:rPr>
        <w:t>。</w:t>
      </w:r>
    </w:p>
    <w:p>
      <w:pPr>
        <w:ind w:firstLine="640" w:firstLineChars="20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w:t>
      </w:r>
      <w:r>
        <w:rPr>
          <w:rFonts w:hint="eastAsia" w:ascii="仿宋" w:hAnsi="仿宋" w:eastAsia="仿宋" w:cs="仿宋"/>
          <w:color w:val="000000" w:themeColor="text1"/>
          <w:sz w:val="32"/>
          <w:szCs w:val="32"/>
          <w:highlight w:val="none"/>
          <w:lang w:val="en-US" w:eastAsia="zh-CN"/>
          <w14:textFill>
            <w14:solidFill>
              <w14:schemeClr w14:val="tx1"/>
            </w14:solidFill>
          </w14:textFill>
        </w:rPr>
        <w:t>部门根据年初设定的绩效目标，管理处门面及基础设施维修工程项目自评得分为96分。发现的主要问题及原因：财政资金紧缺导致项目资金未完全支付。下一步改进措施：积极争取资金完成项目资金的结算。党支部组织生活经费项目自评得分为90分。发现的主要问题及原因：财政资金紧缺导致项目资金未支付。下一步改进措施：积极争取资金完成项目资金的结算。茂兰临管委工作经费项目自评得分为96.73分。发现的主要问题及原因：财政资金紧</w:t>
      </w:r>
      <w:r>
        <w:rPr>
          <w:rFonts w:hint="eastAsia" w:ascii="仿宋" w:hAnsi="仿宋" w:eastAsia="仿宋" w:cs="仿宋"/>
          <w:color w:val="000000" w:themeColor="text1"/>
          <w:sz w:val="32"/>
          <w:szCs w:val="32"/>
          <w:lang w:eastAsia="zh-CN"/>
          <w14:textFill>
            <w14:solidFill>
              <w14:schemeClr w14:val="tx1"/>
            </w14:solidFill>
          </w14:textFill>
        </w:rPr>
        <w:t>缺导致项目资金未完全支付</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积极争取资金完成项目资金的结算</w:t>
      </w:r>
      <w:r>
        <w:rPr>
          <w:rFonts w:hint="eastAsia" w:ascii="仿宋" w:hAnsi="仿宋" w:eastAsia="仿宋" w:cs="仿宋"/>
          <w:color w:val="000000" w:themeColor="text1"/>
          <w:sz w:val="32"/>
          <w:szCs w:val="32"/>
          <w:lang w:val="en-US" w:eastAsia="zh-CN"/>
          <w14:textFill>
            <w14:solidFill>
              <w14:schemeClr w14:val="tx1"/>
            </w14:solidFill>
          </w14:textFill>
        </w:rPr>
        <w:t>。经常性费用项目自评得分为99.03分。发现的主要问题及原因：人员死亡减少导致本年执行数比预算数少。导致。下一步改进措施：做好年初预算。聘用环卫工资及环卫支出项目自评得分为99.97分。发现的主要问题及原因：社区环卫面积点多面广，环卫工作量大导致该项目支出金额较大。下一步改进措施：在保障环卫工作开展及环卫工资发放的情况下尽量节约、压减环卫开支。洛阳安置点第二期廉租房给水管网新改造工程项目自评得分为90分。发现的主要问题及原因：财政资金紧缺导致项目资金未能安排支付。下一步改进措施：积极争取资金完成项目资金的结算。社区干部奖励奖金项目自评得分为100分。发现的主要问题及原因：社区干部奖励性奖金在规定时间内足额发放给社区干部。下一步改进措施：继续保持。五位一体工作经费项目自评得分为90分。发现的主要问题及原因：本单位无五位一体工作任务，属财政局下错指标。下一步改进措施：积极改正。社区干部补助项目自评得分为100分。发现的主要问题及原因：社区干部补助在规定时间内足额发放给社区干部。下一步改进措施：继续保持。红茂矿区异地搬迁安置工程款1项目自评得分为92.96分。发现的主要问题及原因：财政资金紧缺导致项目资金未能完全安排支付。下一步改进措施：积极争取资金完成项目资金的结算。党的二十大维稳安保信访专项工作经费项目自评得分为99.09分。发现的主要问题及原因：秉持节约原则压低工作经费。下一步改进措施：</w:t>
      </w:r>
      <w:r>
        <w:rPr>
          <w:rFonts w:hint="eastAsia" w:ascii="仿宋" w:hAnsi="仿宋" w:eastAsia="仿宋" w:cs="仿宋"/>
          <w:color w:val="000000" w:themeColor="text1"/>
          <w:sz w:val="32"/>
          <w:szCs w:val="32"/>
          <w:lang w:eastAsia="zh-CN"/>
          <w14:textFill>
            <w14:solidFill>
              <w14:schemeClr w14:val="tx1"/>
            </w14:solidFill>
          </w14:textFill>
        </w:rPr>
        <w:t>继续保持。</w:t>
      </w:r>
      <w:r>
        <w:rPr>
          <w:rFonts w:hint="eastAsia" w:ascii="仿宋" w:hAnsi="仿宋" w:eastAsia="仿宋" w:cs="仿宋"/>
          <w:color w:val="000000" w:themeColor="text1"/>
          <w:sz w:val="32"/>
          <w:szCs w:val="32"/>
          <w:lang w:val="en-US" w:eastAsia="zh-CN"/>
          <w14:textFill>
            <w14:solidFill>
              <w14:schemeClr w14:val="tx1"/>
            </w14:solidFill>
          </w14:textFill>
        </w:rPr>
        <w:t>国有企业职教幼教及中小学退休教师退休教师待遇补差资金</w:t>
      </w:r>
      <w:r>
        <w:rPr>
          <w:rFonts w:hint="eastAsia" w:ascii="仿宋" w:hAnsi="仿宋" w:eastAsia="仿宋" w:cs="仿宋"/>
          <w:color w:val="000000" w:themeColor="text1"/>
          <w:sz w:val="32"/>
          <w:szCs w:val="32"/>
          <w:lang w:eastAsia="zh-CN"/>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99.97</w:t>
      </w:r>
      <w:r>
        <w:rPr>
          <w:rFonts w:hint="eastAsia" w:ascii="仿宋" w:hAnsi="仿宋" w:eastAsia="仿宋" w:cs="仿宋"/>
          <w:color w:val="000000" w:themeColor="text1"/>
          <w:sz w:val="32"/>
          <w:szCs w:val="32"/>
          <w:lang w:eastAsia="zh-CN"/>
          <w14:textFill>
            <w14:solidFill>
              <w14:schemeClr w14:val="tx1"/>
            </w14:solidFill>
          </w14:textFill>
        </w:rPr>
        <w:t>分。发现的主要问题及原因：预算稍有误差。下一步改进措施：做好期初预算。</w:t>
      </w:r>
      <w:r>
        <w:rPr>
          <w:rFonts w:hint="eastAsia" w:ascii="仿宋" w:hAnsi="仿宋" w:eastAsia="仿宋" w:cs="仿宋"/>
          <w:color w:val="000000" w:themeColor="text1"/>
          <w:sz w:val="32"/>
          <w:szCs w:val="32"/>
          <w:lang w:val="en-US" w:eastAsia="zh-CN"/>
          <w14:textFill>
            <w14:solidFill>
              <w14:schemeClr w14:val="tx1"/>
            </w14:solidFill>
          </w14:textFill>
        </w:rPr>
        <w:t>农村党员大培训</w:t>
      </w:r>
      <w:r>
        <w:rPr>
          <w:rFonts w:hint="eastAsia" w:ascii="仿宋" w:hAnsi="仿宋" w:eastAsia="仿宋" w:cs="仿宋"/>
          <w:color w:val="000000" w:themeColor="text1"/>
          <w:sz w:val="32"/>
          <w:szCs w:val="32"/>
          <w:lang w:eastAsia="zh-CN"/>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90</w:t>
      </w:r>
      <w:r>
        <w:rPr>
          <w:rFonts w:hint="eastAsia" w:ascii="仿宋" w:hAnsi="仿宋" w:eastAsia="仿宋" w:cs="仿宋"/>
          <w:color w:val="000000" w:themeColor="text1"/>
          <w:sz w:val="32"/>
          <w:szCs w:val="32"/>
          <w:lang w:eastAsia="zh-CN"/>
          <w14:textFill>
            <w14:solidFill>
              <w14:schemeClr w14:val="tx1"/>
            </w14:solidFill>
          </w14:textFill>
        </w:rPr>
        <w:t>分。发现的主要问题及原因：财政资金紧缺导致项目资金未支付。下一步改进措施：积极争取资金完成项目资金的结算。</w:t>
      </w:r>
      <w:r>
        <w:rPr>
          <w:rFonts w:hint="eastAsia" w:ascii="仿宋" w:hAnsi="仿宋" w:eastAsia="仿宋" w:cs="仿宋"/>
          <w:color w:val="000000" w:themeColor="text1"/>
          <w:sz w:val="32"/>
          <w:szCs w:val="32"/>
          <w:lang w:val="en-US" w:eastAsia="zh-CN"/>
          <w14:textFill>
            <w14:solidFill>
              <w14:schemeClr w14:val="tx1"/>
            </w14:solidFill>
          </w14:textFill>
        </w:rPr>
        <w:t>洛阳安置点六依坡小区围墙修复及排险工程</w:t>
      </w:r>
      <w:r>
        <w:rPr>
          <w:rFonts w:hint="eastAsia" w:ascii="仿宋" w:hAnsi="仿宋" w:eastAsia="仿宋" w:cs="仿宋"/>
          <w:color w:val="000000" w:themeColor="text1"/>
          <w:sz w:val="32"/>
          <w:szCs w:val="32"/>
          <w:lang w:eastAsia="zh-CN"/>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eastAsia="zh-CN"/>
          <w14:textFill>
            <w14:solidFill>
              <w14:schemeClr w14:val="tx1"/>
            </w14:solidFill>
          </w14:textFill>
        </w:rPr>
        <w:t>项目在规定时间内完成修复及排险工作，保障了人民群众的人身财产安全；项目资金及时支付。下一步改进措施：继续保持。</w:t>
      </w:r>
      <w:r>
        <w:rPr>
          <w:rFonts w:hint="eastAsia" w:ascii="仿宋" w:hAnsi="仿宋" w:eastAsia="仿宋" w:cs="仿宋"/>
          <w:color w:val="000000" w:themeColor="text1"/>
          <w:sz w:val="32"/>
          <w:szCs w:val="32"/>
          <w:lang w:val="en-US" w:eastAsia="zh-CN"/>
          <w14:textFill>
            <w14:solidFill>
              <w14:schemeClr w14:val="tx1"/>
            </w14:solidFill>
          </w14:textFill>
        </w:rPr>
        <w:t>预发2022年度奖励性绩效</w:t>
      </w:r>
      <w:r>
        <w:rPr>
          <w:rFonts w:hint="eastAsia" w:ascii="仿宋" w:hAnsi="仿宋" w:eastAsia="仿宋" w:cs="仿宋"/>
          <w:color w:val="000000" w:themeColor="text1"/>
          <w:sz w:val="32"/>
          <w:szCs w:val="32"/>
          <w:lang w:eastAsia="zh-CN"/>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lang w:eastAsia="zh-CN"/>
          <w14:textFill>
            <w14:solidFill>
              <w14:schemeClr w14:val="tx1"/>
            </w14:solidFill>
          </w14:textFill>
        </w:rPr>
        <w:t>分。发现的主要问题及原因：</w:t>
      </w:r>
      <w:r>
        <w:rPr>
          <w:rFonts w:hint="eastAsia" w:ascii="仿宋" w:hAnsi="仿宋" w:eastAsia="仿宋" w:cs="仿宋"/>
          <w:color w:val="000000" w:themeColor="text1"/>
          <w:sz w:val="32"/>
          <w:szCs w:val="32"/>
          <w:lang w:val="en-US" w:eastAsia="zh-CN"/>
          <w14:textFill>
            <w14:solidFill>
              <w14:schemeClr w14:val="tx1"/>
            </w14:solidFill>
          </w14:textFill>
        </w:rPr>
        <w:t>2022年度奖励性绩效</w:t>
      </w:r>
      <w:r>
        <w:rPr>
          <w:rFonts w:hint="eastAsia" w:ascii="仿宋" w:hAnsi="仿宋" w:eastAsia="仿宋" w:cs="仿宋"/>
          <w:color w:val="000000" w:themeColor="text1"/>
          <w:sz w:val="32"/>
          <w:szCs w:val="32"/>
          <w:lang w:eastAsia="zh-CN"/>
          <w14:textFill>
            <w14:solidFill>
              <w14:schemeClr w14:val="tx1"/>
            </w14:solidFill>
          </w14:textFill>
        </w:rPr>
        <w:t>在规定时间内足额发放给在职干部。下一步改进措施：继续保持。</w:t>
      </w:r>
      <w:r>
        <w:rPr>
          <w:rFonts w:hint="eastAsia" w:ascii="仿宋" w:hAnsi="仿宋" w:eastAsia="仿宋" w:cs="仿宋"/>
          <w:color w:val="000000" w:themeColor="text1"/>
          <w:sz w:val="32"/>
          <w:szCs w:val="32"/>
          <w:lang w:val="en-US" w:eastAsia="zh-CN"/>
          <w14:textFill>
            <w14:solidFill>
              <w14:schemeClr w14:val="tx1"/>
            </w14:solidFill>
          </w14:textFill>
        </w:rPr>
        <w:t>红茂旧农场小区排险及挡土墙工程资金</w:t>
      </w:r>
      <w:r>
        <w:rPr>
          <w:rFonts w:hint="eastAsia" w:ascii="仿宋" w:hAnsi="仿宋" w:eastAsia="仿宋" w:cs="仿宋"/>
          <w:color w:val="000000" w:themeColor="text1"/>
          <w:sz w:val="32"/>
          <w:szCs w:val="32"/>
          <w:lang w:eastAsia="zh-CN"/>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lang w:eastAsia="zh-CN"/>
          <w14:textFill>
            <w14:solidFill>
              <w14:schemeClr w14:val="tx1"/>
            </w14:solidFill>
          </w14:textFill>
        </w:rPr>
        <w:t>分。发现的主要问题及原因：项目在规定时间内完成挡土墙及排险工作，保障了人民群众的人身财产安全；项目资金及时支付。下一步改进措施：继续保持。</w:t>
      </w:r>
      <w:r>
        <w:rPr>
          <w:rFonts w:hint="eastAsia" w:ascii="仿宋" w:hAnsi="仿宋" w:eastAsia="仿宋" w:cs="仿宋"/>
          <w:color w:val="000000" w:themeColor="text1"/>
          <w:sz w:val="32"/>
          <w:szCs w:val="32"/>
          <w:lang w:val="en-US" w:eastAsia="zh-CN"/>
          <w14:textFill>
            <w14:solidFill>
              <w14:schemeClr w14:val="tx1"/>
            </w14:solidFill>
          </w14:textFill>
        </w:rPr>
        <w:t>星级党组织所在村办公经费</w:t>
      </w:r>
      <w:r>
        <w:rPr>
          <w:rFonts w:hint="eastAsia" w:ascii="仿宋" w:hAnsi="仿宋" w:eastAsia="仿宋" w:cs="仿宋"/>
          <w:color w:val="000000" w:themeColor="text1"/>
          <w:sz w:val="32"/>
          <w:szCs w:val="32"/>
          <w:lang w:eastAsia="zh-CN"/>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lang w:eastAsia="zh-CN"/>
          <w14:textFill>
            <w14:solidFill>
              <w14:schemeClr w14:val="tx1"/>
            </w14:solidFill>
          </w14:textFill>
        </w:rPr>
        <w:t>分。发现的主要问题及原因：星级村办公经费资金及时拨付有效保障村级日常管理和运行。下一步改进措施：继续保持。</w:t>
      </w:r>
      <w:r>
        <w:rPr>
          <w:rFonts w:hint="eastAsia" w:ascii="仿宋" w:hAnsi="仿宋" w:eastAsia="仿宋" w:cs="仿宋"/>
          <w:color w:val="000000" w:themeColor="text1"/>
          <w:sz w:val="32"/>
          <w:szCs w:val="32"/>
          <w:lang w:val="en-US" w:eastAsia="zh-CN"/>
          <w14:textFill>
            <w14:solidFill>
              <w14:schemeClr w14:val="tx1"/>
            </w14:solidFill>
          </w14:textFill>
        </w:rPr>
        <w:t>红安、红阳社区公共设施日常管理经费</w:t>
      </w:r>
      <w:r>
        <w:rPr>
          <w:rFonts w:hint="eastAsia" w:ascii="仿宋" w:hAnsi="仿宋" w:eastAsia="仿宋" w:cs="仿宋"/>
          <w:color w:val="000000" w:themeColor="text1"/>
          <w:sz w:val="32"/>
          <w:szCs w:val="32"/>
          <w:lang w:eastAsia="zh-CN"/>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99.97</w:t>
      </w:r>
      <w:r>
        <w:rPr>
          <w:rFonts w:hint="eastAsia" w:ascii="仿宋" w:hAnsi="仿宋" w:eastAsia="仿宋" w:cs="仿宋"/>
          <w:color w:val="000000" w:themeColor="text1"/>
          <w:sz w:val="32"/>
          <w:szCs w:val="32"/>
          <w:lang w:eastAsia="zh-CN"/>
          <w14:textFill>
            <w14:solidFill>
              <w14:schemeClr w14:val="tx1"/>
            </w14:solidFill>
          </w14:textFill>
        </w:rPr>
        <w:t>分。发现的主要问题及原因：秉持节约原则压低工作经费。下一步改进措施：继续保持。</w:t>
      </w:r>
      <w:r>
        <w:rPr>
          <w:rFonts w:hint="eastAsia" w:ascii="仿宋" w:hAnsi="仿宋" w:eastAsia="仿宋" w:cs="仿宋"/>
          <w:color w:val="000000" w:themeColor="text1"/>
          <w:sz w:val="32"/>
          <w:szCs w:val="32"/>
          <w:lang w:val="en-US" w:eastAsia="zh-CN"/>
          <w14:textFill>
            <w14:solidFill>
              <w14:schemeClr w14:val="tx1"/>
            </w14:solidFill>
          </w14:textFill>
        </w:rPr>
        <w:t>奖励性补贴</w:t>
      </w:r>
      <w:r>
        <w:rPr>
          <w:rFonts w:hint="eastAsia" w:ascii="仿宋" w:hAnsi="仿宋" w:eastAsia="仿宋" w:cs="仿宋"/>
          <w:color w:val="000000" w:themeColor="text1"/>
          <w:sz w:val="32"/>
          <w:szCs w:val="32"/>
          <w:lang w:eastAsia="zh-CN"/>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lang w:eastAsia="zh-CN"/>
          <w14:textFill>
            <w14:solidFill>
              <w14:schemeClr w14:val="tx1"/>
            </w14:solidFill>
          </w14:textFill>
        </w:rPr>
        <w:t>分。</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val="en-US" w:eastAsia="zh-CN"/>
          <w14:textFill>
            <w14:solidFill>
              <w14:schemeClr w14:val="tx1"/>
            </w14:solidFill>
          </w14:textFill>
        </w:rPr>
        <w:t>奖励性补贴</w:t>
      </w:r>
      <w:r>
        <w:rPr>
          <w:rFonts w:hint="eastAsia" w:ascii="仿宋" w:hAnsi="仿宋" w:eastAsia="仿宋" w:cs="仿宋"/>
          <w:color w:val="000000" w:themeColor="text1"/>
          <w:sz w:val="32"/>
          <w:szCs w:val="32"/>
          <w:lang w:eastAsia="zh-CN"/>
          <w14:textFill>
            <w14:solidFill>
              <w14:schemeClr w14:val="tx1"/>
            </w14:solidFill>
          </w14:textFill>
        </w:rPr>
        <w:t>在规定时间内足额发放给在职干部</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继续保持</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hint="default" w:ascii="仿宋" w:hAnsi="仿宋" w:eastAsia="仿宋" w:cs="仿宋"/>
          <w:color w:val="auto"/>
          <w:sz w:val="32"/>
          <w:szCs w:val="32"/>
          <w:highlight w:val="none"/>
          <w:lang w:val="en-US" w:eastAsia="zh-CN"/>
        </w:rPr>
        <w:sectPr>
          <w:pgSz w:w="11906" w:h="16838"/>
          <w:pgMar w:top="1440" w:right="1800" w:bottom="1440" w:left="1800" w:header="851" w:footer="992" w:gutter="0"/>
          <w:cols w:space="0" w:num="1"/>
          <w:docGrid w:type="lines" w:linePitch="312" w:charSpace="0"/>
        </w:sectPr>
      </w:pPr>
      <w:r>
        <w:rPr>
          <w:rFonts w:hint="eastAsia" w:ascii="仿宋" w:hAnsi="仿宋" w:eastAsia="仿宋" w:cs="仿宋"/>
          <w:color w:val="auto"/>
          <w:sz w:val="32"/>
          <w:szCs w:val="32"/>
        </w:rPr>
        <w:t>项目支出绩效自评表</w:t>
      </w:r>
      <w:r>
        <w:rPr>
          <w:rFonts w:hint="eastAsia" w:ascii="仿宋" w:hAnsi="仿宋" w:eastAsia="仿宋" w:cs="仿宋"/>
          <w:color w:val="auto"/>
          <w:sz w:val="32"/>
          <w:szCs w:val="32"/>
          <w:lang w:eastAsia="zh-CN"/>
        </w:rPr>
        <w:t>如</w:t>
      </w:r>
      <w:r>
        <w:rPr>
          <w:rFonts w:hint="eastAsia" w:ascii="仿宋" w:hAnsi="仿宋" w:eastAsia="仿宋" w:cs="仿宋"/>
          <w:color w:val="auto"/>
          <w:sz w:val="32"/>
          <w:szCs w:val="32"/>
          <w:lang w:val="en-US" w:eastAsia="zh-CN"/>
        </w:rPr>
        <w:t>下：</w:t>
      </w:r>
    </w:p>
    <w:p>
      <w:pPr>
        <w:jc w:val="left"/>
        <w:rPr>
          <w:rFonts w:hint="eastAsia" w:ascii="仿宋" w:hAnsi="仿宋" w:eastAsia="仿宋" w:cs="仿宋"/>
          <w:sz w:val="32"/>
          <w:szCs w:val="32"/>
          <w:highlight w:val="none"/>
        </w:rPr>
        <w:sectPr>
          <w:pgSz w:w="16838" w:h="11906" w:orient="landscape"/>
          <w:pgMar w:top="1800" w:right="1440" w:bottom="1800" w:left="1440" w:header="851" w:footer="992" w:gutter="0"/>
          <w:cols w:space="0" w:num="1"/>
          <w:docGrid w:type="lines" w:linePitch="312" w:charSpace="0"/>
        </w:sectPr>
      </w:pPr>
      <w:r>
        <w:rPr>
          <w:rFonts w:hint="eastAsia" w:ascii="仿宋" w:hAnsi="仿宋" w:eastAsia="仿宋" w:cs="仿宋"/>
          <w:sz w:val="32"/>
          <w:szCs w:val="32"/>
          <w:highlight w:val="none"/>
          <w:lang w:eastAsia="zh-CN"/>
        </w:rPr>
        <w:drawing>
          <wp:inline distT="0" distB="0" distL="114300" distR="114300">
            <wp:extent cx="9141460" cy="5514975"/>
            <wp:effectExtent l="0" t="0" r="2540" b="9525"/>
            <wp:docPr id="14" name="图片 14" descr="项目自评表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项目自评表1"/>
                    <pic:cNvPicPr>
                      <a:picLocks noChangeAspect="1"/>
                    </pic:cNvPicPr>
                  </pic:nvPicPr>
                  <pic:blipFill>
                    <a:blip r:embed="rId21"/>
                    <a:stretch>
                      <a:fillRect/>
                    </a:stretch>
                  </pic:blipFill>
                  <pic:spPr>
                    <a:xfrm>
                      <a:off x="0" y="0"/>
                      <a:ext cx="9141460" cy="5514975"/>
                    </a:xfrm>
                    <a:prstGeom prst="rect">
                      <a:avLst/>
                    </a:prstGeom>
                  </pic:spPr>
                </pic:pic>
              </a:graphicData>
            </a:graphic>
          </wp:inline>
        </w:drawing>
      </w:r>
      <w:r>
        <w:rPr>
          <w:rFonts w:hint="eastAsia" w:ascii="仿宋" w:hAnsi="仿宋" w:eastAsia="仿宋" w:cs="仿宋"/>
          <w:sz w:val="32"/>
          <w:szCs w:val="32"/>
          <w:highlight w:val="none"/>
          <w:lang w:eastAsia="zh-CN"/>
        </w:rPr>
        <w:drawing>
          <wp:inline distT="0" distB="0" distL="114300" distR="114300">
            <wp:extent cx="8916670" cy="5670550"/>
            <wp:effectExtent l="0" t="0" r="17780" b="6350"/>
            <wp:docPr id="13" name="图片 13" descr="项目自评表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项目自评表2"/>
                    <pic:cNvPicPr>
                      <a:picLocks noChangeAspect="1"/>
                    </pic:cNvPicPr>
                  </pic:nvPicPr>
                  <pic:blipFill>
                    <a:blip r:embed="rId22"/>
                    <a:stretch>
                      <a:fillRect/>
                    </a:stretch>
                  </pic:blipFill>
                  <pic:spPr>
                    <a:xfrm>
                      <a:off x="0" y="0"/>
                      <a:ext cx="8916670" cy="5670550"/>
                    </a:xfrm>
                    <a:prstGeom prst="rect">
                      <a:avLst/>
                    </a:prstGeom>
                  </pic:spPr>
                </pic:pic>
              </a:graphicData>
            </a:graphic>
          </wp:inline>
        </w:drawing>
      </w:r>
    </w:p>
    <w:p>
      <w:pPr>
        <w:pStyle w:val="2"/>
        <w:ind w:left="0" w:leftChars="0" w:firstLine="0" w:firstLineChars="0"/>
        <w:rPr>
          <w:rFonts w:hint="eastAsia"/>
        </w:rPr>
      </w:pPr>
    </w:p>
    <w:p>
      <w:pPr>
        <w:jc w:val="cente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hint="eastAsia" w:ascii="仿宋" w:hAnsi="仿宋" w:eastAsia="仿宋" w:cs="仿宋"/>
          <w:sz w:val="32"/>
          <w:u w:color="auto"/>
          <w:lang w:eastAsia="zh-CN"/>
        </w:rPr>
        <w:t>环江县</w:t>
      </w:r>
      <w:r>
        <w:rPr>
          <w:rFonts w:ascii="仿宋" w:hAnsi="仿宋" w:eastAsia="仿宋" w:cs="仿宋"/>
          <w:sz w:val="32"/>
          <w:u w:color="auto"/>
        </w:rPr>
        <w:t>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hint="eastAsia" w:ascii="仿宋" w:hAnsi="仿宋" w:eastAsia="仿宋" w:cs="仿宋"/>
          <w:sz w:val="32"/>
          <w:u w:color="auto"/>
          <w:lang w:eastAsia="zh-CN"/>
        </w:rPr>
        <w:t>环江县</w:t>
      </w:r>
      <w:r>
        <w:rPr>
          <w:rFonts w:ascii="仿宋" w:hAnsi="仿宋" w:eastAsia="仿宋" w:cs="仿宋"/>
          <w:sz w:val="32"/>
          <w:u w:color="auto"/>
        </w:rPr>
        <w:t>财政预决算管理的“三公”经费，是指</w:t>
      </w:r>
      <w:r>
        <w:rPr>
          <w:rFonts w:hint="eastAsia" w:ascii="仿宋" w:hAnsi="仿宋" w:eastAsia="仿宋" w:cs="仿宋"/>
          <w:sz w:val="32"/>
          <w:u w:color="auto"/>
          <w:lang w:eastAsia="zh-CN"/>
        </w:rPr>
        <w:t>环江县</w:t>
      </w:r>
      <w:r>
        <w:rPr>
          <w:rFonts w:ascii="仿宋" w:hAnsi="仿宋" w:eastAsia="仿宋" w:cs="仿宋"/>
          <w:sz w:val="32"/>
          <w:u w:color="auto"/>
        </w:rPr>
        <w:t>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hint="default"/>
          <w:lang w:val="en-US" w:eastAsia="zh-CN"/>
        </w:rPr>
      </w:pP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A75ADE1D"/>
    <w:multiLevelType w:val="singleLevel"/>
    <w:tmpl w:val="A75ADE1D"/>
    <w:lvl w:ilvl="0" w:tentative="0">
      <w:start w:val="1"/>
      <w:numFmt w:val="chineseCounting"/>
      <w:suff w:val="nothing"/>
      <w:lvlText w:val="（%1）"/>
      <w:lvlJc w:val="left"/>
      <w:pPr>
        <w:ind w:left="-10"/>
      </w:pPr>
      <w:rPr>
        <w:rFonts w:hint="eastAsia"/>
        <w:color w:val="auto"/>
      </w:rPr>
    </w:lvl>
  </w:abstractNum>
  <w:abstractNum w:abstractNumId="2">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hlZjZhY2ViMjcxMzY3ZTJiMTNiNTZiZWUyMDhhNDUifQ=="/>
  </w:docVars>
  <w:rsids>
    <w:rsidRoot w:val="637D7558"/>
    <w:rsid w:val="00002C84"/>
    <w:rsid w:val="00004EEE"/>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011CF"/>
    <w:rsid w:val="00C3279E"/>
    <w:rsid w:val="00C34857"/>
    <w:rsid w:val="00CA2E26"/>
    <w:rsid w:val="00D00918"/>
    <w:rsid w:val="00D14326"/>
    <w:rsid w:val="00D772CC"/>
    <w:rsid w:val="00D84F30"/>
    <w:rsid w:val="00D878A6"/>
    <w:rsid w:val="00DE74BD"/>
    <w:rsid w:val="00DE7D07"/>
    <w:rsid w:val="00EA40E8"/>
    <w:rsid w:val="00EB7822"/>
    <w:rsid w:val="00EC50A9"/>
    <w:rsid w:val="00ED04DB"/>
    <w:rsid w:val="00F21455"/>
    <w:rsid w:val="00F5354B"/>
    <w:rsid w:val="00F95135"/>
    <w:rsid w:val="00F9658C"/>
    <w:rsid w:val="00F978FD"/>
    <w:rsid w:val="00FA738E"/>
    <w:rsid w:val="00FC438B"/>
    <w:rsid w:val="01234E98"/>
    <w:rsid w:val="015F1951"/>
    <w:rsid w:val="01D56F23"/>
    <w:rsid w:val="01F833C6"/>
    <w:rsid w:val="020C171D"/>
    <w:rsid w:val="0216715F"/>
    <w:rsid w:val="025637C0"/>
    <w:rsid w:val="02631E0C"/>
    <w:rsid w:val="02E0291A"/>
    <w:rsid w:val="03434395"/>
    <w:rsid w:val="035B79A0"/>
    <w:rsid w:val="0494065D"/>
    <w:rsid w:val="04BA1B52"/>
    <w:rsid w:val="04E54546"/>
    <w:rsid w:val="05992762"/>
    <w:rsid w:val="05F32C99"/>
    <w:rsid w:val="0631563E"/>
    <w:rsid w:val="07442798"/>
    <w:rsid w:val="07B0770E"/>
    <w:rsid w:val="0942143F"/>
    <w:rsid w:val="099E2A5B"/>
    <w:rsid w:val="0A1352FA"/>
    <w:rsid w:val="0AFD5EAB"/>
    <w:rsid w:val="0AFE71F2"/>
    <w:rsid w:val="0CA37DDA"/>
    <w:rsid w:val="0D100297"/>
    <w:rsid w:val="0D202B45"/>
    <w:rsid w:val="0E855450"/>
    <w:rsid w:val="0E9C5E1E"/>
    <w:rsid w:val="0EBB3B59"/>
    <w:rsid w:val="0F8D4C87"/>
    <w:rsid w:val="10505FAA"/>
    <w:rsid w:val="105F7E7E"/>
    <w:rsid w:val="11E56B5B"/>
    <w:rsid w:val="125C77AB"/>
    <w:rsid w:val="12CE1E35"/>
    <w:rsid w:val="13793B38"/>
    <w:rsid w:val="145859F8"/>
    <w:rsid w:val="14A46636"/>
    <w:rsid w:val="14CB726E"/>
    <w:rsid w:val="17CF0104"/>
    <w:rsid w:val="17E92249"/>
    <w:rsid w:val="18455C50"/>
    <w:rsid w:val="18D304F1"/>
    <w:rsid w:val="19495E63"/>
    <w:rsid w:val="19F32577"/>
    <w:rsid w:val="19F45B80"/>
    <w:rsid w:val="1A08244B"/>
    <w:rsid w:val="1B0C078D"/>
    <w:rsid w:val="1B2B31E2"/>
    <w:rsid w:val="1B4C295A"/>
    <w:rsid w:val="1B973C63"/>
    <w:rsid w:val="1BA1001E"/>
    <w:rsid w:val="1BC93E64"/>
    <w:rsid w:val="1C7D7E46"/>
    <w:rsid w:val="1D317259"/>
    <w:rsid w:val="1E4744D0"/>
    <w:rsid w:val="1E664F5B"/>
    <w:rsid w:val="1EB34BE1"/>
    <w:rsid w:val="1ED02EE2"/>
    <w:rsid w:val="1F5321E4"/>
    <w:rsid w:val="1F574497"/>
    <w:rsid w:val="1F627BB9"/>
    <w:rsid w:val="1FAA3490"/>
    <w:rsid w:val="1FCD30FB"/>
    <w:rsid w:val="205C29AA"/>
    <w:rsid w:val="20992FDD"/>
    <w:rsid w:val="215E639F"/>
    <w:rsid w:val="21D46644"/>
    <w:rsid w:val="21EC3183"/>
    <w:rsid w:val="220D3C83"/>
    <w:rsid w:val="22231C62"/>
    <w:rsid w:val="225E72CD"/>
    <w:rsid w:val="23383FFF"/>
    <w:rsid w:val="23384A54"/>
    <w:rsid w:val="236C05DA"/>
    <w:rsid w:val="246E2F77"/>
    <w:rsid w:val="248A0CA1"/>
    <w:rsid w:val="254B4E2B"/>
    <w:rsid w:val="2593624D"/>
    <w:rsid w:val="259E7CC7"/>
    <w:rsid w:val="261A7E3F"/>
    <w:rsid w:val="26631D58"/>
    <w:rsid w:val="27181100"/>
    <w:rsid w:val="283D7C94"/>
    <w:rsid w:val="28A2416E"/>
    <w:rsid w:val="29480E03"/>
    <w:rsid w:val="2983634D"/>
    <w:rsid w:val="29906D78"/>
    <w:rsid w:val="29AC1FD3"/>
    <w:rsid w:val="2ABB0720"/>
    <w:rsid w:val="2B547157"/>
    <w:rsid w:val="2BB02055"/>
    <w:rsid w:val="2BEC5442"/>
    <w:rsid w:val="2C575A56"/>
    <w:rsid w:val="2CB12FCD"/>
    <w:rsid w:val="2D300825"/>
    <w:rsid w:val="2E293BF2"/>
    <w:rsid w:val="2E6A7D67"/>
    <w:rsid w:val="2EF02962"/>
    <w:rsid w:val="2F257714"/>
    <w:rsid w:val="2F3275E5"/>
    <w:rsid w:val="2FB83480"/>
    <w:rsid w:val="2FFC5ADD"/>
    <w:rsid w:val="30AA08EF"/>
    <w:rsid w:val="30D23D1C"/>
    <w:rsid w:val="31221CF5"/>
    <w:rsid w:val="31400178"/>
    <w:rsid w:val="317E1D05"/>
    <w:rsid w:val="321E3342"/>
    <w:rsid w:val="3239727E"/>
    <w:rsid w:val="32562ADC"/>
    <w:rsid w:val="327759C8"/>
    <w:rsid w:val="32917FB8"/>
    <w:rsid w:val="33185FE3"/>
    <w:rsid w:val="3341340F"/>
    <w:rsid w:val="3364440F"/>
    <w:rsid w:val="336A0DED"/>
    <w:rsid w:val="341E6BA4"/>
    <w:rsid w:val="34BE262A"/>
    <w:rsid w:val="34CC71CA"/>
    <w:rsid w:val="34EE2E36"/>
    <w:rsid w:val="35372F4A"/>
    <w:rsid w:val="36777241"/>
    <w:rsid w:val="36BF5ED2"/>
    <w:rsid w:val="38A951DB"/>
    <w:rsid w:val="38B31605"/>
    <w:rsid w:val="39003F4F"/>
    <w:rsid w:val="39E0784D"/>
    <w:rsid w:val="39EE59F7"/>
    <w:rsid w:val="3A0948D8"/>
    <w:rsid w:val="3A7C32FC"/>
    <w:rsid w:val="3AB968DF"/>
    <w:rsid w:val="3B4A33FA"/>
    <w:rsid w:val="3B753ABB"/>
    <w:rsid w:val="3B9528C7"/>
    <w:rsid w:val="3C07002B"/>
    <w:rsid w:val="3D0D152A"/>
    <w:rsid w:val="3D9E77DB"/>
    <w:rsid w:val="3DF62756"/>
    <w:rsid w:val="3E1249AB"/>
    <w:rsid w:val="3E630599"/>
    <w:rsid w:val="3F1B7587"/>
    <w:rsid w:val="3F803426"/>
    <w:rsid w:val="3F8C2233"/>
    <w:rsid w:val="3FCC2EC7"/>
    <w:rsid w:val="403E11F2"/>
    <w:rsid w:val="407E6D50"/>
    <w:rsid w:val="416074D3"/>
    <w:rsid w:val="41B521B1"/>
    <w:rsid w:val="41E57B4F"/>
    <w:rsid w:val="432F26F6"/>
    <w:rsid w:val="43880F63"/>
    <w:rsid w:val="441C5A6F"/>
    <w:rsid w:val="44C44FCC"/>
    <w:rsid w:val="44CC7369"/>
    <w:rsid w:val="457F5108"/>
    <w:rsid w:val="468974CC"/>
    <w:rsid w:val="46951B6B"/>
    <w:rsid w:val="47F56E2D"/>
    <w:rsid w:val="490C74D4"/>
    <w:rsid w:val="49A34401"/>
    <w:rsid w:val="49FA4758"/>
    <w:rsid w:val="4A3E30AB"/>
    <w:rsid w:val="4A4F6F19"/>
    <w:rsid w:val="4A595408"/>
    <w:rsid w:val="4AC14DAC"/>
    <w:rsid w:val="4BE55611"/>
    <w:rsid w:val="4D036E51"/>
    <w:rsid w:val="4D154C85"/>
    <w:rsid w:val="4D836D46"/>
    <w:rsid w:val="4E121C24"/>
    <w:rsid w:val="4EC8553A"/>
    <w:rsid w:val="4F4A5459"/>
    <w:rsid w:val="508F4E24"/>
    <w:rsid w:val="51420796"/>
    <w:rsid w:val="51461E90"/>
    <w:rsid w:val="51463753"/>
    <w:rsid w:val="523F2594"/>
    <w:rsid w:val="52553A93"/>
    <w:rsid w:val="53521F8B"/>
    <w:rsid w:val="53E22F47"/>
    <w:rsid w:val="54302FD2"/>
    <w:rsid w:val="54522FF8"/>
    <w:rsid w:val="5486075F"/>
    <w:rsid w:val="549C4376"/>
    <w:rsid w:val="54B9526B"/>
    <w:rsid w:val="55450629"/>
    <w:rsid w:val="55770955"/>
    <w:rsid w:val="56692963"/>
    <w:rsid w:val="568B0F48"/>
    <w:rsid w:val="577C030F"/>
    <w:rsid w:val="5786217B"/>
    <w:rsid w:val="57C93BCD"/>
    <w:rsid w:val="57D32355"/>
    <w:rsid w:val="58677A1D"/>
    <w:rsid w:val="58B6473A"/>
    <w:rsid w:val="59337A15"/>
    <w:rsid w:val="59706686"/>
    <w:rsid w:val="59810274"/>
    <w:rsid w:val="5ACA39F2"/>
    <w:rsid w:val="5B8A3673"/>
    <w:rsid w:val="5CA96A00"/>
    <w:rsid w:val="5CC372E6"/>
    <w:rsid w:val="5CE13766"/>
    <w:rsid w:val="5CF730BC"/>
    <w:rsid w:val="5DB76275"/>
    <w:rsid w:val="5DF34A33"/>
    <w:rsid w:val="5E3C6BDC"/>
    <w:rsid w:val="5E5F0DCE"/>
    <w:rsid w:val="5EF77271"/>
    <w:rsid w:val="5FA40A7B"/>
    <w:rsid w:val="5FC064A3"/>
    <w:rsid w:val="5FD56D29"/>
    <w:rsid w:val="5FD7624B"/>
    <w:rsid w:val="5FEC7F3F"/>
    <w:rsid w:val="601D673D"/>
    <w:rsid w:val="60A13804"/>
    <w:rsid w:val="60D91C87"/>
    <w:rsid w:val="60F74BC3"/>
    <w:rsid w:val="617D3BF8"/>
    <w:rsid w:val="61841F6A"/>
    <w:rsid w:val="618A3461"/>
    <w:rsid w:val="62222A47"/>
    <w:rsid w:val="623007A9"/>
    <w:rsid w:val="637D7558"/>
    <w:rsid w:val="63D54A40"/>
    <w:rsid w:val="644F19AC"/>
    <w:rsid w:val="64680B03"/>
    <w:rsid w:val="6537132A"/>
    <w:rsid w:val="658D4991"/>
    <w:rsid w:val="65AA4920"/>
    <w:rsid w:val="67694F1E"/>
    <w:rsid w:val="687B426A"/>
    <w:rsid w:val="69597934"/>
    <w:rsid w:val="6978591B"/>
    <w:rsid w:val="69A1252E"/>
    <w:rsid w:val="6B3D572E"/>
    <w:rsid w:val="6B964DDC"/>
    <w:rsid w:val="6C783074"/>
    <w:rsid w:val="6D003979"/>
    <w:rsid w:val="6D9E65C6"/>
    <w:rsid w:val="6DA81947"/>
    <w:rsid w:val="6E0C4C5F"/>
    <w:rsid w:val="6E6D600F"/>
    <w:rsid w:val="6EA0255E"/>
    <w:rsid w:val="6EB66DE2"/>
    <w:rsid w:val="6ED3075F"/>
    <w:rsid w:val="6F2A2D4B"/>
    <w:rsid w:val="6F6F1BAD"/>
    <w:rsid w:val="6F8A0C1E"/>
    <w:rsid w:val="6FAB72C9"/>
    <w:rsid w:val="703F45D4"/>
    <w:rsid w:val="7057324C"/>
    <w:rsid w:val="712D6ED1"/>
    <w:rsid w:val="715C3FB7"/>
    <w:rsid w:val="715D6546"/>
    <w:rsid w:val="716A52DB"/>
    <w:rsid w:val="71A7236F"/>
    <w:rsid w:val="71BE069E"/>
    <w:rsid w:val="71E11FAC"/>
    <w:rsid w:val="73953409"/>
    <w:rsid w:val="73E069A3"/>
    <w:rsid w:val="75F04612"/>
    <w:rsid w:val="76487F5B"/>
    <w:rsid w:val="76C22929"/>
    <w:rsid w:val="77CA4A29"/>
    <w:rsid w:val="77D84872"/>
    <w:rsid w:val="77D925F0"/>
    <w:rsid w:val="77D93560"/>
    <w:rsid w:val="78104AA8"/>
    <w:rsid w:val="7839055F"/>
    <w:rsid w:val="787D72C1"/>
    <w:rsid w:val="78E257C5"/>
    <w:rsid w:val="794B35BE"/>
    <w:rsid w:val="7A4F66AC"/>
    <w:rsid w:val="7A601D17"/>
    <w:rsid w:val="7A601F90"/>
    <w:rsid w:val="7B0A3A31"/>
    <w:rsid w:val="7B3360ED"/>
    <w:rsid w:val="7B5319F3"/>
    <w:rsid w:val="7BDF037E"/>
    <w:rsid w:val="7BF50948"/>
    <w:rsid w:val="7CE66A78"/>
    <w:rsid w:val="7D23564C"/>
    <w:rsid w:val="7D5E062D"/>
    <w:rsid w:val="7DBB60B7"/>
    <w:rsid w:val="7DF76CD8"/>
    <w:rsid w:val="7E607B7B"/>
    <w:rsid w:val="7F695C26"/>
    <w:rsid w:val="7F8D20CA"/>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2">
    <w:name w:val="heading 3"/>
    <w:basedOn w:val="1"/>
    <w:next w:val="1"/>
    <w:qFormat/>
    <w:uiPriority w:val="0"/>
    <w:pPr>
      <w:keepNext/>
      <w:keepLines/>
      <w:autoSpaceDE/>
      <w:autoSpaceDN/>
      <w:adjustRightInd/>
      <w:snapToGrid/>
      <w:spacing w:line="360" w:lineRule="auto"/>
      <w:ind w:firstLine="600" w:firstLineChars="200"/>
      <w:outlineLvl w:val="2"/>
    </w:pPr>
    <w:rPr>
      <w:rFonts w:ascii="Times New Roman" w:hAnsi="仿宋" w:eastAsia="黑体" w:cs="Times New Roman"/>
      <w:bCs/>
      <w:spacing w:val="0"/>
      <w:kern w:val="0"/>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Emphasis"/>
    <w:basedOn w:val="8"/>
    <w:qFormat/>
    <w:uiPriority w:val="0"/>
    <w:rPr>
      <w:i/>
    </w:rPr>
  </w:style>
  <w:style w:type="character" w:customStyle="1" w:styleId="10">
    <w:name w:val="页眉 Char"/>
    <w:basedOn w:val="8"/>
    <w:link w:val="5"/>
    <w:qFormat/>
    <w:uiPriority w:val="0"/>
    <w:rPr>
      <w:rFonts w:asciiTheme="minorHAnsi" w:hAnsiTheme="minorHAnsi" w:eastAsiaTheme="minorEastAsia" w:cstheme="minorBidi"/>
      <w:kern w:val="2"/>
      <w:sz w:val="18"/>
      <w:szCs w:val="18"/>
    </w:rPr>
  </w:style>
  <w:style w:type="character" w:customStyle="1" w:styleId="11">
    <w:name w:val="页脚 Char"/>
    <w:basedOn w:val="8"/>
    <w:link w:val="4"/>
    <w:qFormat/>
    <w:uiPriority w:val="0"/>
    <w:rPr>
      <w:rFonts w:asciiTheme="minorHAnsi" w:hAnsiTheme="minorHAnsi" w:eastAsiaTheme="minorEastAsia" w:cstheme="minorBidi"/>
      <w:kern w:val="2"/>
      <w:sz w:val="18"/>
      <w:szCs w:val="18"/>
    </w:rPr>
  </w:style>
  <w:style w:type="paragraph" w:styleId="12">
    <w:name w:val="List Paragraph"/>
    <w:basedOn w:val="1"/>
    <w:qFormat/>
    <w:uiPriority w:val="99"/>
    <w:pPr>
      <w:ind w:firstLine="420" w:firstLineChars="200"/>
    </w:pPr>
  </w:style>
  <w:style w:type="character" w:customStyle="1" w:styleId="13">
    <w:name w:val="font71"/>
    <w:basedOn w:val="8"/>
    <w:qFormat/>
    <w:uiPriority w:val="0"/>
    <w:rPr>
      <w:rFonts w:hint="eastAsia" w:ascii="宋体" w:hAnsi="宋体" w:eastAsia="宋体" w:cs="宋体"/>
      <w:color w:val="000000"/>
      <w:sz w:val="18"/>
      <w:szCs w:val="18"/>
      <w:u w:val="none"/>
    </w:rPr>
  </w:style>
  <w:style w:type="character" w:customStyle="1" w:styleId="14">
    <w:name w:val="font81"/>
    <w:basedOn w:val="8"/>
    <w:qFormat/>
    <w:uiPriority w:val="0"/>
    <w:rPr>
      <w:rFonts w:hint="eastAsia" w:ascii="宋体" w:hAnsi="宋体" w:eastAsia="宋体" w:cs="宋体"/>
      <w:color w:val="000000"/>
      <w:sz w:val="18"/>
      <w:szCs w:val="18"/>
      <w:u w:val="none"/>
    </w:rPr>
  </w:style>
  <w:style w:type="character" w:customStyle="1" w:styleId="15">
    <w:name w:val="font61"/>
    <w:basedOn w:val="8"/>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5" Type="http://schemas.openxmlformats.org/officeDocument/2006/relationships/fontTable" Target="fontTable.xml"/><Relationship Id="rId24" Type="http://schemas.openxmlformats.org/officeDocument/2006/relationships/customXml" Target="../customXml/item1.xml"/><Relationship Id="rId23" Type="http://schemas.openxmlformats.org/officeDocument/2006/relationships/numbering" Target="numbering.xml"/><Relationship Id="rId22" Type="http://schemas.openxmlformats.org/officeDocument/2006/relationships/image" Target="media/image2.png"/><Relationship Id="rId21" Type="http://schemas.openxmlformats.org/officeDocument/2006/relationships/image" Target="media/image1.png"/><Relationship Id="rId20" Type="http://schemas.openxmlformats.org/officeDocument/2006/relationships/chart" Target="charts/chart15.xml"/><Relationship Id="rId2" Type="http://schemas.openxmlformats.org/officeDocument/2006/relationships/settings" Target="settings.xml"/><Relationship Id="rId19" Type="http://schemas.openxmlformats.org/officeDocument/2006/relationships/chart" Target="charts/chart14.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3.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5.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14.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Workbook13.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1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决算收入支出图表</a:t>
            </a:r>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Pt>
            <c:idx val="4"/>
            <c:bubble3D val="0"/>
            <c:spPr>
              <a:solidFill>
                <a:schemeClr val="accent5"/>
              </a:solidFill>
              <a:ln>
                <a:solidFill>
                  <a:schemeClr val="bg1"/>
                </a:solidFill>
              </a:ln>
              <a:effectLst/>
            </c:spPr>
          </c:dPt>
          <c:dPt>
            <c:idx val="5"/>
            <c:bubble3D val="0"/>
            <c:spPr>
              <a:solidFill>
                <a:schemeClr val="accent6"/>
              </a:solidFill>
              <a:ln>
                <a:solidFill>
                  <a:schemeClr val="bg1"/>
                </a:solidFill>
              </a:ln>
              <a:effectLst/>
            </c:spPr>
          </c:dPt>
          <c:dPt>
            <c:idx val="6"/>
            <c:bubble3D val="0"/>
            <c:spPr>
              <a:solidFill>
                <a:schemeClr val="accent1">
                  <a:lumMod val="60000"/>
                </a:schemeClr>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一般公共预算财政拨款收入</c:v>
                </c:pt>
                <c:pt idx="1">
                  <c:v>其他收入</c:v>
                </c:pt>
                <c:pt idx="2">
                  <c:v>国有资本经营预算财政拨款收入</c:v>
                </c:pt>
                <c:pt idx="3">
                  <c:v>事业收入</c:v>
                </c:pt>
                <c:pt idx="4">
                  <c:v>经营收入</c:v>
                </c:pt>
                <c:pt idx="5">
                  <c:v>附属单位上缴收入</c:v>
                </c:pt>
                <c:pt idx="6">
                  <c:v>政府性基金预算财政拨款收入</c:v>
                </c:pt>
              </c:strCache>
            </c:strRef>
          </c:cat>
          <c:val>
            <c:numRef>
              <c:f>Sheet1!$B$2:$B$8</c:f>
              <c:numCache>
                <c:formatCode>General</c:formatCode>
                <c:ptCount val="7"/>
                <c:pt idx="0">
                  <c:v>665.03</c:v>
                </c:pt>
                <c:pt idx="1">
                  <c:v>0</c:v>
                </c:pt>
                <c:pt idx="2">
                  <c:v>0</c:v>
                </c:pt>
                <c:pt idx="3">
                  <c:v>0</c:v>
                </c:pt>
                <c:pt idx="4">
                  <c:v>0</c:v>
                </c:pt>
                <c:pt idx="5">
                  <c:v>0</c:v>
                </c:pt>
                <c:pt idx="6">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Sheet1!$A$2:$A$14</c:f>
              <c:numCache>
                <c:formatCode>General</c:formatCod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numCache>
            </c:numRef>
          </c:cat>
          <c:val>
            <c:numRef>
              <c:f>Sheet1!$B$2:$B$14</c:f>
              <c:numCache>
                <c:formatCode>General</c:formatCode>
                <c:ptCount val="13"/>
                <c:pt idx="0">
                  <c:v>73.72</c:v>
                </c:pt>
                <c:pt idx="1">
                  <c:v>59.54</c:v>
                </c:pt>
                <c:pt idx="2">
                  <c:v>71.33</c:v>
                </c:pt>
                <c:pt idx="3">
                  <c:v>4.4</c:v>
                </c:pt>
                <c:pt idx="4">
                  <c:v>15.62</c:v>
                </c:pt>
                <c:pt idx="5">
                  <c:v>31.16</c:v>
                </c:pt>
                <c:pt idx="6">
                  <c:v>0</c:v>
                </c:pt>
                <c:pt idx="7">
                  <c:v>12.98</c:v>
                </c:pt>
                <c:pt idx="8">
                  <c:v>0</c:v>
                </c:pt>
                <c:pt idx="9">
                  <c:v>1.36</c:v>
                </c:pt>
                <c:pt idx="10">
                  <c:v>23.25</c:v>
                </c:pt>
                <c:pt idx="11">
                  <c:v>0</c:v>
                </c:pt>
                <c:pt idx="12">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Sheet1!$A$2:$A$28</c:f>
              <c:numCache>
                <c:formatCode>General</c:formatCod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numCache>
            </c:numRef>
          </c:cat>
          <c:val>
            <c:numRef>
              <c:f>Sheet1!$B$2:$B$28</c:f>
              <c:numCache>
                <c:formatCode>General</c:formatCode>
                <c:ptCount val="27"/>
                <c:pt idx="0">
                  <c:v>7.42</c:v>
                </c:pt>
                <c:pt idx="1">
                  <c:v>0</c:v>
                </c:pt>
                <c:pt idx="2">
                  <c:v>0</c:v>
                </c:pt>
                <c:pt idx="3">
                  <c:v>0</c:v>
                </c:pt>
                <c:pt idx="4">
                  <c:v>0.36</c:v>
                </c:pt>
                <c:pt idx="5">
                  <c:v>2.02</c:v>
                </c:pt>
                <c:pt idx="6">
                  <c:v>0.01</c:v>
                </c:pt>
                <c:pt idx="7">
                  <c:v>0</c:v>
                </c:pt>
                <c:pt idx="8">
                  <c:v>0</c:v>
                </c:pt>
                <c:pt idx="9">
                  <c:v>2.05</c:v>
                </c:pt>
                <c:pt idx="10">
                  <c:v>0</c:v>
                </c:pt>
                <c:pt idx="11">
                  <c:v>0</c:v>
                </c:pt>
                <c:pt idx="12">
                  <c:v>0</c:v>
                </c:pt>
                <c:pt idx="13">
                  <c:v>0.55</c:v>
                </c:pt>
                <c:pt idx="15">
                  <c:v>0</c:v>
                </c:pt>
                <c:pt idx="16">
                  <c:v>0</c:v>
                </c:pt>
                <c:pt idx="17">
                  <c:v>0</c:v>
                </c:pt>
                <c:pt idx="18">
                  <c:v>0</c:v>
                </c:pt>
                <c:pt idx="19">
                  <c:v>0</c:v>
                </c:pt>
                <c:pt idx="20">
                  <c:v>0</c:v>
                </c:pt>
                <c:pt idx="21">
                  <c:v>4.05</c:v>
                </c:pt>
                <c:pt idx="22">
                  <c:v>0</c:v>
                </c:pt>
                <c:pt idx="23">
                  <c:v>4.89</c:v>
                </c:pt>
                <c:pt idx="24">
                  <c:v>0</c:v>
                </c:pt>
                <c:pt idx="25">
                  <c:v>0</c:v>
                </c:pt>
                <c:pt idx="26">
                  <c:v>0.17</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numCache>
            </c:numRef>
          </c:cat>
          <c:val>
            <c:numRef>
              <c:f>Sheet1!$B$2:$B$13</c:f>
              <c:numCache>
                <c:formatCode>General</c:formatCode>
                <c:ptCount val="12"/>
                <c:pt idx="0">
                  <c:v>0</c:v>
                </c:pt>
                <c:pt idx="1">
                  <c:v>0</c:v>
                </c:pt>
                <c:pt idx="2">
                  <c:v>0</c:v>
                </c:pt>
                <c:pt idx="3">
                  <c:v>0</c:v>
                </c:pt>
                <c:pt idx="4">
                  <c:v>69.84</c:v>
                </c:pt>
                <c:pt idx="5">
                  <c:v>0</c:v>
                </c:pt>
                <c:pt idx="6">
                  <c:v>0</c:v>
                </c:pt>
                <c:pt idx="7">
                  <c:v>0</c:v>
                </c:pt>
                <c:pt idx="8">
                  <c:v>0</c:v>
                </c:pt>
                <c:pt idx="9">
                  <c:v>0</c:v>
                </c:pt>
                <c:pt idx="10">
                  <c:v>0</c:v>
                </c:pt>
                <c:pt idx="1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30701</c:v>
                </c:pt>
                <c:pt idx="1">
                  <c:v>30702</c:v>
                </c:pt>
              </c:strCache>
            </c:str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Sheet1!$A$2:$A$17</c:f>
              <c:strCach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strCache>
            </c:str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39907</c:v>
                </c:pt>
                <c:pt idx="1">
                  <c:v>39908</c:v>
                </c:pt>
                <c:pt idx="2">
                  <c:v>39909</c:v>
                </c:pt>
                <c:pt idx="3">
                  <c:v>39910</c:v>
                </c:pt>
                <c:pt idx="4">
                  <c:v>39999</c:v>
                </c:pt>
              </c:strCache>
            </c:str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Sheet1!$A$2:$A$8</c:f>
              <c:strCache>
                <c:ptCount val="7"/>
                <c:pt idx="0">
                  <c:v>一般公共服务支出</c:v>
                </c:pt>
                <c:pt idx="1">
                  <c:v>社会保障和就业支出</c:v>
                </c:pt>
                <c:pt idx="2">
                  <c:v>城乡社区支出</c:v>
                </c:pt>
                <c:pt idx="3">
                  <c:v>农林水支出</c:v>
                </c:pt>
                <c:pt idx="4">
                  <c:v>住房保障支出</c:v>
                </c:pt>
                <c:pt idx="5">
                  <c:v>资源勘探工业信息等支出</c:v>
                </c:pt>
                <c:pt idx="6">
                  <c:v>其他支出</c:v>
                </c:pt>
              </c:strCache>
            </c:strRef>
          </c:cat>
          <c:val>
            <c:numRef>
              <c:f>Sheet1!$B$2:$B$8</c:f>
              <c:numCache>
                <c:formatCode>General</c:formatCode>
                <c:ptCount val="7"/>
                <c:pt idx="0">
                  <c:v>6.35</c:v>
                </c:pt>
                <c:pt idx="1">
                  <c:v>132.33</c:v>
                </c:pt>
                <c:pt idx="2">
                  <c:v>12.01</c:v>
                </c:pt>
                <c:pt idx="3">
                  <c:v>53.63</c:v>
                </c:pt>
                <c:pt idx="4">
                  <c:v>23.83</c:v>
                </c:pt>
                <c:pt idx="5">
                  <c:v>346.47</c:v>
                </c:pt>
                <c:pt idx="6">
                  <c:v>73.76</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Sheet1!$A$2:$A$8</c:f>
              <c:strCache>
                <c:ptCount val="7"/>
                <c:pt idx="0">
                  <c:v>一般公共服务支出</c:v>
                </c:pt>
                <c:pt idx="1">
                  <c:v>社会保障和就业支出</c:v>
                </c:pt>
                <c:pt idx="2">
                  <c:v>城乡社区支出</c:v>
                </c:pt>
                <c:pt idx="3">
                  <c:v>农林水支出</c:v>
                </c:pt>
                <c:pt idx="4">
                  <c:v>住房保障支出</c:v>
                </c:pt>
                <c:pt idx="5">
                  <c:v>资源勘探工业信息等支出</c:v>
                </c:pt>
                <c:pt idx="6">
                  <c:v>其他支出</c:v>
                </c:pt>
              </c:strCache>
            </c:strRef>
          </c:cat>
          <c:val>
            <c:numRef>
              <c:f>Sheet1!$C$2:$C$8</c:f>
              <c:numCache>
                <c:formatCode>General</c:formatCode>
                <c:ptCount val="7"/>
                <c:pt idx="0">
                  <c:v>7.27</c:v>
                </c:pt>
                <c:pt idx="1">
                  <c:v>129.95</c:v>
                </c:pt>
                <c:pt idx="2">
                  <c:v>49.63</c:v>
                </c:pt>
                <c:pt idx="3">
                  <c:v>57.39</c:v>
                </c:pt>
                <c:pt idx="4">
                  <c:v>23.25</c:v>
                </c:pt>
                <c:pt idx="5">
                  <c:v>345.2</c:v>
                </c:pt>
                <c:pt idx="6">
                  <c:v>52.33</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altLang="en-US"/>
              <a:t>一般公共服务支出</a:t>
            </a:r>
            <a:endParaRPr alt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Sheet1!$A$2:$A$5</c:f>
              <c:numCache>
                <c:formatCode>General</c:formatCode>
                <c:ptCount val="4"/>
                <c:pt idx="0">
                  <c:v>2010301</c:v>
                </c:pt>
                <c:pt idx="1">
                  <c:v>2012999</c:v>
                </c:pt>
                <c:pt idx="2">
                  <c:v>2013202</c:v>
                </c:pt>
                <c:pt idx="3">
                  <c:v>2013601</c:v>
                </c:pt>
              </c:numCache>
            </c:numRef>
          </c:cat>
          <c:val>
            <c:numRef>
              <c:f>Sheet1!$B$2:$B$5</c:f>
              <c:numCache>
                <c:formatCode>General</c:formatCode>
                <c:ptCount val="4"/>
                <c:pt idx="0">
                  <c:v>0.75</c:v>
                </c:pt>
                <c:pt idx="1">
                  <c:v>4.05</c:v>
                </c:pt>
                <c:pt idx="2">
                  <c:v>1.5</c:v>
                </c:pt>
                <c:pt idx="3">
                  <c:v>0.97</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altLang="en-US"/>
              <a:t>社会保障和就业支出</a:t>
            </a:r>
            <a:endParaRPr alt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Sheet1!$A$2:$A$3</c:f>
              <c:numCache>
                <c:formatCode>General</c:formatCode>
                <c:ptCount val="2"/>
                <c:pt idx="0">
                  <c:v>2080505</c:v>
                </c:pt>
                <c:pt idx="1">
                  <c:v>2089999</c:v>
                </c:pt>
              </c:numCache>
            </c:numRef>
          </c:cat>
          <c:val>
            <c:numRef>
              <c:f>Sheet1!$B$2:$B$3</c:f>
              <c:numCache>
                <c:formatCode>General</c:formatCode>
                <c:ptCount val="2"/>
                <c:pt idx="0">
                  <c:v>31.16</c:v>
                </c:pt>
                <c:pt idx="1">
                  <c:v>98.79</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altLang="en-US"/>
              <a:t>城乡社区支出</a:t>
            </a:r>
            <a:endParaRPr alt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c:f>
              <c:numCache>
                <c:formatCode>General</c:formatCode>
                <c:ptCount val="1"/>
                <c:pt idx="0">
                  <c:v>2129999</c:v>
                </c:pt>
              </c:numCache>
            </c:numRef>
          </c:cat>
          <c:val>
            <c:numRef>
              <c:f>Sheet1!$B$2</c:f>
              <c:numCache>
                <c:formatCode>General</c:formatCode>
                <c:ptCount val="1"/>
                <c:pt idx="0">
                  <c:v>49.63</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altLang="en-US"/>
              <a:t>农林水</a:t>
            </a:r>
            <a:r>
              <a:rPr lang="en-US"/>
              <a:t>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c:f>
              <c:numCache>
                <c:formatCode>General</c:formatCode>
                <c:ptCount val="1"/>
                <c:pt idx="0">
                  <c:v>2130705</c:v>
                </c:pt>
              </c:numCache>
            </c:numRef>
          </c:cat>
          <c:val>
            <c:numRef>
              <c:f>Sheet1!$B$2</c:f>
              <c:numCache>
                <c:formatCode>General</c:formatCode>
                <c:ptCount val="1"/>
                <c:pt idx="0">
                  <c:v>57.39</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altLang="en-US"/>
              <a:t>资源勘探工业信息等</a:t>
            </a:r>
            <a:r>
              <a:rPr lang="en-US"/>
              <a:t>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Sheet1!$A$2:$A$3</c:f>
              <c:numCache>
                <c:formatCode>General</c:formatCode>
                <c:ptCount val="2"/>
                <c:pt idx="0">
                  <c:v>2150199</c:v>
                </c:pt>
                <c:pt idx="1">
                  <c:v>2159999</c:v>
                </c:pt>
              </c:numCache>
            </c:numRef>
          </c:cat>
          <c:val>
            <c:numRef>
              <c:f>Sheet1!$B$2:$B$3</c:f>
              <c:numCache>
                <c:formatCode>General</c:formatCode>
                <c:ptCount val="2"/>
                <c:pt idx="0">
                  <c:v>215.7</c:v>
                </c:pt>
                <c:pt idx="1">
                  <c:v>129.5</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altLang="en-US"/>
              <a:t>住房保障支出</a:t>
            </a:r>
            <a:r>
              <a:rPr lang="en-US"/>
              <a:t>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c:f>
              <c:numCache>
                <c:formatCode>General</c:formatCode>
                <c:ptCount val="1"/>
                <c:pt idx="0">
                  <c:v>2210201</c:v>
                </c:pt>
              </c:numCache>
            </c:numRef>
          </c:cat>
          <c:val>
            <c:numRef>
              <c:f>Sheet1!$B$2</c:f>
              <c:numCache>
                <c:formatCode>General</c:formatCode>
                <c:ptCount val="1"/>
                <c:pt idx="0">
                  <c:v>23.25</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altLang="en-US"/>
              <a:t>其他</a:t>
            </a:r>
            <a:r>
              <a:rPr lang="en-US"/>
              <a:t>支出</a:t>
            </a:r>
            <a:endParaRPr lang="en-US" sz="1100"/>
          </a:p>
        </c:rich>
      </c:tx>
      <c:layout>
        <c:manualLayout>
          <c:xMode val="edge"/>
          <c:yMode val="edge"/>
          <c:x val="0.387186036611324"/>
          <c:y val="0.0148104265402844"/>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c:f>
              <c:numCache>
                <c:formatCode>General</c:formatCode>
                <c:ptCount val="1"/>
                <c:pt idx="0">
                  <c:v>2299999</c:v>
                </c:pt>
              </c:numCache>
            </c:numRef>
          </c:cat>
          <c:val>
            <c:numRef>
              <c:f>Sheet1!$B$2</c:f>
              <c:numCache>
                <c:formatCode>General</c:formatCode>
                <c:ptCount val="1"/>
                <c:pt idx="0">
                  <c:v>52.33</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83">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6678</Words>
  <Characters>13912</Characters>
  <Lines>90</Lines>
  <Paragraphs>25</Paragraphs>
  <TotalTime>0</TotalTime>
  <ScaleCrop>false</ScaleCrop>
  <LinksUpToDate>false</LinksUpToDate>
  <CharactersWithSpaces>14005</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cp:lastPrinted>2023-11-16T10:06:00Z</cp:lastPrinted>
  <dcterms:modified xsi:type="dcterms:W3CDTF">2023-11-23T09:12:02Z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16A5E58A4C184A0F8AAD5879DBB8AF73</vt:lpwstr>
  </property>
</Properties>
</file>