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52"/>
          <w:szCs w:val="52"/>
          <w:highlight w:val="none"/>
        </w:rPr>
      </w:pPr>
      <w:r>
        <w:rPr>
          <w:rFonts w:hint="eastAsia" w:ascii="黑体" w:hAnsi="黑体" w:eastAsia="黑体" w:cs="黑体"/>
          <w:b/>
          <w:bCs/>
          <w:sz w:val="52"/>
          <w:szCs w:val="52"/>
          <w:highlight w:val="none"/>
        </w:rPr>
        <w:t>河池·环江工业园区管理委员会2022年度部门决算</w:t>
      </w:r>
    </w:p>
    <w:p>
      <w:pPr>
        <w:jc w:val="center"/>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2023年</w:t>
      </w:r>
      <w:r>
        <w:rPr>
          <w:rFonts w:hint="eastAsia" w:ascii="黑体" w:hAnsi="黑体" w:eastAsia="黑体" w:cs="黑体"/>
          <w:b/>
          <w:bCs/>
          <w:sz w:val="36"/>
          <w:szCs w:val="36"/>
          <w:highlight w:val="none"/>
          <w:lang w:val="en-US" w:eastAsia="zh-CN"/>
        </w:rPr>
        <w:t>10</w:t>
      </w:r>
      <w:r>
        <w:rPr>
          <w:rFonts w:hint="eastAsia" w:ascii="黑体" w:hAnsi="黑体" w:eastAsia="黑体" w:cs="黑体"/>
          <w:b/>
          <w:bCs/>
          <w:sz w:val="36"/>
          <w:szCs w:val="36"/>
          <w:highlight w:val="none"/>
        </w:rPr>
        <w:t>月</w:t>
      </w:r>
    </w:p>
    <w:p>
      <w:pPr>
        <w:rPr>
          <w:rFonts w:ascii="仿宋" w:hAnsi="仿宋" w:eastAsia="仿宋" w:cs="仿宋"/>
          <w:sz w:val="32"/>
          <w:szCs w:val="32"/>
          <w:highlight w:val="none"/>
        </w:rPr>
      </w:pPr>
      <w:r>
        <w:rPr>
          <w:rFonts w:ascii="仿宋" w:hAnsi="仿宋" w:eastAsia="仿宋" w:cs="仿宋"/>
          <w:sz w:val="32"/>
          <w:szCs w:val="32"/>
          <w:highlight w:val="none"/>
        </w:rPr>
        <w:br w:type="page"/>
      </w: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目</w:t>
      </w:r>
      <w:r>
        <w:rPr>
          <w:rFonts w:hint="eastAsia" w:ascii="黑体" w:hAnsi="黑体" w:eastAsia="黑体" w:cs="黑体"/>
          <w:b/>
          <w:bCs/>
          <w:sz w:val="36"/>
          <w:szCs w:val="36"/>
          <w:highlight w:val="none"/>
          <w:lang w:val="en-US" w:eastAsia="zh-CN"/>
        </w:rPr>
        <w:t xml:space="preserve">  </w:t>
      </w:r>
      <w:r>
        <w:rPr>
          <w:rFonts w:hint="eastAsia" w:ascii="黑体" w:hAnsi="黑体" w:eastAsia="黑体" w:cs="黑体"/>
          <w:b/>
          <w:bCs/>
          <w:sz w:val="36"/>
          <w:szCs w:val="36"/>
          <w:highlight w:val="none"/>
        </w:rPr>
        <w:t xml:space="preserve"> 录</w:t>
      </w:r>
    </w:p>
    <w:p>
      <w:pPr>
        <w:jc w:val="left"/>
        <w:rPr>
          <w:rFonts w:ascii="黑体" w:hAnsi="黑体" w:eastAsia="黑体" w:cs="黑体"/>
          <w:b/>
          <w:bCs/>
          <w:sz w:val="36"/>
          <w:szCs w:val="36"/>
          <w:highlight w:val="none"/>
        </w:rPr>
      </w:pP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第一部分：</w:t>
      </w:r>
      <w:r>
        <w:rPr>
          <w:rFonts w:ascii="黑体" w:hAnsi="黑体" w:eastAsia="黑体" w:cs="黑体"/>
          <w:sz w:val="32"/>
          <w:u w:color="auto"/>
        </w:rPr>
        <w:t>河池·环江工业园区管理委员会</w:t>
      </w:r>
      <w:r>
        <w:rPr>
          <w:rFonts w:hint="eastAsia" w:ascii="黑体" w:hAnsi="黑体" w:eastAsia="黑体" w:cs="黑体"/>
          <w:sz w:val="32"/>
          <w:szCs w:val="32"/>
          <w:highlight w:val="none"/>
        </w:rPr>
        <w:t>概况</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一、主要职能</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二、部门决算单位构成</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ascii="黑体" w:hAnsi="黑体" w:eastAsia="黑体" w:cs="黑体"/>
          <w:sz w:val="32"/>
          <w:u w:color="auto"/>
        </w:rPr>
        <w:t>河池·环江工业园区管理委员会</w:t>
      </w:r>
      <w:r>
        <w:rPr>
          <w:rFonts w:hint="eastAsia" w:ascii="黑体" w:hAnsi="黑体" w:eastAsia="黑体" w:cs="黑体"/>
          <w:sz w:val="32"/>
          <w:szCs w:val="32"/>
          <w:highlight w:val="none"/>
        </w:rPr>
        <w:t>2022年度部门决算报表</w:t>
      </w:r>
    </w:p>
    <w:p>
      <w:pPr>
        <w:rPr>
          <w:rFonts w:hint="eastAsia" w:ascii="FangSong_GB2312" w:eastAsia="FangSong_GB2312"/>
          <w:sz w:val="32"/>
          <w:szCs w:val="32"/>
          <w:highlight w:val="none"/>
        </w:rPr>
      </w:pPr>
      <w:r>
        <w:rPr>
          <w:rFonts w:hint="eastAsia" w:ascii="FangSong_GB2312" w:eastAsia="FangSong_GB2312"/>
          <w:sz w:val="32"/>
          <w:szCs w:val="32"/>
          <w:highlight w:val="none"/>
        </w:rPr>
        <w:t>表一：收入支出决算总表</w:t>
      </w:r>
    </w:p>
    <w:p>
      <w:pPr>
        <w:rPr>
          <w:rFonts w:hint="eastAsia" w:ascii="FangSong_GB2312" w:eastAsia="FangSong_GB2312"/>
          <w:sz w:val="32"/>
          <w:szCs w:val="32"/>
          <w:highlight w:val="none"/>
        </w:rPr>
      </w:pPr>
      <w:r>
        <w:rPr>
          <w:rFonts w:hint="eastAsia" w:ascii="FangSong_GB2312" w:eastAsia="FangSong_GB2312"/>
          <w:sz w:val="32"/>
          <w:szCs w:val="32"/>
          <w:highlight w:val="none"/>
        </w:rPr>
        <w:t>表二：收入决算表</w:t>
      </w:r>
    </w:p>
    <w:p>
      <w:pPr>
        <w:rPr>
          <w:rFonts w:hint="eastAsia" w:ascii="FangSong_GB2312" w:eastAsia="FangSong_GB2312"/>
          <w:sz w:val="32"/>
          <w:szCs w:val="32"/>
          <w:highlight w:val="none"/>
        </w:rPr>
      </w:pPr>
      <w:r>
        <w:rPr>
          <w:rFonts w:hint="eastAsia" w:ascii="FangSong_GB2312" w:eastAsia="FangSong_GB2312"/>
          <w:sz w:val="32"/>
          <w:szCs w:val="32"/>
          <w:highlight w:val="none"/>
        </w:rPr>
        <w:t>表三：支出决算表</w:t>
      </w:r>
    </w:p>
    <w:p>
      <w:pPr>
        <w:rPr>
          <w:rFonts w:hint="eastAsia" w:ascii="FangSong_GB2312" w:eastAsia="FangSong_GB2312"/>
          <w:sz w:val="32"/>
          <w:szCs w:val="32"/>
          <w:highlight w:val="none"/>
        </w:rPr>
      </w:pPr>
      <w:r>
        <w:rPr>
          <w:rFonts w:hint="eastAsia" w:ascii="FangSong_GB2312" w:eastAsia="FangSong_GB2312"/>
          <w:sz w:val="32"/>
          <w:szCs w:val="32"/>
          <w:highlight w:val="none"/>
        </w:rPr>
        <w:t>表四：财政拨款收入支出决算总表</w:t>
      </w:r>
    </w:p>
    <w:p>
      <w:pPr>
        <w:rPr>
          <w:rFonts w:hint="eastAsia" w:ascii="FangSong_GB2312" w:eastAsia="FangSong_GB2312"/>
          <w:sz w:val="32"/>
          <w:szCs w:val="32"/>
          <w:highlight w:val="none"/>
        </w:rPr>
      </w:pPr>
      <w:r>
        <w:rPr>
          <w:rFonts w:hint="eastAsia" w:ascii="FangSong_GB2312" w:eastAsia="FangSong_GB2312"/>
          <w:sz w:val="32"/>
          <w:szCs w:val="32"/>
          <w:highlight w:val="none"/>
        </w:rPr>
        <w:t>表五：一般公共预算财政拨款支出决算表</w:t>
      </w:r>
    </w:p>
    <w:p>
      <w:pPr>
        <w:rPr>
          <w:rFonts w:hint="eastAsia" w:ascii="FangSong_GB2312" w:eastAsia="FangSong_GB2312"/>
          <w:sz w:val="32"/>
          <w:szCs w:val="32"/>
          <w:highlight w:val="none"/>
        </w:rPr>
      </w:pPr>
      <w:r>
        <w:rPr>
          <w:rFonts w:hint="eastAsia" w:ascii="FangSong_GB2312" w:eastAsia="FangSong_GB2312"/>
          <w:sz w:val="32"/>
          <w:szCs w:val="32"/>
          <w:highlight w:val="none"/>
        </w:rPr>
        <w:t>表六：一般公共预算财政拨款基本支出决算明细表</w:t>
      </w:r>
    </w:p>
    <w:p>
      <w:pPr>
        <w:rPr>
          <w:rFonts w:hint="eastAsia" w:ascii="FangSong_GB2312" w:eastAsia="FangSong_GB2312"/>
          <w:sz w:val="32"/>
          <w:szCs w:val="32"/>
          <w:highlight w:val="none"/>
        </w:rPr>
      </w:pPr>
      <w:r>
        <w:rPr>
          <w:rFonts w:hint="eastAsia" w:ascii="FangSong_GB2312" w:eastAsia="FangSong_GB2312"/>
          <w:sz w:val="32"/>
          <w:szCs w:val="32"/>
          <w:highlight w:val="none"/>
        </w:rPr>
        <w:t>表七：政府性基金</w:t>
      </w:r>
      <w:r>
        <w:rPr>
          <w:rFonts w:hint="eastAsia" w:ascii="FangSong_GB2312" w:hAnsi="黑体" w:eastAsia="FangSong_GB2312"/>
          <w:sz w:val="32"/>
          <w:szCs w:val="32"/>
          <w:highlight w:val="none"/>
        </w:rPr>
        <w:t>预算财政拨款</w:t>
      </w:r>
      <w:r>
        <w:rPr>
          <w:rFonts w:hint="eastAsia" w:ascii="FangSong_GB2312" w:eastAsia="FangSong_GB2312"/>
          <w:sz w:val="32"/>
          <w:szCs w:val="32"/>
          <w:highlight w:val="none"/>
        </w:rPr>
        <w:t>收入支出决算表</w:t>
      </w:r>
    </w:p>
    <w:p>
      <w:pPr>
        <w:rPr>
          <w:rFonts w:hint="eastAsia" w:ascii="FangSong_GB2312" w:eastAsia="FangSong_GB2312"/>
          <w:sz w:val="32"/>
          <w:szCs w:val="32"/>
          <w:highlight w:val="none"/>
        </w:rPr>
      </w:pPr>
      <w:r>
        <w:rPr>
          <w:rFonts w:hint="eastAsia" w:ascii="FangSong_GB2312" w:eastAsia="FangSong_GB2312"/>
          <w:sz w:val="32"/>
          <w:szCs w:val="32"/>
          <w:highlight w:val="none"/>
        </w:rPr>
        <w:t>表八：国有资本经营预算</w:t>
      </w:r>
      <w:r>
        <w:rPr>
          <w:rFonts w:hint="eastAsia" w:ascii="FangSong_GB2312" w:hAnsi="黑体" w:eastAsia="FangSong_GB2312"/>
          <w:sz w:val="32"/>
          <w:szCs w:val="32"/>
          <w:highlight w:val="none"/>
        </w:rPr>
        <w:t>财政拨款</w:t>
      </w:r>
      <w:r>
        <w:rPr>
          <w:rFonts w:hint="eastAsia" w:ascii="FangSong_GB2312" w:eastAsia="FangSong_GB2312"/>
          <w:sz w:val="32"/>
          <w:szCs w:val="32"/>
          <w:highlight w:val="none"/>
        </w:rPr>
        <w:t>支出决算表</w:t>
      </w:r>
    </w:p>
    <w:p>
      <w:pPr>
        <w:rPr>
          <w:rFonts w:hint="eastAsia" w:ascii="FangSong_GB2312" w:eastAsia="FangSong_GB2312"/>
          <w:sz w:val="32"/>
          <w:szCs w:val="32"/>
          <w:highlight w:val="none"/>
        </w:rPr>
      </w:pPr>
      <w:r>
        <w:rPr>
          <w:rFonts w:hint="eastAsia" w:ascii="FangSong_GB2312" w:eastAsia="FangSong_GB2312"/>
          <w:sz w:val="32"/>
          <w:szCs w:val="32"/>
          <w:highlight w:val="none"/>
        </w:rPr>
        <w:t>表九：财政拨款“三公”经费支出决算表</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ascii="黑体" w:hAnsi="黑体" w:eastAsia="黑体" w:cs="黑体"/>
          <w:sz w:val="32"/>
          <w:u w:color="auto"/>
        </w:rPr>
        <w:t>河池·环江工业园区管理委员会</w:t>
      </w:r>
      <w:r>
        <w:rPr>
          <w:rFonts w:hint="eastAsia" w:ascii="黑体" w:hAnsi="黑体" w:eastAsia="黑体" w:cs="黑体"/>
          <w:sz w:val="32"/>
          <w:szCs w:val="32"/>
          <w:highlight w:val="none"/>
        </w:rPr>
        <w:t>2022年度部门决算情况说明</w:t>
      </w:r>
    </w:p>
    <w:p>
      <w:pPr>
        <w:autoSpaceDE w:val="0"/>
        <w:autoSpaceDN w:val="0"/>
        <w:adjustRightInd w:val="0"/>
        <w:jc w:val="left"/>
        <w:rPr>
          <w:rFonts w:hint="eastAsia" w:ascii="FangSong_GB2312" w:eastAsia="FangSong_GB2312" w:cs="FangSong_GB2312"/>
          <w:kern w:val="0"/>
          <w:sz w:val="32"/>
          <w:szCs w:val="32"/>
          <w:highlight w:val="none"/>
        </w:rPr>
      </w:pPr>
      <w:r>
        <w:rPr>
          <w:rFonts w:hint="eastAsia" w:ascii="FangSong_GB2312" w:eastAsia="FangSong_GB2312" w:cs="FangSong_GB2312"/>
          <w:kern w:val="0"/>
          <w:sz w:val="32"/>
          <w:szCs w:val="32"/>
          <w:highlight w:val="none"/>
        </w:rPr>
        <w:t>一、</w:t>
      </w:r>
      <w:r>
        <w:rPr>
          <w:rFonts w:hint="eastAsia" w:ascii="FangSong_GB2312" w:eastAsia="FangSong_GB2312"/>
          <w:kern w:val="0"/>
          <w:sz w:val="32"/>
          <w:szCs w:val="32"/>
          <w:highlight w:val="none"/>
        </w:rPr>
        <w:t>202</w:t>
      </w:r>
      <w:r>
        <w:rPr>
          <w:rFonts w:hint="eastAsia" w:ascii="FangSong_GB2312" w:eastAsia="FangSong_GB2312"/>
          <w:kern w:val="0"/>
          <w:sz w:val="32"/>
          <w:szCs w:val="32"/>
          <w:highlight w:val="none"/>
          <w:lang w:val="en-US" w:eastAsia="zh-CN"/>
        </w:rPr>
        <w:t>2</w:t>
      </w:r>
      <w:r>
        <w:rPr>
          <w:rFonts w:hint="eastAsia" w:ascii="FangSong_GB2312" w:eastAsia="FangSong_GB2312" w:cs="FangSong_GB2312"/>
          <w:kern w:val="0"/>
          <w:sz w:val="32"/>
          <w:szCs w:val="32"/>
          <w:highlight w:val="none"/>
        </w:rPr>
        <w:t>年度收入支出决算总体情况。</w:t>
      </w:r>
    </w:p>
    <w:p>
      <w:pPr>
        <w:autoSpaceDE w:val="0"/>
        <w:autoSpaceDN w:val="0"/>
        <w:adjustRightInd w:val="0"/>
        <w:jc w:val="left"/>
        <w:rPr>
          <w:rFonts w:hint="eastAsia" w:ascii="FangSong_GB2312" w:eastAsia="FangSong_GB2312" w:cs="FangSong_GB2312"/>
          <w:kern w:val="0"/>
          <w:sz w:val="32"/>
          <w:szCs w:val="32"/>
          <w:highlight w:val="none"/>
        </w:rPr>
      </w:pPr>
      <w:r>
        <w:rPr>
          <w:rFonts w:hint="eastAsia" w:ascii="FangSong_GB2312" w:eastAsia="FangSong_GB2312" w:cs="FangSong_GB2312"/>
          <w:kern w:val="0"/>
          <w:sz w:val="32"/>
          <w:szCs w:val="32"/>
          <w:highlight w:val="none"/>
        </w:rPr>
        <w:t>二、</w:t>
      </w:r>
      <w:r>
        <w:rPr>
          <w:rFonts w:hint="eastAsia" w:ascii="FangSong_GB2312" w:eastAsia="FangSong_GB2312"/>
          <w:kern w:val="0"/>
          <w:sz w:val="32"/>
          <w:szCs w:val="32"/>
          <w:highlight w:val="none"/>
        </w:rPr>
        <w:t>20</w:t>
      </w:r>
      <w:r>
        <w:rPr>
          <w:rFonts w:hint="eastAsia" w:ascii="FangSong_GB2312" w:eastAsia="FangSong_GB2312"/>
          <w:kern w:val="0"/>
          <w:sz w:val="32"/>
          <w:szCs w:val="32"/>
          <w:highlight w:val="none"/>
          <w:lang w:val="en-US" w:eastAsia="zh-CN"/>
        </w:rPr>
        <w:t>22</w:t>
      </w:r>
      <w:r>
        <w:rPr>
          <w:rFonts w:hint="eastAsia" w:ascii="FangSong_GB2312" w:eastAsia="FangSong_GB2312" w:cs="FangSong_GB2312"/>
          <w:kern w:val="0"/>
          <w:sz w:val="32"/>
          <w:szCs w:val="32"/>
          <w:highlight w:val="none"/>
        </w:rPr>
        <w:t>年度</w:t>
      </w:r>
      <w:r>
        <w:rPr>
          <w:rFonts w:hint="eastAsia" w:ascii="FangSong_GB2312" w:eastAsia="FangSong_GB2312"/>
          <w:sz w:val="32"/>
          <w:szCs w:val="32"/>
          <w:highlight w:val="none"/>
        </w:rPr>
        <w:t>一般</w:t>
      </w:r>
      <w:r>
        <w:rPr>
          <w:rFonts w:hint="eastAsia" w:ascii="FangSong_GB2312" w:eastAsia="FangSong_GB2312" w:cs="FangSong_GB2312"/>
          <w:kern w:val="0"/>
          <w:sz w:val="32"/>
          <w:szCs w:val="32"/>
          <w:highlight w:val="none"/>
        </w:rPr>
        <w:t>公共预算财政拨款支出决算情况。</w:t>
      </w:r>
    </w:p>
    <w:p>
      <w:pPr>
        <w:autoSpaceDE w:val="0"/>
        <w:autoSpaceDN w:val="0"/>
        <w:adjustRightInd w:val="0"/>
        <w:jc w:val="left"/>
        <w:rPr>
          <w:rFonts w:hint="eastAsia" w:ascii="FangSong_GB2312" w:eastAsia="FangSong_GB2312" w:cs="FangSong_GB2312"/>
          <w:kern w:val="0"/>
          <w:sz w:val="32"/>
          <w:szCs w:val="32"/>
          <w:highlight w:val="none"/>
        </w:rPr>
      </w:pPr>
      <w:r>
        <w:rPr>
          <w:rFonts w:hint="eastAsia" w:ascii="FangSong_GB2312" w:eastAsia="FangSong_GB2312" w:cs="FangSong_GB2312"/>
          <w:kern w:val="0"/>
          <w:sz w:val="32"/>
          <w:szCs w:val="32"/>
          <w:highlight w:val="none"/>
        </w:rPr>
        <w:t>三、20</w:t>
      </w:r>
      <w:r>
        <w:rPr>
          <w:rFonts w:hint="eastAsia" w:ascii="FangSong_GB2312" w:eastAsia="FangSong_GB2312" w:cs="FangSong_GB2312"/>
          <w:kern w:val="0"/>
          <w:sz w:val="32"/>
          <w:szCs w:val="32"/>
          <w:highlight w:val="none"/>
          <w:lang w:val="en-US" w:eastAsia="zh-CN"/>
        </w:rPr>
        <w:t>22</w:t>
      </w:r>
      <w:r>
        <w:rPr>
          <w:rFonts w:hint="eastAsia" w:ascii="FangSong_GB2312" w:eastAsia="FangSong_GB2312" w:cs="FangSong_GB2312"/>
          <w:kern w:val="0"/>
          <w:sz w:val="32"/>
          <w:szCs w:val="32"/>
          <w:highlight w:val="none"/>
        </w:rPr>
        <w:t>年度一般公共预算财政拨款基本支出决算情况说明。</w:t>
      </w:r>
    </w:p>
    <w:p>
      <w:pPr>
        <w:autoSpaceDE w:val="0"/>
        <w:autoSpaceDN w:val="0"/>
        <w:adjustRightInd w:val="0"/>
        <w:jc w:val="left"/>
        <w:rPr>
          <w:rFonts w:hint="eastAsia" w:ascii="FangSong_GB2312" w:eastAsia="FangSong_GB2312" w:cs="FangSong_GB2312"/>
          <w:kern w:val="0"/>
          <w:sz w:val="32"/>
          <w:szCs w:val="32"/>
          <w:highlight w:val="none"/>
        </w:rPr>
      </w:pPr>
      <w:r>
        <w:rPr>
          <w:rFonts w:hint="eastAsia" w:ascii="FangSong_GB2312" w:eastAsia="FangSong_GB2312" w:cs="FangSong_GB2312"/>
          <w:kern w:val="0"/>
          <w:sz w:val="32"/>
          <w:szCs w:val="32"/>
          <w:highlight w:val="none"/>
        </w:rPr>
        <w:t>四、</w:t>
      </w:r>
      <w:r>
        <w:rPr>
          <w:rFonts w:hint="eastAsia" w:ascii="FangSong_GB2312" w:eastAsia="FangSong_GB2312"/>
          <w:kern w:val="0"/>
          <w:sz w:val="32"/>
          <w:szCs w:val="32"/>
          <w:highlight w:val="none"/>
        </w:rPr>
        <w:t>20</w:t>
      </w:r>
      <w:r>
        <w:rPr>
          <w:rFonts w:hint="eastAsia" w:ascii="FangSong_GB2312" w:eastAsia="FangSong_GB2312"/>
          <w:kern w:val="0"/>
          <w:sz w:val="32"/>
          <w:szCs w:val="32"/>
          <w:highlight w:val="none"/>
          <w:lang w:val="en-US" w:eastAsia="zh-CN"/>
        </w:rPr>
        <w:t>22</w:t>
      </w:r>
      <w:r>
        <w:rPr>
          <w:rFonts w:hint="eastAsia" w:ascii="FangSong_GB2312" w:eastAsia="FangSong_GB2312" w:cs="FangSong_GB2312"/>
          <w:kern w:val="0"/>
          <w:sz w:val="32"/>
          <w:szCs w:val="32"/>
          <w:highlight w:val="none"/>
        </w:rPr>
        <w:t>年度政府性基金支出决算情况。</w:t>
      </w:r>
    </w:p>
    <w:p>
      <w:pPr>
        <w:autoSpaceDE w:val="0"/>
        <w:autoSpaceDN w:val="0"/>
        <w:adjustRightInd w:val="0"/>
        <w:jc w:val="left"/>
        <w:rPr>
          <w:rFonts w:hint="eastAsia" w:ascii="FangSong_GB2312" w:eastAsia="FangSong_GB2312" w:cs="FangSong_GB2312"/>
          <w:kern w:val="0"/>
          <w:sz w:val="32"/>
          <w:szCs w:val="32"/>
          <w:highlight w:val="none"/>
          <w:lang w:eastAsia="zh-CN"/>
        </w:rPr>
      </w:pPr>
      <w:r>
        <w:rPr>
          <w:rFonts w:hint="eastAsia" w:ascii="FangSong_GB2312" w:eastAsia="FangSong_GB2312" w:cs="FangSong_GB2312"/>
          <w:kern w:val="0"/>
          <w:sz w:val="32"/>
          <w:szCs w:val="32"/>
          <w:highlight w:val="none"/>
        </w:rPr>
        <w:t>五、20</w:t>
      </w:r>
      <w:r>
        <w:rPr>
          <w:rFonts w:hint="eastAsia" w:ascii="FangSong_GB2312" w:eastAsia="FangSong_GB2312" w:cs="FangSong_GB2312"/>
          <w:kern w:val="0"/>
          <w:sz w:val="32"/>
          <w:szCs w:val="32"/>
          <w:highlight w:val="none"/>
          <w:lang w:val="en-US" w:eastAsia="zh-CN"/>
        </w:rPr>
        <w:t>22</w:t>
      </w:r>
      <w:r>
        <w:rPr>
          <w:rFonts w:hint="eastAsia" w:ascii="FangSong_GB2312" w:eastAsia="FangSong_GB2312" w:cs="FangSong_GB2312"/>
          <w:kern w:val="0"/>
          <w:sz w:val="32"/>
          <w:szCs w:val="32"/>
          <w:highlight w:val="none"/>
        </w:rPr>
        <w:t>年度国有资本经营预算支出决算情况</w:t>
      </w:r>
      <w:r>
        <w:rPr>
          <w:rFonts w:hint="eastAsia" w:ascii="FangSong_GB2312" w:eastAsia="FangSong_GB2312" w:cs="FangSong_GB2312"/>
          <w:kern w:val="0"/>
          <w:sz w:val="32"/>
          <w:szCs w:val="32"/>
          <w:highlight w:val="none"/>
          <w:lang w:eastAsia="zh-CN"/>
        </w:rPr>
        <w:t>。</w:t>
      </w:r>
    </w:p>
    <w:p>
      <w:pPr>
        <w:autoSpaceDE w:val="0"/>
        <w:autoSpaceDN w:val="0"/>
        <w:adjustRightInd w:val="0"/>
        <w:jc w:val="left"/>
        <w:rPr>
          <w:rFonts w:hint="eastAsia" w:ascii="FangSong_GB2312" w:eastAsia="FangSong_GB2312" w:cs="FangSong_GB2312"/>
          <w:kern w:val="0"/>
          <w:sz w:val="32"/>
          <w:szCs w:val="32"/>
          <w:highlight w:val="none"/>
        </w:rPr>
      </w:pPr>
      <w:r>
        <w:rPr>
          <w:rFonts w:hint="eastAsia" w:ascii="FangSong_GB2312" w:eastAsia="FangSong_GB2312" w:cs="FangSong_GB2312"/>
          <w:kern w:val="0"/>
          <w:sz w:val="32"/>
          <w:szCs w:val="32"/>
          <w:highlight w:val="none"/>
        </w:rPr>
        <w:t>六、财政拨款“三公”经费支出决算情况说明。</w:t>
      </w:r>
    </w:p>
    <w:p>
      <w:pPr>
        <w:autoSpaceDE w:val="0"/>
        <w:autoSpaceDN w:val="0"/>
        <w:adjustRightInd w:val="0"/>
        <w:jc w:val="left"/>
        <w:rPr>
          <w:rFonts w:hint="eastAsia" w:ascii="FangSong_GB2312" w:eastAsia="FangSong_GB2312" w:cs="FangSong_GB2312"/>
          <w:kern w:val="0"/>
          <w:sz w:val="32"/>
          <w:szCs w:val="32"/>
          <w:highlight w:val="none"/>
        </w:rPr>
      </w:pPr>
      <w:r>
        <w:rPr>
          <w:rFonts w:hint="eastAsia" w:ascii="FangSong_GB2312" w:eastAsia="FangSong_GB2312" w:cs="FangSong_GB2312"/>
          <w:kern w:val="0"/>
          <w:sz w:val="32"/>
          <w:szCs w:val="32"/>
          <w:highlight w:val="none"/>
        </w:rPr>
        <w:t>七、其他重要事项情况说明。</w:t>
      </w:r>
    </w:p>
    <w:p>
      <w:pPr>
        <w:jc w:val="left"/>
        <w:rPr>
          <w:rFonts w:hint="eastAsia" w:ascii="FangSong_GB2312" w:eastAsia="FangSong_GB2312" w:cs="FangSong_GB2312"/>
          <w:kern w:val="0"/>
          <w:sz w:val="32"/>
          <w:szCs w:val="32"/>
          <w:highlight w:val="none"/>
          <w:lang w:eastAsia="zh-CN"/>
        </w:rPr>
      </w:pPr>
      <w:r>
        <w:rPr>
          <w:rFonts w:hint="default" w:ascii="FangSong_GB2312" w:eastAsia="FangSong_GB2312" w:cs="FangSong_GB2312"/>
          <w:kern w:val="0"/>
          <w:sz w:val="32"/>
          <w:szCs w:val="32"/>
          <w:highlight w:val="none"/>
        </w:rPr>
        <w:t>八、预算绩效管理工作开展情况</w:t>
      </w:r>
      <w:r>
        <w:rPr>
          <w:rFonts w:hint="eastAsia" w:ascii="FangSong_GB2312" w:eastAsia="FangSong_GB2312" w:cs="FangSong_GB2312"/>
          <w:kern w:val="0"/>
          <w:sz w:val="32"/>
          <w:szCs w:val="32"/>
          <w:highlight w:val="none"/>
          <w:lang w:eastAsia="zh-CN"/>
        </w:rPr>
        <w:t>。</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第四部分：名词解释</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br w:type="page"/>
      </w:r>
    </w:p>
    <w:p>
      <w:pPr>
        <w:jc w:val="center"/>
        <w:rPr>
          <w:rFonts w:ascii="仿宋" w:hAnsi="仿宋" w:eastAsia="仿宋" w:cs="仿宋"/>
          <w:sz w:val="32"/>
          <w:szCs w:val="32"/>
          <w:highlight w:val="none"/>
        </w:rPr>
      </w:pPr>
      <w:r>
        <w:rPr>
          <w:rFonts w:hint="eastAsia" w:ascii="黑体" w:hAnsi="黑体" w:eastAsia="黑体" w:cs="黑体"/>
          <w:b/>
          <w:bCs/>
          <w:sz w:val="32"/>
          <w:szCs w:val="32"/>
          <w:highlight w:val="none"/>
        </w:rPr>
        <w:t>第一部分：</w:t>
      </w:r>
      <w:r>
        <w:rPr>
          <w:rFonts w:ascii="黑体" w:hAnsi="黑体" w:eastAsia="黑体" w:cs="黑体"/>
          <w:b/>
          <w:sz w:val="32"/>
          <w:u w:color="auto"/>
        </w:rPr>
        <w:t>河池·环江工业园区管理委员会</w:t>
      </w:r>
      <w:r>
        <w:rPr>
          <w:rFonts w:hint="eastAsia" w:ascii="黑体" w:hAnsi="黑体" w:eastAsia="黑体" w:cs="黑体"/>
          <w:b/>
          <w:bCs/>
          <w:sz w:val="32"/>
          <w:szCs w:val="32"/>
          <w:highlight w:val="none"/>
        </w:rPr>
        <w:t>概况</w:t>
      </w:r>
    </w:p>
    <w:p>
      <w:pPr>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一、主要职能</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贯彻国家、自治区及河池市有关工业园区和产业发展的各项法规、政策，落实市委、市人民政府和县委、县人民政府的重要决策和工作部署，在工业园区规划区域内行使市、县一级综合经济管理权限和相应的行政管理职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负责工业园区统一规划建设、统一基础设施标准、统一产业布局、统一入园条件、统一行政管理。负责研究提出工业园区及产业发展的政策措施，组织、实施工业园区产业发展战略和规划；开展工业园区经济运行分析、预测，研究、解决经济运行中的重大问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负责审批工业园区发展计划和产业布局。负责工业园区建设规划、土地开发工作。负责批准工业园区内各类建设项目。负责工业园区基础设施、公共设施项目的建设。根据工业园区发展总体规划编制区域建设规划和土地利用规划，做好工业园区土地的利用和经营管理工作。</w:t>
      </w:r>
    </w:p>
    <w:p>
      <w:pPr>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（四）负责园区项目建设管理，拟订园区发展战略和中长期规划；在园区总体规划范围内履行县级企业投资项目的立项、备案、核准职能。负责园区工程建设综合管理工作。</w:t>
      </w:r>
    </w:p>
    <w:p>
      <w:pPr>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负责协调工业园区财政管理和投融资工作。负责工业园区财政预算、财政性建设资金安排计划；筹集、管理和使用工业园区建设发展专项资金。负责工业园区资本运作和开展投融资工作，指导工业园区政府性投资公司的运营。</w:t>
      </w:r>
    </w:p>
    <w:p>
      <w:pPr>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（六）负责工业园区财政、人事劳动、社会保障和机构编制等工作。</w:t>
      </w:r>
    </w:p>
    <w:p>
      <w:pPr>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（七）负责工业园区生态建设、环境保护和安全生产监督管理等工作。</w:t>
      </w:r>
    </w:p>
    <w:p>
      <w:pPr>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（八）负责工业园区招商引资及宣传推介工作。</w:t>
      </w:r>
    </w:p>
    <w:p>
      <w:pPr>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（九）督促检查工业园区各项政策的贯彻落实情况及项目建设情况，解决项目实施过程中的有关问题。</w:t>
      </w:r>
    </w:p>
    <w:p>
      <w:pPr>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（十）统筹协调海关、税务等部门和其他设在工业园区工作机构的工作，做好工业园区内企业的服务。</w:t>
      </w:r>
    </w:p>
    <w:p>
      <w:pPr>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（十一）负责党委和政府授予的其他职权及交办的其他事项。承办市委、市人民政府和县委、县人民政府交办的其他事项。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园区党工委主要负责贯彻落实党和国家的各项方针、政策，按照上级党委、市委和县委的工作部署要求，抓好工业园区的党建、纪检监察、社会主义精神文明建设，以及宣传、统战、社会治安综合治理等工作；统筹研究工业园区经济发展目标、重大改革措施和关系全局的政策问题，决定重大事项。</w:t>
      </w:r>
    </w:p>
    <w:p>
      <w:pPr>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二、部门决算单位构成</w:t>
      </w:r>
    </w:p>
    <w:p>
      <w:pPr>
        <w:ind w:firstLine="640" w:firstLineChars="200"/>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color w:val="auto"/>
          <w:sz w:val="32"/>
          <w:szCs w:val="32"/>
        </w:rPr>
        <w:t>我部门没有下属单位，按照部门决算编报要求，单独编制本部门决算。</w:t>
      </w:r>
    </w:p>
    <w:p>
      <w:pPr>
        <w:numPr>
          <w:ilvl w:val="0"/>
          <w:numId w:val="0"/>
        </w:num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1.机构设置情况：我委</w:t>
      </w:r>
      <w:r>
        <w:rPr>
          <w:rFonts w:hint="eastAsia" w:ascii="仿宋_GB2312" w:hAnsi="仿宋_GB2312" w:eastAsia="仿宋_GB2312" w:cs="仿宋_GB2312"/>
          <w:color w:val="auto"/>
          <w:sz w:val="32"/>
          <w:szCs w:val="32"/>
          <w:lang w:eastAsia="zh-CN"/>
        </w:rPr>
        <w:t>有</w:t>
      </w:r>
      <w:r>
        <w:rPr>
          <w:rFonts w:hint="eastAsia" w:ascii="仿宋_GB2312" w:hAnsi="仿宋_GB2312" w:eastAsia="仿宋_GB2312" w:cs="仿宋_GB2312"/>
          <w:color w:val="auto"/>
          <w:sz w:val="32"/>
          <w:szCs w:val="32"/>
        </w:rPr>
        <w:t>内设机构5个：党政办公室、招商服务局、经济发展局、国土规划建设局、财政局。派驻工业园区管理机构2个，分别为：环江毛南族自治县应急管理局园区分局</w:t>
      </w:r>
      <w:r>
        <w:rPr>
          <w:rFonts w:hint="eastAsia" w:ascii="仿宋_GB2312" w:hAnsi="仿宋_GB2312" w:eastAsia="仿宋_GB2312" w:cs="仿宋_GB2312"/>
          <w:color w:val="auto"/>
          <w:sz w:val="32"/>
          <w:szCs w:val="32"/>
          <w:lang w:eastAsia="zh-CN"/>
        </w:rPr>
        <w:t>、河池市环江生态环境局园区分局</w:t>
      </w:r>
      <w:r>
        <w:rPr>
          <w:rFonts w:hint="eastAsia" w:ascii="仿宋_GB2312" w:hAnsi="仿宋_GB2312" w:eastAsia="仿宋_GB2312" w:cs="仿宋_GB2312"/>
          <w:color w:val="auto"/>
          <w:sz w:val="32"/>
          <w:szCs w:val="32"/>
        </w:rPr>
        <w:t>。</w:t>
      </w:r>
    </w:p>
    <w:p>
      <w:pPr>
        <w:jc w:val="both"/>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b w:val="0"/>
          <w:bCs w:val="0"/>
          <w:sz w:val="32"/>
          <w:szCs w:val="32"/>
          <w:highlight w:val="none"/>
          <w:lang w:val="en-US" w:eastAsia="zh-CN"/>
        </w:rPr>
        <w:t xml:space="preserve">   2.人员构成情况：人员编制总数为26人，都为参公事业编。2022年实有财政供养人数17人，其中事业在职17人，离退休人员1人</w:t>
      </w:r>
      <w:r>
        <w:rPr>
          <w:rFonts w:hint="eastAsia" w:ascii="仿宋_GB2312" w:hAnsi="仿宋_GB2312" w:eastAsia="仿宋_GB2312" w:cs="仿宋_GB2312"/>
          <w:sz w:val="32"/>
          <w:szCs w:val="32"/>
          <w:highlight w:val="none"/>
          <w:lang w:val="en-US" w:eastAsia="zh-CN"/>
        </w:rPr>
        <w:t>。</w:t>
      </w:r>
    </w:p>
    <w:p>
      <w:pPr>
        <w:jc w:val="center"/>
        <w:rPr>
          <w:rFonts w:hint="eastAsia" w:ascii="仿宋_GB2312" w:hAnsi="仿宋_GB2312" w:eastAsia="仿宋_GB2312" w:cs="仿宋_GB2312"/>
          <w:sz w:val="32"/>
          <w:szCs w:val="32"/>
          <w:highlight w:val="none"/>
          <w:lang w:val="en-US" w:eastAsia="zh-CN"/>
        </w:rPr>
        <w:sectPr>
          <w:pgSz w:w="11906" w:h="16838"/>
          <w:pgMar w:top="1440" w:right="1800" w:bottom="1440" w:left="1800" w:header="851" w:footer="992" w:gutter="0"/>
          <w:cols w:space="425" w:num="1"/>
          <w:docGrid w:type="lines" w:linePitch="312" w:charSpace="0"/>
        </w:sectPr>
      </w:pPr>
    </w:p>
    <w:p>
      <w:pPr>
        <w:jc w:val="both"/>
        <w:rPr>
          <w:rFonts w:hint="default" w:ascii="黑体" w:hAnsi="黑体" w:eastAsia="黑体" w:cs="黑体"/>
          <w:sz w:val="32"/>
          <w:szCs w:val="32"/>
          <w:highlight w:val="none"/>
          <w:lang w:val="en-US" w:eastAsia="zh-CN"/>
        </w:rPr>
      </w:pP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ascii="黑体" w:hAnsi="黑体" w:eastAsia="黑体" w:cs="黑体"/>
          <w:sz w:val="32"/>
          <w:u w:color="auto"/>
        </w:rPr>
        <w:t>广西河池市河池·环江工业园区管理委员会</w:t>
      </w:r>
      <w:r>
        <w:rPr>
          <w:rFonts w:hint="eastAsia" w:ascii="黑体" w:hAnsi="黑体" w:eastAsia="黑体" w:cs="黑体"/>
          <w:sz w:val="32"/>
          <w:szCs w:val="32"/>
          <w:highlight w:val="none"/>
        </w:rPr>
        <w:t xml:space="preserve"> 2022年度部门决算报表</w:t>
      </w:r>
    </w:p>
    <w:tbl>
      <w:tblPr>
        <w:tblStyle w:val="8"/>
        <w:tblW w:w="13940" w:type="dxa"/>
        <w:tblInd w:w="96" w:type="dxa"/>
        <w:tblLayout w:type="fixed"/>
        <w:tblCellMar>
          <w:top w:w="0" w:type="dxa"/>
          <w:left w:w="108" w:type="dxa"/>
          <w:bottom w:w="0" w:type="dxa"/>
          <w:right w:w="108" w:type="dxa"/>
        </w:tblCellMar>
      </w:tblPr>
      <w:tblGrid>
        <w:gridCol w:w="2543"/>
        <w:gridCol w:w="2393"/>
        <w:gridCol w:w="2231"/>
        <w:gridCol w:w="2669"/>
        <w:gridCol w:w="2202"/>
        <w:gridCol w:w="1902"/>
      </w:tblGrid>
      <w:tr>
        <w:tblPrEx>
          <w:tblCellMar>
            <w:top w:w="0" w:type="dxa"/>
            <w:left w:w="108" w:type="dxa"/>
            <w:bottom w:w="0" w:type="dxa"/>
            <w:right w:w="108" w:type="dxa"/>
          </w:tblCellMar>
        </w:tblPrEx>
        <w:trPr>
          <w:trHeight w:val="902" w:hRule="atLeast"/>
        </w:trPr>
        <w:tc>
          <w:tcPr>
            <w:tcW w:w="139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表一：收入支出决算总表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收入支出决算总表</w:t>
            </w:r>
          </w:p>
        </w:tc>
      </w:tr>
      <w:tr>
        <w:tblPrEx>
          <w:tblCellMar>
            <w:top w:w="0" w:type="dxa"/>
            <w:left w:w="108" w:type="dxa"/>
            <w:bottom w:w="0" w:type="dxa"/>
            <w:right w:w="108" w:type="dxa"/>
          </w:tblCellMar>
        </w:tblPrEx>
        <w:trPr>
          <w:trHeight w:val="301" w:hRule="atLeast"/>
        </w:trPr>
        <w:tc>
          <w:tcPr>
            <w:tcW w:w="254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3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66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公开01表</w:t>
            </w:r>
          </w:p>
        </w:tc>
      </w:tr>
      <w:tr>
        <w:tblPrEx>
          <w:tblCellMar>
            <w:top w:w="0" w:type="dxa"/>
            <w:left w:w="108" w:type="dxa"/>
            <w:bottom w:w="0" w:type="dxa"/>
            <w:right w:w="108" w:type="dxa"/>
          </w:tblCellMar>
        </w:tblPrEx>
        <w:trPr>
          <w:trHeight w:val="301" w:hRule="atLeast"/>
        </w:trPr>
        <w:tc>
          <w:tcPr>
            <w:tcW w:w="7167" w:type="dxa"/>
            <w:gridSpan w:val="3"/>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广西河池市河池·环江工业园区管理委员会</w:t>
            </w:r>
          </w:p>
        </w:tc>
        <w:tc>
          <w:tcPr>
            <w:tcW w:w="2669"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5" w:hRule="atLeast"/>
        </w:trPr>
        <w:tc>
          <w:tcPr>
            <w:tcW w:w="716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收入</w:t>
            </w:r>
          </w:p>
        </w:tc>
        <w:tc>
          <w:tcPr>
            <w:tcW w:w="677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支出</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一、一般公共预算财政拨款收入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13753.17</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一、一般公共服务支出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5620.59</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二、政府性基金预算财政拨款收入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6137.12</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二、外交支出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三、国有资本经营预算财政拨款收入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四、上级补助收入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四、公共安全支出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五、事业收入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五、教育支出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六、经营收入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六、科学技术支出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七、附属单位上缴收入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七、文化旅游体育与传媒支出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八、其他收入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八、社会保障和就业支出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28.87</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九、卫生健康支出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十、节能环保支出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十一、城乡社区支出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37.12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十二、农林水支出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7300.00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十三、交通运输支出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十四、资源勘探工业信息等支出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700.00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十五、商业服务业等支出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十六、金融支出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十七、援助其他地区支出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十八、自然资源海洋气象等支出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十九、住房保障支出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21.66</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二十、粮油物资储备支出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二十一、国有资本经营预算支出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二十二、灾害防治及应急管理支出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二十三、其他支出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6182.04</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二十四、债务还本支出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二十五、债务付息支出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二十六、抗疫特别国债安排的支出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本年收入合计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19890.29</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本年支出合计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19890.29</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使用非财政拨款结余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结余分配</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年初结转和结余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年末结转和结余</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总计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19890.29</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19890.29</w:t>
            </w:r>
          </w:p>
        </w:tc>
      </w:tr>
    </w:tbl>
    <w:p>
      <w:pPr>
        <w:jc w:val="left"/>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注：1.本表反映部门本年度的总收支和年末结转结余情况。</w:t>
      </w:r>
    </w:p>
    <w:p>
      <w:pPr>
        <w:jc w:val="left"/>
        <w:rPr>
          <w:rFonts w:ascii="宋体" w:hAnsi="宋体" w:eastAsia="宋体" w:cs="宋体"/>
          <w:color w:val="000000"/>
          <w:kern w:val="0"/>
          <w:sz w:val="30"/>
          <w:szCs w:val="30"/>
          <w:highlight w:val="none"/>
          <w:lang w:bidi="ar"/>
        </w:rPr>
      </w:pPr>
      <w:r>
        <w:rPr>
          <w:rFonts w:hint="eastAsia" w:ascii="宋体" w:hAnsi="宋体" w:eastAsia="宋体" w:cs="宋体"/>
          <w:i w:val="0"/>
          <w:iCs w:val="0"/>
          <w:color w:val="000000"/>
          <w:kern w:val="0"/>
          <w:sz w:val="22"/>
          <w:szCs w:val="22"/>
          <w:u w:val="none"/>
          <w:lang w:val="en-US" w:eastAsia="zh-CN" w:bidi="ar"/>
        </w:rPr>
        <w:t xml:space="preserve">     2.本套报表金额单位转换时可能存在尾数误差。</w:t>
      </w:r>
      <w:r>
        <w:rPr>
          <w:rFonts w:hint="eastAsia" w:ascii="宋体" w:hAnsi="宋体" w:eastAsia="宋体" w:cs="宋体"/>
          <w:color w:val="000000"/>
          <w:kern w:val="0"/>
          <w:sz w:val="30"/>
          <w:szCs w:val="30"/>
          <w:highlight w:val="none"/>
          <w:lang w:bidi="ar"/>
        </w:rPr>
        <w:br w:type="page"/>
      </w:r>
    </w:p>
    <w:tbl>
      <w:tblPr>
        <w:tblStyle w:val="8"/>
        <w:tblW w:w="13960" w:type="dxa"/>
        <w:tblInd w:w="96" w:type="dxa"/>
        <w:tblLayout w:type="fixed"/>
        <w:tblCellMar>
          <w:top w:w="0" w:type="dxa"/>
          <w:left w:w="108" w:type="dxa"/>
          <w:bottom w:w="0" w:type="dxa"/>
          <w:right w:w="108" w:type="dxa"/>
        </w:tblCellMar>
      </w:tblPr>
      <w:tblGrid>
        <w:gridCol w:w="1584"/>
        <w:gridCol w:w="1378"/>
        <w:gridCol w:w="236"/>
        <w:gridCol w:w="236"/>
        <w:gridCol w:w="524"/>
        <w:gridCol w:w="1520"/>
        <w:gridCol w:w="1453"/>
        <w:gridCol w:w="1373"/>
        <w:gridCol w:w="1467"/>
        <w:gridCol w:w="1480"/>
        <w:gridCol w:w="1440"/>
        <w:gridCol w:w="1269"/>
      </w:tblGrid>
      <w:tr>
        <w:tblPrEx>
          <w:tblCellMar>
            <w:top w:w="0" w:type="dxa"/>
            <w:left w:w="108" w:type="dxa"/>
            <w:bottom w:w="0" w:type="dxa"/>
            <w:right w:w="108" w:type="dxa"/>
          </w:tblCellMar>
        </w:tblPrEx>
        <w:trPr>
          <w:trHeight w:val="951" w:hRule="atLeast"/>
        </w:trPr>
        <w:tc>
          <w:tcPr>
            <w:tcW w:w="13960" w:type="dxa"/>
            <w:gridSpan w:val="1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表二：收入决算表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收入决算表</w:t>
            </w:r>
          </w:p>
        </w:tc>
      </w:tr>
      <w:tr>
        <w:tblPrEx>
          <w:tblCellMar>
            <w:top w:w="0" w:type="dxa"/>
            <w:left w:w="108" w:type="dxa"/>
            <w:bottom w:w="0" w:type="dxa"/>
            <w:right w:w="108" w:type="dxa"/>
          </w:tblCellMar>
        </w:tblPrEx>
        <w:trPr>
          <w:trHeight w:val="317" w:hRule="atLeast"/>
        </w:trPr>
        <w:tc>
          <w:tcPr>
            <w:tcW w:w="2962"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52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52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公开02表</w:t>
            </w:r>
          </w:p>
        </w:tc>
      </w:tr>
      <w:tr>
        <w:tblPrEx>
          <w:tblCellMar>
            <w:top w:w="0" w:type="dxa"/>
            <w:left w:w="108" w:type="dxa"/>
            <w:bottom w:w="0" w:type="dxa"/>
            <w:right w:w="108" w:type="dxa"/>
          </w:tblCellMar>
        </w:tblPrEx>
        <w:trPr>
          <w:trHeight w:val="317" w:hRule="atLeast"/>
        </w:trPr>
        <w:tc>
          <w:tcPr>
            <w:tcW w:w="6931"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广西河池市河池·环江工业园区管理委员会</w:t>
            </w:r>
          </w:p>
        </w:tc>
        <w:tc>
          <w:tcPr>
            <w:tcW w:w="13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本年收入合计</w:t>
            </w:r>
          </w:p>
        </w:tc>
        <w:tc>
          <w:tcPr>
            <w:tcW w:w="14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财政拨款收入</w:t>
            </w:r>
          </w:p>
        </w:tc>
        <w:tc>
          <w:tcPr>
            <w:tcW w:w="13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上级补助收入</w:t>
            </w:r>
          </w:p>
        </w:tc>
        <w:tc>
          <w:tcPr>
            <w:tcW w:w="14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事业收入</w:t>
            </w:r>
          </w:p>
        </w:tc>
        <w:tc>
          <w:tcPr>
            <w:tcW w:w="1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经营收入</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附属单位上缴收入</w:t>
            </w:r>
          </w:p>
        </w:tc>
        <w:tc>
          <w:tcPr>
            <w:tcW w:w="12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其他收入</w:t>
            </w:r>
          </w:p>
        </w:tc>
      </w:tr>
      <w:tr>
        <w:tblPrEx>
          <w:tblCellMar>
            <w:top w:w="0" w:type="dxa"/>
            <w:left w:w="108" w:type="dxa"/>
            <w:bottom w:w="0" w:type="dxa"/>
            <w:right w:w="108" w:type="dxa"/>
          </w:tblCellMar>
        </w:tblPrEx>
        <w:trPr>
          <w:trHeight w:val="327" w:hRule="atLeast"/>
        </w:trPr>
        <w:tc>
          <w:tcPr>
            <w:tcW w:w="15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374"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4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r>
      <w:tr>
        <w:tblPrEx>
          <w:tblCellMar>
            <w:top w:w="0" w:type="dxa"/>
            <w:left w:w="108" w:type="dxa"/>
            <w:bottom w:w="0" w:type="dxa"/>
            <w:right w:w="108" w:type="dxa"/>
          </w:tblCellMar>
        </w:tblPrEx>
        <w:trPr>
          <w:trHeight w:val="961"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19890.29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19890.29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一般公共服务支出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5620.59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5620.59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20103</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政府办公厅（室）及相关机构事务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5461.22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5461.22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2010399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其他政府办公厅（室）及相关机构事务支出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5461.22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5461.22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20113</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商贸事务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10.52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10.52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2011308</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招商引资</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10.52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10.52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群众团体事务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3.85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3.85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其他群众团体事务支出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3.85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3.85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其他一般公共服务支出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145.00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145.00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2019999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其他一般公共服务支出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145.00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145.00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28.87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28.87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28.87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28.87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机关事业单位基本养老保险缴费支出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28.87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28.87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城乡社区支出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37.12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37.12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21208</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国有土地使用权出让收入安排的支出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37.12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37.12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2120802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土地开发支出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37.12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37.12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213</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农林水支出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7300.00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7300.00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21305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巩固脱贫衔接乡村振兴</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7300.00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7300.00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2130504</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农村基础设施建设</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3400.00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3400.00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2130505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生产发展</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3900.00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3900.00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资源勘探工业信息等支出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700.00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700.00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21508</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支持中小企业发展和管理支出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500.00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500.00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2150899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其他支持中小企业发展和管理支出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500.00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500.00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21599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其他资源勘探工业信息等支出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200.00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200.00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2159999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其他资源勘探工业信息等支出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200.00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200.00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21.66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21.66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21.66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21.66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住房公积金</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21.66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21.66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6182.04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6182.04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22904</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其他政府性基金及对应专项债务收入安排的支出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6100.00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6100.00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2290402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其他地方自行试点项目收益专项债券收入安排的支出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6100.00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6100.00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82.04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82.04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82.04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82.04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3960" w:type="dxa"/>
            <w:gridSpan w:val="12"/>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注：本表反映部门本年度取得的各项收入情况。</w:t>
            </w:r>
          </w:p>
        </w:tc>
      </w:tr>
    </w:tbl>
    <w:p>
      <w:pPr>
        <w:jc w:val="center"/>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表三：支出决算表</w:t>
      </w:r>
    </w:p>
    <w:p>
      <w:pPr>
        <w:jc w:val="left"/>
        <w:rPr>
          <w:rFonts w:hint="eastAsia" w:ascii="仿宋" w:hAnsi="仿宋" w:eastAsia="仿宋" w:cs="仿宋"/>
          <w:sz w:val="24"/>
          <w:highlight w:val="none"/>
        </w:rPr>
      </w:pPr>
    </w:p>
    <w:tbl>
      <w:tblPr>
        <w:tblStyle w:val="8"/>
        <w:tblW w:w="13980" w:type="dxa"/>
        <w:tblInd w:w="96" w:type="dxa"/>
        <w:tblLayout w:type="fixed"/>
        <w:tblCellMar>
          <w:top w:w="0" w:type="dxa"/>
          <w:left w:w="108" w:type="dxa"/>
          <w:bottom w:w="0" w:type="dxa"/>
          <w:right w:w="108" w:type="dxa"/>
        </w:tblCellMar>
      </w:tblPr>
      <w:tblGrid>
        <w:gridCol w:w="1142"/>
        <w:gridCol w:w="237"/>
        <w:gridCol w:w="239"/>
        <w:gridCol w:w="64"/>
        <w:gridCol w:w="2222"/>
        <w:gridCol w:w="1627"/>
        <w:gridCol w:w="1680"/>
        <w:gridCol w:w="1760"/>
        <w:gridCol w:w="1653"/>
        <w:gridCol w:w="1654"/>
        <w:gridCol w:w="1702"/>
      </w:tblGrid>
      <w:tr>
        <w:tblPrEx>
          <w:tblCellMar>
            <w:top w:w="0" w:type="dxa"/>
            <w:left w:w="108" w:type="dxa"/>
            <w:bottom w:w="0" w:type="dxa"/>
            <w:right w:w="108" w:type="dxa"/>
          </w:tblCellMar>
        </w:tblPrEx>
        <w:trPr>
          <w:trHeight w:val="623"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支出决算表</w:t>
            </w:r>
          </w:p>
        </w:tc>
      </w:tr>
      <w:tr>
        <w:tblPrEx>
          <w:tblCellMar>
            <w:top w:w="0" w:type="dxa"/>
            <w:left w:w="108" w:type="dxa"/>
            <w:bottom w:w="0" w:type="dxa"/>
            <w:right w:w="108" w:type="dxa"/>
          </w:tblCellMar>
        </w:tblPrEx>
        <w:trPr>
          <w:trHeight w:val="312" w:hRule="atLeast"/>
        </w:trPr>
        <w:tc>
          <w:tcPr>
            <w:tcW w:w="114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3" w:type="dxa"/>
            <w:gridSpan w:val="2"/>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2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6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公开03表</w:t>
            </w:r>
          </w:p>
        </w:tc>
      </w:tr>
      <w:tr>
        <w:tblPrEx>
          <w:tblCellMar>
            <w:top w:w="0" w:type="dxa"/>
            <w:left w:w="108" w:type="dxa"/>
            <w:bottom w:w="0" w:type="dxa"/>
            <w:right w:w="108" w:type="dxa"/>
          </w:tblCellMar>
        </w:tblPrEx>
        <w:trPr>
          <w:trHeight w:val="312" w:hRule="atLeast"/>
        </w:trPr>
        <w:tc>
          <w:tcPr>
            <w:tcW w:w="8971" w:type="dxa"/>
            <w:gridSpan w:val="8"/>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广西河池市河池·环江工业园区管理委员会</w:t>
            </w:r>
          </w:p>
        </w:tc>
        <w:tc>
          <w:tcPr>
            <w:tcW w:w="1653"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single"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6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本年支出合计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上缴上级支出</w:t>
            </w:r>
          </w:p>
        </w:tc>
        <w:tc>
          <w:tcPr>
            <w:tcW w:w="16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经营支出</w:t>
            </w:r>
          </w:p>
        </w:tc>
        <w:tc>
          <w:tcPr>
            <w:tcW w:w="17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对附属单位补助支出</w:t>
            </w:r>
          </w:p>
        </w:tc>
      </w:tr>
      <w:tr>
        <w:tblPrEx>
          <w:tblCellMar>
            <w:top w:w="0" w:type="dxa"/>
            <w:left w:w="108" w:type="dxa"/>
            <w:bottom w:w="0" w:type="dxa"/>
            <w:right w:w="108" w:type="dxa"/>
          </w:tblCellMar>
        </w:tblPrEx>
        <w:trPr>
          <w:trHeight w:val="322" w:hRule="atLeast"/>
        </w:trPr>
        <w:tc>
          <w:tcPr>
            <w:tcW w:w="161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286"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465"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837"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trHeight w:val="633"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19890.29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313.17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19577.12</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一般公共服务支出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5620.59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203.59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5417.00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20103</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政府办公厅（室）及相关机构事务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5461.22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199.74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5261.48</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2010399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其他政府办公厅（室）及相关机构事务支出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5461.22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199.74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5261.48</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20113</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商贸事务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10.52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10.52</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2011308</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招商引资</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10.52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10.52</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群众团体事务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3.85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3.85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其他群众团体事务支出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3.85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3.85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其他一般公共服务支出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145.00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145.00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2019999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其他一般公共服务支出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145.00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145.00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28.87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28.87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28.87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28.87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机关事业单位基本养老保险缴费支出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28.87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28.87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城乡社区支出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37.12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37.12</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21208</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国有土地使用权出让收入安排的支出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37.12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37.12</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2120802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土地开发支出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37.12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37.12</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213</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农林水支出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7300.00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7300.00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21305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巩固脱贫衔接乡村振兴</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7300.00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7300.00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2130504</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农村基础设施建设</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3400.00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3400.00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2130505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生产发展</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3900.00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3900.00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资源勘探工业信息等支出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700.00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700.00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21508</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支持中小企业发展和管理支出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2150899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其他支持中小企业发展和管理支出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21599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其他资源勘探工业信息等支出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2159999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其他资源勘探工业信息等支出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21.66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21.66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21.66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21.66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住房公积金</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21.66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21.66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6182.04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59.04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6123.00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22904</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其他政府性基金及对应专项债务收入安排的支出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6100.00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6100.00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2290402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其他地方自行试点项目收益专项债券收入安排的支出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6100.00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6100.00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82.04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59.04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23.00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82.04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59.04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23.00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3980" w:type="dxa"/>
            <w:gridSpan w:val="11"/>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注：本表反映部门本年度各项支出情况。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表四：财政拨款收入支出决算总表</w:t>
      </w:r>
    </w:p>
    <w:p>
      <w:pPr>
        <w:jc w:val="left"/>
        <w:rPr>
          <w:rFonts w:hint="eastAsia" w:ascii="仿宋" w:hAnsi="仿宋" w:eastAsia="仿宋" w:cs="仿宋"/>
          <w:sz w:val="24"/>
          <w:highlight w:val="none"/>
        </w:rPr>
      </w:pPr>
    </w:p>
    <w:tbl>
      <w:tblPr>
        <w:tblStyle w:val="8"/>
        <w:tblW w:w="4965" w:type="pct"/>
        <w:tblInd w:w="0" w:type="dxa"/>
        <w:tblLayout w:type="fixed"/>
        <w:tblCellMar>
          <w:top w:w="0" w:type="dxa"/>
          <w:left w:w="108" w:type="dxa"/>
          <w:bottom w:w="0" w:type="dxa"/>
          <w:right w:w="108" w:type="dxa"/>
        </w:tblCellMar>
      </w:tblPr>
      <w:tblGrid>
        <w:gridCol w:w="2214"/>
        <w:gridCol w:w="785"/>
        <w:gridCol w:w="1307"/>
        <w:gridCol w:w="2360"/>
        <w:gridCol w:w="853"/>
        <w:gridCol w:w="1217"/>
        <w:gridCol w:w="1644"/>
        <w:gridCol w:w="1803"/>
        <w:gridCol w:w="1894"/>
      </w:tblGrid>
      <w:tr>
        <w:tblPrEx>
          <w:tblCellMar>
            <w:top w:w="0" w:type="dxa"/>
            <w:left w:w="108" w:type="dxa"/>
            <w:bottom w:w="0" w:type="dxa"/>
            <w:right w:w="108" w:type="dxa"/>
          </w:tblCellMar>
        </w:tblPrEx>
        <w:trPr>
          <w:trHeight w:val="520"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财政拨款收入支出决算总表</w:t>
            </w:r>
          </w:p>
        </w:tc>
      </w:tr>
      <w:tr>
        <w:tblPrEx>
          <w:tblCellMar>
            <w:top w:w="0" w:type="dxa"/>
            <w:left w:w="108" w:type="dxa"/>
            <w:bottom w:w="0" w:type="dxa"/>
            <w:right w:w="108" w:type="dxa"/>
          </w:tblCellMar>
        </w:tblPrEx>
        <w:trPr>
          <w:trHeight w:val="260" w:hRule="atLeast"/>
        </w:trPr>
        <w:tc>
          <w:tcPr>
            <w:tcW w:w="7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46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83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43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583"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公开04表</w:t>
            </w:r>
          </w:p>
        </w:tc>
      </w:tr>
      <w:tr>
        <w:tblPrEx>
          <w:tblCellMar>
            <w:top w:w="0" w:type="dxa"/>
            <w:left w:w="108" w:type="dxa"/>
            <w:bottom w:w="0" w:type="dxa"/>
            <w:right w:w="108" w:type="dxa"/>
          </w:tblCellMar>
        </w:tblPrEx>
        <w:trPr>
          <w:trHeight w:val="260" w:hRule="atLeast"/>
        </w:trPr>
        <w:tc>
          <w:tcPr>
            <w:tcW w:w="3102" w:type="pct"/>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广西河池市河池·环江工业园区管理委员会</w:t>
            </w:r>
          </w:p>
        </w:tc>
        <w:tc>
          <w:tcPr>
            <w:tcW w:w="583"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268" w:hRule="atLeast"/>
        </w:trPr>
        <w:tc>
          <w:tcPr>
            <w:tcW w:w="152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     入</w:t>
            </w:r>
          </w:p>
        </w:tc>
        <w:tc>
          <w:tcPr>
            <w:tcW w:w="3470"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     出</w:t>
            </w:r>
          </w:p>
        </w:tc>
      </w:tr>
      <w:tr>
        <w:tblPrEx>
          <w:tblCellMar>
            <w:top w:w="0" w:type="dxa"/>
            <w:left w:w="108" w:type="dxa"/>
            <w:bottom w:w="0" w:type="dxa"/>
            <w:right w:w="108" w:type="dxa"/>
          </w:tblCellMar>
        </w:tblPrEx>
        <w:trPr>
          <w:trHeight w:val="312" w:hRule="atLeast"/>
        </w:trPr>
        <w:tc>
          <w:tcPr>
            <w:tcW w:w="78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7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46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8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432"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583"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一般公共预算财政拨款</w:t>
            </w:r>
          </w:p>
        </w:tc>
        <w:tc>
          <w:tcPr>
            <w:tcW w:w="64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政府性基金预算财政拨款</w:t>
            </w:r>
          </w:p>
        </w:tc>
        <w:tc>
          <w:tcPr>
            <w:tcW w:w="67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国有资本经营预算财政拨款</w:t>
            </w:r>
          </w:p>
        </w:tc>
      </w:tr>
      <w:tr>
        <w:tblPrEx>
          <w:tblCellMar>
            <w:top w:w="0" w:type="dxa"/>
            <w:left w:w="108" w:type="dxa"/>
            <w:bottom w:w="0" w:type="dxa"/>
            <w:right w:w="108" w:type="dxa"/>
          </w:tblCellMar>
        </w:tblPrEx>
        <w:trPr>
          <w:trHeight w:val="536" w:hRule="atLeast"/>
        </w:trPr>
        <w:tc>
          <w:tcPr>
            <w:tcW w:w="78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7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8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32"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58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7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3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5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一、一般公共预算财政拨款</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13753.17</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一、一般公共服务支出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33</w:t>
            </w:r>
          </w:p>
        </w:tc>
        <w:tc>
          <w:tcPr>
            <w:tcW w:w="43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5620.59</w:t>
            </w:r>
          </w:p>
        </w:tc>
        <w:tc>
          <w:tcPr>
            <w:tcW w:w="5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5620.59</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二、政府性基金预算财政拨款</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6137.12</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二、外交支出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34</w:t>
            </w:r>
          </w:p>
        </w:tc>
        <w:tc>
          <w:tcPr>
            <w:tcW w:w="43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三、国有资本经营预算财政拨款</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三、国防支出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35</w:t>
            </w:r>
          </w:p>
        </w:tc>
        <w:tc>
          <w:tcPr>
            <w:tcW w:w="43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四、公共安全支出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36</w:t>
            </w:r>
          </w:p>
        </w:tc>
        <w:tc>
          <w:tcPr>
            <w:tcW w:w="43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五、教育支出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37</w:t>
            </w:r>
          </w:p>
        </w:tc>
        <w:tc>
          <w:tcPr>
            <w:tcW w:w="43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六、科学技术支出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38</w:t>
            </w:r>
          </w:p>
        </w:tc>
        <w:tc>
          <w:tcPr>
            <w:tcW w:w="43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七、文化旅游体育与传媒支出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39</w:t>
            </w:r>
          </w:p>
        </w:tc>
        <w:tc>
          <w:tcPr>
            <w:tcW w:w="43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八、社会保障和就业支出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40</w:t>
            </w:r>
          </w:p>
        </w:tc>
        <w:tc>
          <w:tcPr>
            <w:tcW w:w="43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28.87</w:t>
            </w:r>
          </w:p>
        </w:tc>
        <w:tc>
          <w:tcPr>
            <w:tcW w:w="5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28.87</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九、卫生健康支出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41</w:t>
            </w:r>
          </w:p>
        </w:tc>
        <w:tc>
          <w:tcPr>
            <w:tcW w:w="43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十、节能环保支出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42</w:t>
            </w:r>
          </w:p>
        </w:tc>
        <w:tc>
          <w:tcPr>
            <w:tcW w:w="43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十一、城乡社区支出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43</w:t>
            </w:r>
          </w:p>
        </w:tc>
        <w:tc>
          <w:tcPr>
            <w:tcW w:w="43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37.12</w:t>
            </w:r>
          </w:p>
        </w:tc>
        <w:tc>
          <w:tcPr>
            <w:tcW w:w="5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37.12</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十二、农林水支出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44</w:t>
            </w:r>
          </w:p>
        </w:tc>
        <w:tc>
          <w:tcPr>
            <w:tcW w:w="43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7300.00</w:t>
            </w:r>
          </w:p>
        </w:tc>
        <w:tc>
          <w:tcPr>
            <w:tcW w:w="5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7300.00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十三、交通运输支出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45</w:t>
            </w:r>
          </w:p>
        </w:tc>
        <w:tc>
          <w:tcPr>
            <w:tcW w:w="43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十四、资源勘探工业信息等支出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46</w:t>
            </w:r>
          </w:p>
        </w:tc>
        <w:tc>
          <w:tcPr>
            <w:tcW w:w="43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700.00</w:t>
            </w:r>
          </w:p>
        </w:tc>
        <w:tc>
          <w:tcPr>
            <w:tcW w:w="5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700.00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十五、商业服务业等支出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47</w:t>
            </w:r>
          </w:p>
        </w:tc>
        <w:tc>
          <w:tcPr>
            <w:tcW w:w="43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十六、金融支出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48</w:t>
            </w:r>
          </w:p>
        </w:tc>
        <w:tc>
          <w:tcPr>
            <w:tcW w:w="43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十七、援助其他地区支出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49</w:t>
            </w:r>
          </w:p>
        </w:tc>
        <w:tc>
          <w:tcPr>
            <w:tcW w:w="43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十八、自然资源海洋气象等支出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50</w:t>
            </w:r>
          </w:p>
        </w:tc>
        <w:tc>
          <w:tcPr>
            <w:tcW w:w="43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十九、住房保障支出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51</w:t>
            </w:r>
          </w:p>
        </w:tc>
        <w:tc>
          <w:tcPr>
            <w:tcW w:w="43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21.66</w:t>
            </w:r>
          </w:p>
        </w:tc>
        <w:tc>
          <w:tcPr>
            <w:tcW w:w="5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21.66</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二十、粮油物资储备支出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52</w:t>
            </w:r>
          </w:p>
        </w:tc>
        <w:tc>
          <w:tcPr>
            <w:tcW w:w="43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二十一、国有资本经营预算支出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53</w:t>
            </w:r>
          </w:p>
        </w:tc>
        <w:tc>
          <w:tcPr>
            <w:tcW w:w="43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二十二、灾害防治及应急管理支出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54</w:t>
            </w:r>
          </w:p>
        </w:tc>
        <w:tc>
          <w:tcPr>
            <w:tcW w:w="43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二十三、其他支出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55</w:t>
            </w:r>
          </w:p>
        </w:tc>
        <w:tc>
          <w:tcPr>
            <w:tcW w:w="43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6182.04</w:t>
            </w:r>
          </w:p>
        </w:tc>
        <w:tc>
          <w:tcPr>
            <w:tcW w:w="5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82.04</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6100.00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二十四、债务还本支出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56</w:t>
            </w:r>
          </w:p>
        </w:tc>
        <w:tc>
          <w:tcPr>
            <w:tcW w:w="43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二十五、债务付息支出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57</w:t>
            </w:r>
          </w:p>
        </w:tc>
        <w:tc>
          <w:tcPr>
            <w:tcW w:w="43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二十六、抗疫特别国债安排的支出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58</w:t>
            </w:r>
          </w:p>
        </w:tc>
        <w:tc>
          <w:tcPr>
            <w:tcW w:w="43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本年收入合计</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19890.29</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本年支出合计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59</w:t>
            </w:r>
          </w:p>
        </w:tc>
        <w:tc>
          <w:tcPr>
            <w:tcW w:w="43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19890.29</w:t>
            </w:r>
          </w:p>
        </w:tc>
        <w:tc>
          <w:tcPr>
            <w:tcW w:w="5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13753.17</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6137.12</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年初财政拨款结转和结余</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年末财政拨款结转和结余</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60</w:t>
            </w:r>
          </w:p>
        </w:tc>
        <w:tc>
          <w:tcPr>
            <w:tcW w:w="43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一般公共预算财政拨款</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61</w:t>
            </w:r>
          </w:p>
        </w:tc>
        <w:tc>
          <w:tcPr>
            <w:tcW w:w="43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政府性基金预算财政拨款</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62</w:t>
            </w:r>
          </w:p>
        </w:tc>
        <w:tc>
          <w:tcPr>
            <w:tcW w:w="43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国有资本经营预算财政拨款</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63</w:t>
            </w:r>
          </w:p>
        </w:tc>
        <w:tc>
          <w:tcPr>
            <w:tcW w:w="43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19890.29</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总计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64</w:t>
            </w:r>
          </w:p>
        </w:tc>
        <w:tc>
          <w:tcPr>
            <w:tcW w:w="43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19890.29</w:t>
            </w:r>
          </w:p>
        </w:tc>
        <w:tc>
          <w:tcPr>
            <w:tcW w:w="5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13753.17</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6137.12</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4327" w:type="pct"/>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注：本表反映部门本年度一般公共预算财政拨款、政府性基金预算财政拨款和国有资本经营预算财政拨款的总收支和年末结转结余情况。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tc>
        <w:tc>
          <w:tcPr>
            <w:tcW w:w="672" w:type="pct"/>
            <w:tcBorders>
              <w:top w:val="single" w:color="auto" w:sz="4" w:space="0"/>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0"/>
                <w:szCs w:val="20"/>
                <w:highlight w:val="none"/>
              </w:rPr>
            </w:pP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表五：一般公共预算财政拨款支出决算表</w:t>
      </w:r>
    </w:p>
    <w:p>
      <w:pPr>
        <w:jc w:val="left"/>
        <w:rPr>
          <w:rFonts w:hint="eastAsia" w:ascii="仿宋" w:hAnsi="仿宋" w:eastAsia="仿宋" w:cs="仿宋"/>
          <w:sz w:val="24"/>
          <w:highlight w:val="none"/>
        </w:rPr>
      </w:pPr>
    </w:p>
    <w:tbl>
      <w:tblPr>
        <w:tblStyle w:val="8"/>
        <w:tblW w:w="13980" w:type="dxa"/>
        <w:tblInd w:w="96" w:type="dxa"/>
        <w:tblLayout w:type="fixed"/>
        <w:tblCellMar>
          <w:top w:w="0" w:type="dxa"/>
          <w:left w:w="108" w:type="dxa"/>
          <w:bottom w:w="0" w:type="dxa"/>
          <w:right w:w="108" w:type="dxa"/>
        </w:tblCellMar>
      </w:tblPr>
      <w:tblGrid>
        <w:gridCol w:w="2011"/>
        <w:gridCol w:w="272"/>
        <w:gridCol w:w="238"/>
        <w:gridCol w:w="238"/>
        <w:gridCol w:w="2674"/>
        <w:gridCol w:w="2551"/>
        <w:gridCol w:w="3107"/>
        <w:gridCol w:w="2889"/>
      </w:tblGrid>
      <w:tr>
        <w:tblPrEx>
          <w:tblCellMar>
            <w:top w:w="0" w:type="dxa"/>
            <w:left w:w="108" w:type="dxa"/>
            <w:bottom w:w="0" w:type="dxa"/>
            <w:right w:w="108" w:type="dxa"/>
          </w:tblCellMar>
        </w:tblPrEx>
        <w:trPr>
          <w:trHeight w:val="693" w:hRule="atLeast"/>
        </w:trPr>
        <w:tc>
          <w:tcPr>
            <w:tcW w:w="1398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一般公共预算财政拨款支出决算表</w:t>
            </w:r>
          </w:p>
        </w:tc>
      </w:tr>
      <w:tr>
        <w:tblPrEx>
          <w:tblCellMar>
            <w:top w:w="0" w:type="dxa"/>
            <w:left w:w="108" w:type="dxa"/>
            <w:bottom w:w="0" w:type="dxa"/>
            <w:right w:w="108" w:type="dxa"/>
          </w:tblCellMar>
        </w:tblPrEx>
        <w:trPr>
          <w:trHeight w:val="346" w:hRule="atLeast"/>
        </w:trPr>
        <w:tc>
          <w:tcPr>
            <w:tcW w:w="2283"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67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55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公开05表</w:t>
            </w:r>
          </w:p>
        </w:tc>
      </w:tr>
      <w:tr>
        <w:tblPrEx>
          <w:tblCellMar>
            <w:top w:w="0" w:type="dxa"/>
            <w:left w:w="108" w:type="dxa"/>
            <w:bottom w:w="0" w:type="dxa"/>
            <w:right w:w="108" w:type="dxa"/>
          </w:tblCellMar>
        </w:tblPrEx>
        <w:trPr>
          <w:trHeight w:val="346" w:hRule="atLeast"/>
        </w:trPr>
        <w:tc>
          <w:tcPr>
            <w:tcW w:w="7984" w:type="dxa"/>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广西河池市河池·环江工业园区管理委员会</w:t>
            </w:r>
          </w:p>
        </w:tc>
        <w:tc>
          <w:tcPr>
            <w:tcW w:w="310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58" w:hRule="atLeast"/>
        </w:trPr>
        <w:tc>
          <w:tcPr>
            <w:tcW w:w="5433"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854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53" w:hRule="atLeast"/>
        </w:trPr>
        <w:tc>
          <w:tcPr>
            <w:tcW w:w="20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3422"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25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31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28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9"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422"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5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3"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422"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5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8" w:hRule="atLeast"/>
        </w:trPr>
        <w:tc>
          <w:tcPr>
            <w:tcW w:w="5433"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5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58" w:hRule="atLeast"/>
        </w:trPr>
        <w:tc>
          <w:tcPr>
            <w:tcW w:w="5433"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25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13753.17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313.17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13440.00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w:t>
            </w:r>
          </w:p>
        </w:tc>
        <w:tc>
          <w:tcPr>
            <w:tcW w:w="342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一般公共服务支出</w:t>
            </w:r>
          </w:p>
        </w:tc>
        <w:tc>
          <w:tcPr>
            <w:tcW w:w="25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5620.59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203.59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5417.00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20103</w:t>
            </w:r>
          </w:p>
        </w:tc>
        <w:tc>
          <w:tcPr>
            <w:tcW w:w="342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政府办公厅（室）及相关机构事务</w:t>
            </w:r>
          </w:p>
        </w:tc>
        <w:tc>
          <w:tcPr>
            <w:tcW w:w="25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5461.22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199.74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5261.48</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2010399</w:t>
            </w:r>
          </w:p>
        </w:tc>
        <w:tc>
          <w:tcPr>
            <w:tcW w:w="342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其他政府办公厅（室）及相关机构事务支出</w:t>
            </w:r>
          </w:p>
        </w:tc>
        <w:tc>
          <w:tcPr>
            <w:tcW w:w="25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5461.22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199.74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5261.48</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20113</w:t>
            </w:r>
          </w:p>
        </w:tc>
        <w:tc>
          <w:tcPr>
            <w:tcW w:w="342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商贸事务</w:t>
            </w:r>
          </w:p>
        </w:tc>
        <w:tc>
          <w:tcPr>
            <w:tcW w:w="25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10.52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10.52</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2011308</w:t>
            </w:r>
          </w:p>
        </w:tc>
        <w:tc>
          <w:tcPr>
            <w:tcW w:w="342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招商引资</w:t>
            </w:r>
          </w:p>
        </w:tc>
        <w:tc>
          <w:tcPr>
            <w:tcW w:w="25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10.52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10.52</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20129</w:t>
            </w:r>
          </w:p>
        </w:tc>
        <w:tc>
          <w:tcPr>
            <w:tcW w:w="342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群众团体事务</w:t>
            </w:r>
          </w:p>
        </w:tc>
        <w:tc>
          <w:tcPr>
            <w:tcW w:w="25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3.85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3.85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2012999</w:t>
            </w:r>
          </w:p>
        </w:tc>
        <w:tc>
          <w:tcPr>
            <w:tcW w:w="342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其他群众团体事务支出</w:t>
            </w:r>
          </w:p>
        </w:tc>
        <w:tc>
          <w:tcPr>
            <w:tcW w:w="25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3.85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3.85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20199</w:t>
            </w:r>
          </w:p>
        </w:tc>
        <w:tc>
          <w:tcPr>
            <w:tcW w:w="342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其他一般公共服务支出</w:t>
            </w:r>
          </w:p>
        </w:tc>
        <w:tc>
          <w:tcPr>
            <w:tcW w:w="25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145.00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145.00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2019999</w:t>
            </w:r>
          </w:p>
        </w:tc>
        <w:tc>
          <w:tcPr>
            <w:tcW w:w="342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其他一般公共服务支出</w:t>
            </w:r>
          </w:p>
        </w:tc>
        <w:tc>
          <w:tcPr>
            <w:tcW w:w="25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145.00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145.00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w:t>
            </w:r>
          </w:p>
        </w:tc>
        <w:tc>
          <w:tcPr>
            <w:tcW w:w="342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社会保障和就业支出</w:t>
            </w:r>
          </w:p>
        </w:tc>
        <w:tc>
          <w:tcPr>
            <w:tcW w:w="25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28.87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28.87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w:t>
            </w:r>
          </w:p>
        </w:tc>
        <w:tc>
          <w:tcPr>
            <w:tcW w:w="342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行政事业单位养老支出</w:t>
            </w:r>
          </w:p>
        </w:tc>
        <w:tc>
          <w:tcPr>
            <w:tcW w:w="25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28.87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28.87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2080505</w:t>
            </w:r>
          </w:p>
        </w:tc>
        <w:tc>
          <w:tcPr>
            <w:tcW w:w="342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机关事业单位基本养老保险缴费支出</w:t>
            </w:r>
          </w:p>
        </w:tc>
        <w:tc>
          <w:tcPr>
            <w:tcW w:w="25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28.87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28.87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213</w:t>
            </w:r>
          </w:p>
        </w:tc>
        <w:tc>
          <w:tcPr>
            <w:tcW w:w="342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农林水支出</w:t>
            </w:r>
          </w:p>
        </w:tc>
        <w:tc>
          <w:tcPr>
            <w:tcW w:w="25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7300.00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7300.00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21305</w:t>
            </w:r>
          </w:p>
        </w:tc>
        <w:tc>
          <w:tcPr>
            <w:tcW w:w="342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巩固脱贫衔接乡村振兴</w:t>
            </w:r>
          </w:p>
        </w:tc>
        <w:tc>
          <w:tcPr>
            <w:tcW w:w="25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7300.00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7300.00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2130504</w:t>
            </w:r>
          </w:p>
        </w:tc>
        <w:tc>
          <w:tcPr>
            <w:tcW w:w="342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农村基础设施建设</w:t>
            </w:r>
          </w:p>
        </w:tc>
        <w:tc>
          <w:tcPr>
            <w:tcW w:w="25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3400.00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3400.00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2130505</w:t>
            </w:r>
          </w:p>
        </w:tc>
        <w:tc>
          <w:tcPr>
            <w:tcW w:w="342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生产发展</w:t>
            </w:r>
          </w:p>
        </w:tc>
        <w:tc>
          <w:tcPr>
            <w:tcW w:w="25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3900.00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3900.00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215</w:t>
            </w:r>
          </w:p>
        </w:tc>
        <w:tc>
          <w:tcPr>
            <w:tcW w:w="342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资源勘探工业信息等支出</w:t>
            </w:r>
          </w:p>
        </w:tc>
        <w:tc>
          <w:tcPr>
            <w:tcW w:w="25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700.00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700.00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21508</w:t>
            </w:r>
          </w:p>
        </w:tc>
        <w:tc>
          <w:tcPr>
            <w:tcW w:w="342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支持中小企业发展和管理支出</w:t>
            </w:r>
          </w:p>
        </w:tc>
        <w:tc>
          <w:tcPr>
            <w:tcW w:w="25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500.00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500.00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2150899</w:t>
            </w:r>
          </w:p>
        </w:tc>
        <w:tc>
          <w:tcPr>
            <w:tcW w:w="342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其他支持中小企业发展和管理支出</w:t>
            </w:r>
          </w:p>
        </w:tc>
        <w:tc>
          <w:tcPr>
            <w:tcW w:w="25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500.00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500.00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21599</w:t>
            </w:r>
          </w:p>
        </w:tc>
        <w:tc>
          <w:tcPr>
            <w:tcW w:w="342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其他资源勘探工业信息等支出</w:t>
            </w:r>
          </w:p>
        </w:tc>
        <w:tc>
          <w:tcPr>
            <w:tcW w:w="25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200.00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200.00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2159999</w:t>
            </w:r>
          </w:p>
        </w:tc>
        <w:tc>
          <w:tcPr>
            <w:tcW w:w="342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其他资源勘探工业信息等支出</w:t>
            </w:r>
          </w:p>
        </w:tc>
        <w:tc>
          <w:tcPr>
            <w:tcW w:w="25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200.00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200.00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w:t>
            </w:r>
          </w:p>
        </w:tc>
        <w:tc>
          <w:tcPr>
            <w:tcW w:w="342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住房保障支出</w:t>
            </w:r>
          </w:p>
        </w:tc>
        <w:tc>
          <w:tcPr>
            <w:tcW w:w="25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21.66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21.66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22102</w:t>
            </w:r>
          </w:p>
        </w:tc>
        <w:tc>
          <w:tcPr>
            <w:tcW w:w="342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住房改革支出</w:t>
            </w:r>
          </w:p>
        </w:tc>
        <w:tc>
          <w:tcPr>
            <w:tcW w:w="25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21.66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21.66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2210201</w:t>
            </w:r>
          </w:p>
        </w:tc>
        <w:tc>
          <w:tcPr>
            <w:tcW w:w="342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住房公积金</w:t>
            </w:r>
          </w:p>
        </w:tc>
        <w:tc>
          <w:tcPr>
            <w:tcW w:w="25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21.66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21.66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w:t>
            </w:r>
          </w:p>
        </w:tc>
        <w:tc>
          <w:tcPr>
            <w:tcW w:w="342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其他支出</w:t>
            </w:r>
          </w:p>
        </w:tc>
        <w:tc>
          <w:tcPr>
            <w:tcW w:w="25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82.04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59.04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23.00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22999</w:t>
            </w:r>
          </w:p>
        </w:tc>
        <w:tc>
          <w:tcPr>
            <w:tcW w:w="342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其他支出</w:t>
            </w:r>
          </w:p>
        </w:tc>
        <w:tc>
          <w:tcPr>
            <w:tcW w:w="25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82.04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59.04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23.00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2299999</w:t>
            </w:r>
          </w:p>
        </w:tc>
        <w:tc>
          <w:tcPr>
            <w:tcW w:w="342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其他支出</w:t>
            </w:r>
          </w:p>
        </w:tc>
        <w:tc>
          <w:tcPr>
            <w:tcW w:w="25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82.04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59.04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23.00</w:t>
            </w:r>
          </w:p>
        </w:tc>
      </w:tr>
      <w:tr>
        <w:tblPrEx>
          <w:tblCellMar>
            <w:top w:w="0" w:type="dxa"/>
            <w:left w:w="108" w:type="dxa"/>
            <w:bottom w:w="0" w:type="dxa"/>
            <w:right w:w="108" w:type="dxa"/>
          </w:tblCellMar>
        </w:tblPrEx>
        <w:trPr>
          <w:trHeight w:val="358" w:hRule="atLeast"/>
        </w:trPr>
        <w:tc>
          <w:tcPr>
            <w:tcW w:w="13980" w:type="dxa"/>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表六：一般公共预算财政拨款基本支出决算表</w:t>
      </w:r>
    </w:p>
    <w:p>
      <w:pPr>
        <w:jc w:val="left"/>
        <w:rPr>
          <w:rFonts w:hint="eastAsia" w:ascii="仿宋" w:hAnsi="仿宋" w:eastAsia="仿宋" w:cs="仿宋"/>
          <w:sz w:val="24"/>
          <w:highlight w:val="none"/>
        </w:rPr>
      </w:pPr>
    </w:p>
    <w:tbl>
      <w:tblPr>
        <w:tblStyle w:val="8"/>
        <w:tblW w:w="14000" w:type="dxa"/>
        <w:tblInd w:w="96" w:type="dxa"/>
        <w:tblLayout w:type="fixed"/>
        <w:tblCellMar>
          <w:top w:w="0" w:type="dxa"/>
          <w:left w:w="108" w:type="dxa"/>
          <w:bottom w:w="0" w:type="dxa"/>
          <w:right w:w="108" w:type="dxa"/>
        </w:tblCellMar>
      </w:tblPr>
      <w:tblGrid>
        <w:gridCol w:w="1107"/>
        <w:gridCol w:w="2371"/>
        <w:gridCol w:w="1106"/>
        <w:gridCol w:w="1280"/>
        <w:gridCol w:w="2347"/>
        <w:gridCol w:w="1160"/>
        <w:gridCol w:w="1173"/>
        <w:gridCol w:w="2147"/>
        <w:gridCol w:w="1309"/>
      </w:tblGrid>
      <w:tr>
        <w:tblPrEx>
          <w:tblCellMar>
            <w:top w:w="0" w:type="dxa"/>
            <w:left w:w="108" w:type="dxa"/>
            <w:bottom w:w="0" w:type="dxa"/>
            <w:right w:w="108" w:type="dxa"/>
          </w:tblCellMar>
        </w:tblPrEx>
        <w:trPr>
          <w:trHeight w:val="614" w:hRule="atLeast"/>
        </w:trPr>
        <w:tc>
          <w:tcPr>
            <w:tcW w:w="14000"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一般公共预算财政拨款基本支出决算明细表</w:t>
            </w:r>
          </w:p>
        </w:tc>
      </w:tr>
      <w:tr>
        <w:tblPrEx>
          <w:tblCellMar>
            <w:top w:w="0" w:type="dxa"/>
            <w:left w:w="108" w:type="dxa"/>
            <w:bottom w:w="0" w:type="dxa"/>
            <w:right w:w="108" w:type="dxa"/>
          </w:tblCellMar>
        </w:tblPrEx>
        <w:trPr>
          <w:trHeight w:val="307" w:hRule="atLeast"/>
        </w:trPr>
        <w:tc>
          <w:tcPr>
            <w:tcW w:w="1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0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1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0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公开06表</w:t>
            </w:r>
          </w:p>
        </w:tc>
      </w:tr>
      <w:tr>
        <w:tblPrEx>
          <w:tblCellMar>
            <w:top w:w="0" w:type="dxa"/>
            <w:left w:w="108" w:type="dxa"/>
            <w:bottom w:w="0" w:type="dxa"/>
            <w:right w:w="108" w:type="dxa"/>
          </w:tblCellMar>
        </w:tblPrEx>
        <w:trPr>
          <w:trHeight w:val="569" w:hRule="atLeast"/>
        </w:trPr>
        <w:tc>
          <w:tcPr>
            <w:tcW w:w="8211" w:type="dxa"/>
            <w:gridSpan w:val="5"/>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广西河池市河池·环江工业园区管理委员会</w:t>
            </w:r>
          </w:p>
        </w:tc>
        <w:tc>
          <w:tcPr>
            <w:tcW w:w="116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456"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9" w:hRule="atLeast"/>
        </w:trPr>
        <w:tc>
          <w:tcPr>
            <w:tcW w:w="45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人员经费</w:t>
            </w:r>
          </w:p>
        </w:tc>
        <w:tc>
          <w:tcPr>
            <w:tcW w:w="941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公用经费</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科目编码</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23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3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1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3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trHeight w:val="1237"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1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工资福利支出</w:t>
            </w:r>
            <w:bookmarkStart w:id="0" w:name="OLE_LINK3"/>
            <w:bookmarkStart w:id="1" w:name="OLE_LINK4"/>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282.79</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29.80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债务利息及费用支出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基本工资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81.30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4.64</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国内债务付息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津贴补贴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45.95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印刷费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国外债务付息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82.51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咨询费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伙食补助费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7.12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手续费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房屋建筑物购建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绩效工资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水费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0.02</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机关事业单位基本养老保险缴费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28.87</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0.21</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职业年金缴费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邮电费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2.97</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31005</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基础设施建设</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职工基本医疗保险缴费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11.80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取暖费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31006</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大型修缮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公务员医疗补助缴费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物业管理费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信息网络及软件购置更新</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其他社会保障缴费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3.56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差旅费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0.63</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物资储备</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住房公积金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21.66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因公出国（境）费用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土地补偿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维修（护）费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安置补助</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其他工资福利支出</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租赁费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地上附着物和青苗补偿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0.58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会议费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拆迁补偿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离休费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培训费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公务接待费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其他交通工具购置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退职（役）费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专用材料费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文物和陈列品购置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抚恤金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被装购置费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无形资产购置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30305</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生活补助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0.58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专用燃料费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救济费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劳务费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委托业务费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国家赔偿费用支出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助学金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工会经费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3.85</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对民间非营利组织和群众性自治组织补贴</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奖励金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福利费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经常性赠与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个人农业生产补贴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公务用车运行维护费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资本性赠与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代缴社会保险费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17.48</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30240</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税金及附加费用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90"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30299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人员经费合计</w:t>
            </w:r>
          </w:p>
          <w:bookmarkEnd w:id="0"/>
          <w:bookmarkEnd w:id="1"/>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283.37</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公用经费合计</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29.80</w:t>
            </w:r>
          </w:p>
        </w:tc>
      </w:tr>
      <w:tr>
        <w:tblPrEx>
          <w:tblCellMar>
            <w:top w:w="0" w:type="dxa"/>
            <w:left w:w="108" w:type="dxa"/>
            <w:bottom w:w="0" w:type="dxa"/>
            <w:right w:w="108" w:type="dxa"/>
          </w:tblCellMar>
        </w:tblPrEx>
        <w:trPr>
          <w:trHeight w:val="319" w:hRule="atLeast"/>
        </w:trPr>
        <w:tc>
          <w:tcPr>
            <w:tcW w:w="14000" w:type="dxa"/>
            <w:gridSpan w:val="9"/>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注：本表反映部门本年度一般公共预算财政拨款基本支出明细情况。</w:t>
            </w: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七</w:t>
      </w:r>
      <w:r>
        <w:rPr>
          <w:rFonts w:hint="eastAsia" w:ascii="仿宋" w:hAnsi="仿宋" w:eastAsia="仿宋" w:cs="仿宋"/>
          <w:sz w:val="24"/>
          <w:highlight w:val="none"/>
        </w:rPr>
        <w:t>：政府性基金预算财政拨款收入支出决算表</w:t>
      </w:r>
    </w:p>
    <w:p>
      <w:pPr>
        <w:jc w:val="left"/>
        <w:rPr>
          <w:rFonts w:hint="eastAsia" w:ascii="仿宋" w:hAnsi="仿宋" w:eastAsia="仿宋" w:cs="仿宋"/>
          <w:sz w:val="24"/>
          <w:highlight w:val="none"/>
        </w:rPr>
      </w:pPr>
    </w:p>
    <w:tbl>
      <w:tblPr>
        <w:tblStyle w:val="8"/>
        <w:tblW w:w="13982" w:type="dxa"/>
        <w:tblInd w:w="96" w:type="dxa"/>
        <w:tblLayout w:type="fixed"/>
        <w:tblCellMar>
          <w:top w:w="0" w:type="dxa"/>
          <w:left w:w="108" w:type="dxa"/>
          <w:bottom w:w="0" w:type="dxa"/>
          <w:right w:w="108" w:type="dxa"/>
        </w:tblCellMar>
      </w:tblPr>
      <w:tblGrid>
        <w:gridCol w:w="1297"/>
        <w:gridCol w:w="240"/>
        <w:gridCol w:w="236"/>
        <w:gridCol w:w="2123"/>
        <w:gridCol w:w="1475"/>
        <w:gridCol w:w="1653"/>
        <w:gridCol w:w="1600"/>
        <w:gridCol w:w="1680"/>
        <w:gridCol w:w="1728"/>
        <w:gridCol w:w="2"/>
        <w:gridCol w:w="1946"/>
        <w:gridCol w:w="2"/>
      </w:tblGrid>
      <w:tr>
        <w:tblPrEx>
          <w:tblCellMar>
            <w:top w:w="0" w:type="dxa"/>
            <w:left w:w="108" w:type="dxa"/>
            <w:bottom w:w="0" w:type="dxa"/>
            <w:right w:w="108" w:type="dxa"/>
          </w:tblCellMar>
        </w:tblPrEx>
        <w:trPr>
          <w:gridAfter w:val="1"/>
          <w:wAfter w:w="2" w:type="dxa"/>
          <w:trHeight w:val="536" w:hRule="atLeast"/>
        </w:trPr>
        <w:tc>
          <w:tcPr>
            <w:tcW w:w="13980" w:type="dxa"/>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政府性基金预算财政拨款收入支出决算表</w:t>
            </w:r>
          </w:p>
        </w:tc>
      </w:tr>
      <w:tr>
        <w:tblPrEx>
          <w:tblCellMar>
            <w:top w:w="0" w:type="dxa"/>
            <w:left w:w="108" w:type="dxa"/>
            <w:bottom w:w="0" w:type="dxa"/>
            <w:right w:w="108" w:type="dxa"/>
          </w:tblCellMar>
        </w:tblPrEx>
        <w:trPr>
          <w:trHeight w:val="268" w:hRule="atLeast"/>
        </w:trPr>
        <w:tc>
          <w:tcPr>
            <w:tcW w:w="129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12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7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30"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7</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2" w:type="dxa"/>
          <w:trHeight w:val="268" w:hRule="atLeast"/>
        </w:trPr>
        <w:tc>
          <w:tcPr>
            <w:tcW w:w="8624"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广西河池市河池·环江工业园区管理委员会</w:t>
            </w:r>
          </w:p>
        </w:tc>
        <w:tc>
          <w:tcPr>
            <w:tcW w:w="16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28"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2" w:type="dxa"/>
          <w:trHeight w:val="277" w:hRule="atLeast"/>
        </w:trPr>
        <w:tc>
          <w:tcPr>
            <w:tcW w:w="3896"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4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年初结转和结余</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本年收入</w:t>
            </w:r>
          </w:p>
        </w:tc>
        <w:tc>
          <w:tcPr>
            <w:tcW w:w="50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c>
          <w:tcPr>
            <w:tcW w:w="19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年末结转和结余</w:t>
            </w: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359"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4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59"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59"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3896"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4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gridAfter w:val="1"/>
          <w:wAfter w:w="2" w:type="dxa"/>
          <w:trHeight w:val="277" w:hRule="atLeast"/>
        </w:trPr>
        <w:tc>
          <w:tcPr>
            <w:tcW w:w="3896"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4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6137.12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6137.12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6137.12</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212</w:t>
            </w:r>
          </w:p>
        </w:tc>
        <w:tc>
          <w:tcPr>
            <w:tcW w:w="235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城乡社区支出</w:t>
            </w:r>
          </w:p>
        </w:tc>
        <w:tc>
          <w:tcPr>
            <w:tcW w:w="14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37.12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37.12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37.12</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21208</w:t>
            </w:r>
          </w:p>
        </w:tc>
        <w:tc>
          <w:tcPr>
            <w:tcW w:w="235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国有土地使用权出让收入安排的支出</w:t>
            </w:r>
          </w:p>
        </w:tc>
        <w:tc>
          <w:tcPr>
            <w:tcW w:w="14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37.12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37.12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37.12</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2120802</w:t>
            </w:r>
          </w:p>
        </w:tc>
        <w:tc>
          <w:tcPr>
            <w:tcW w:w="235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 xml:space="preserve">  土地开发支出</w:t>
            </w:r>
          </w:p>
        </w:tc>
        <w:tc>
          <w:tcPr>
            <w:tcW w:w="14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37.12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37.12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37.12</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w:t>
            </w:r>
          </w:p>
        </w:tc>
        <w:tc>
          <w:tcPr>
            <w:tcW w:w="235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其他支出</w:t>
            </w:r>
          </w:p>
        </w:tc>
        <w:tc>
          <w:tcPr>
            <w:tcW w:w="14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6100.00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6100.00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6100.00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22904</w:t>
            </w:r>
          </w:p>
        </w:tc>
        <w:tc>
          <w:tcPr>
            <w:tcW w:w="235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其他政府性基金及对应专项债务收入安排的支出</w:t>
            </w:r>
          </w:p>
        </w:tc>
        <w:tc>
          <w:tcPr>
            <w:tcW w:w="14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6100.00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6100.00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6100.00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2290402</w:t>
            </w:r>
          </w:p>
        </w:tc>
        <w:tc>
          <w:tcPr>
            <w:tcW w:w="235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 xml:space="preserve">  其他地方自行试点项目收益专项债券收入安排的支出</w:t>
            </w:r>
          </w:p>
        </w:tc>
        <w:tc>
          <w:tcPr>
            <w:tcW w:w="14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6100.00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6100.00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6100.00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注：本表反映部门本年度政府性基金预算财政拨款收入、支出及结转和结余情况。</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八</w:t>
      </w:r>
      <w:r>
        <w:rPr>
          <w:rFonts w:hint="eastAsia" w:ascii="仿宋" w:hAnsi="仿宋" w:eastAsia="仿宋" w:cs="仿宋"/>
          <w:sz w:val="24"/>
          <w:highlight w:val="none"/>
        </w:rPr>
        <w:t>：国有资本经营预算财政拨款支出决算表</w:t>
      </w:r>
    </w:p>
    <w:p>
      <w:pPr>
        <w:jc w:val="left"/>
        <w:rPr>
          <w:rFonts w:hint="eastAsia" w:ascii="仿宋" w:hAnsi="仿宋" w:eastAsia="仿宋" w:cs="仿宋"/>
          <w:sz w:val="24"/>
          <w:highlight w:val="none"/>
        </w:rPr>
      </w:pPr>
    </w:p>
    <w:tbl>
      <w:tblPr>
        <w:tblStyle w:val="8"/>
        <w:tblW w:w="13940" w:type="dxa"/>
        <w:tblInd w:w="96" w:type="dxa"/>
        <w:tblLayout w:type="fixed"/>
        <w:tblCellMar>
          <w:top w:w="0" w:type="dxa"/>
          <w:left w:w="108" w:type="dxa"/>
          <w:bottom w:w="0" w:type="dxa"/>
          <w:right w:w="108" w:type="dxa"/>
        </w:tblCellMar>
      </w:tblPr>
      <w:tblGrid>
        <w:gridCol w:w="1638"/>
        <w:gridCol w:w="501"/>
        <w:gridCol w:w="285"/>
        <w:gridCol w:w="363"/>
        <w:gridCol w:w="1960"/>
        <w:gridCol w:w="2993"/>
        <w:gridCol w:w="3135"/>
        <w:gridCol w:w="3065"/>
      </w:tblGrid>
      <w:tr>
        <w:tblPrEx>
          <w:tblCellMar>
            <w:top w:w="0" w:type="dxa"/>
            <w:left w:w="108" w:type="dxa"/>
            <w:bottom w:w="0" w:type="dxa"/>
            <w:right w:w="108" w:type="dxa"/>
          </w:tblCellMar>
        </w:tblPrEx>
        <w:trPr>
          <w:trHeight w:val="384" w:hRule="atLeast"/>
        </w:trPr>
        <w:tc>
          <w:tcPr>
            <w:tcW w:w="1394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国有资本经营预算财政拨款支出决算表</w:t>
            </w:r>
          </w:p>
        </w:tc>
      </w:tr>
      <w:tr>
        <w:tblPrEx>
          <w:tblCellMar>
            <w:top w:w="0" w:type="dxa"/>
            <w:left w:w="108" w:type="dxa"/>
            <w:bottom w:w="0" w:type="dxa"/>
            <w:right w:w="108" w:type="dxa"/>
          </w:tblCellMar>
        </w:tblPrEx>
        <w:trPr>
          <w:trHeight w:val="264" w:hRule="atLeast"/>
        </w:trPr>
        <w:tc>
          <w:tcPr>
            <w:tcW w:w="2139"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6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9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8</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trHeight w:val="264" w:hRule="atLeast"/>
        </w:trPr>
        <w:tc>
          <w:tcPr>
            <w:tcW w:w="77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广西河池市河池·环江工业园区管理委员会</w:t>
            </w: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08" w:hRule="atLeast"/>
        </w:trPr>
        <w:tc>
          <w:tcPr>
            <w:tcW w:w="474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93"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12" w:hRule="atLeast"/>
        </w:trPr>
        <w:tc>
          <w:tcPr>
            <w:tcW w:w="163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3109" w:type="dxa"/>
            <w:gridSpan w:val="4"/>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299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30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bl>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注：本表反映部门本年度国有资本经营预算财政拨款支出情况。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2"/>
          <w:sz w:val="24"/>
          <w:szCs w:val="24"/>
          <w:lang w:val="en-US" w:eastAsia="zh-CN" w:bidi="ar"/>
        </w:rPr>
      </w:pPr>
      <w:r>
        <w:rPr>
          <w:rFonts w:hint="eastAsia" w:ascii="宋体" w:hAnsi="宋体" w:eastAsia="宋体" w:cs="宋体"/>
          <w:color w:val="auto"/>
          <w:kern w:val="2"/>
          <w:sz w:val="24"/>
          <w:szCs w:val="24"/>
          <w:lang w:val="en-US" w:eastAsia="zh-CN" w:bidi="ar"/>
        </w:rPr>
        <w:t>本部门</w:t>
      </w:r>
      <w:r>
        <w:rPr>
          <w:rFonts w:hint="default" w:ascii="Times New Roman" w:hAnsi="Times New Roman" w:eastAsia="宋体" w:cs="Times New Roman"/>
          <w:color w:val="auto"/>
          <w:kern w:val="2"/>
          <w:sz w:val="24"/>
          <w:szCs w:val="24"/>
          <w:lang w:val="en-US" w:eastAsia="zh-CN" w:bidi="ar"/>
        </w:rPr>
        <w:t>2022</w:t>
      </w:r>
      <w:r>
        <w:rPr>
          <w:rFonts w:hint="eastAsia" w:ascii="宋体" w:hAnsi="宋体" w:eastAsia="宋体" w:cs="宋体"/>
          <w:color w:val="auto"/>
          <w:kern w:val="2"/>
          <w:sz w:val="24"/>
          <w:szCs w:val="24"/>
          <w:lang w:val="en-US" w:eastAsia="zh-CN" w:bidi="ar"/>
        </w:rPr>
        <w:t>年度没有国有资本经营预算财政拨款收入，也没有国有资本经营预算财政拨款安排的支出，故本表无数据。</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FF0000"/>
          <w:kern w:val="2"/>
          <w:sz w:val="21"/>
          <w:szCs w:val="21"/>
          <w:lang w:val="en-US" w:eastAsia="zh-CN" w:bidi="ar"/>
        </w:rPr>
      </w:pPr>
    </w:p>
    <w:p>
      <w:pPr>
        <w:pStyle w:val="2"/>
        <w:rPr>
          <w:rFonts w:hint="eastAsia" w:ascii="宋体" w:hAnsi="宋体" w:eastAsia="宋体" w:cs="宋体"/>
          <w:color w:val="FF0000"/>
          <w:kern w:val="2"/>
          <w:sz w:val="21"/>
          <w:szCs w:val="21"/>
          <w:lang w:val="en-US" w:eastAsia="zh-CN" w:bidi="ar"/>
        </w:rPr>
      </w:pPr>
    </w:p>
    <w:p>
      <w:pPr>
        <w:pStyle w:val="3"/>
        <w:rPr>
          <w:rFonts w:hint="eastAsia" w:ascii="宋体" w:hAnsi="宋体" w:eastAsia="宋体" w:cs="宋体"/>
          <w:color w:val="FF0000"/>
          <w:kern w:val="2"/>
          <w:sz w:val="21"/>
          <w:szCs w:val="21"/>
          <w:lang w:val="en-US" w:eastAsia="zh-CN" w:bidi="ar"/>
        </w:rPr>
      </w:pPr>
    </w:p>
    <w:p>
      <w:pPr>
        <w:pStyle w:val="3"/>
        <w:rPr>
          <w:rFonts w:hint="eastAsia" w:ascii="宋体" w:hAnsi="宋体" w:eastAsia="宋体" w:cs="宋体"/>
          <w:color w:val="FF0000"/>
          <w:kern w:val="2"/>
          <w:sz w:val="21"/>
          <w:szCs w:val="21"/>
          <w:lang w:val="en-US" w:eastAsia="zh-CN" w:bidi="ar"/>
        </w:rPr>
      </w:pPr>
    </w:p>
    <w:p>
      <w:pPr>
        <w:pStyle w:val="3"/>
        <w:rPr>
          <w:rFonts w:hint="eastAsia" w:ascii="宋体" w:hAnsi="宋体" w:eastAsia="宋体" w:cs="宋体"/>
          <w:color w:val="FF0000"/>
          <w:kern w:val="2"/>
          <w:sz w:val="21"/>
          <w:szCs w:val="21"/>
          <w:lang w:val="en-US" w:eastAsia="zh-CN" w:bidi="ar"/>
        </w:rPr>
      </w:pPr>
    </w:p>
    <w:p>
      <w:pPr>
        <w:pStyle w:val="3"/>
        <w:rPr>
          <w:rFonts w:hint="eastAsia" w:ascii="宋体" w:hAnsi="宋体" w:eastAsia="宋体" w:cs="宋体"/>
          <w:color w:val="FF0000"/>
          <w:kern w:val="2"/>
          <w:sz w:val="21"/>
          <w:szCs w:val="21"/>
          <w:lang w:val="en-US" w:eastAsia="zh-CN" w:bidi="ar"/>
        </w:rPr>
      </w:pPr>
    </w:p>
    <w:p>
      <w:pPr>
        <w:pStyle w:val="3"/>
        <w:rPr>
          <w:rFonts w:hint="eastAsia" w:ascii="宋体" w:hAnsi="宋体" w:eastAsia="宋体" w:cs="宋体"/>
          <w:color w:val="FF0000"/>
          <w:kern w:val="2"/>
          <w:sz w:val="21"/>
          <w:szCs w:val="21"/>
          <w:lang w:val="en-US" w:eastAsia="zh-CN" w:bidi="ar"/>
        </w:rPr>
      </w:pPr>
    </w:p>
    <w:tbl>
      <w:tblPr>
        <w:tblStyle w:val="8"/>
        <w:tblW w:w="14036" w:type="dxa"/>
        <w:tblInd w:w="0" w:type="dxa"/>
        <w:tblLayout w:type="fixed"/>
        <w:tblCellMar>
          <w:top w:w="0" w:type="dxa"/>
          <w:left w:w="108" w:type="dxa"/>
          <w:bottom w:w="0" w:type="dxa"/>
          <w:right w:w="108" w:type="dxa"/>
        </w:tblCellMar>
      </w:tblPr>
      <w:tblGrid>
        <w:gridCol w:w="96"/>
        <w:gridCol w:w="1438"/>
        <w:gridCol w:w="1425"/>
        <w:gridCol w:w="1094"/>
        <w:gridCol w:w="1159"/>
        <w:gridCol w:w="1133"/>
        <w:gridCol w:w="1040"/>
        <w:gridCol w:w="1066"/>
        <w:gridCol w:w="1161"/>
        <w:gridCol w:w="1053"/>
        <w:gridCol w:w="1148"/>
        <w:gridCol w:w="1133"/>
        <w:gridCol w:w="1073"/>
        <w:gridCol w:w="17"/>
      </w:tblGrid>
      <w:tr>
        <w:tblPrEx>
          <w:tblCellMar>
            <w:top w:w="0" w:type="dxa"/>
            <w:left w:w="108" w:type="dxa"/>
            <w:bottom w:w="0" w:type="dxa"/>
            <w:right w:w="108" w:type="dxa"/>
          </w:tblCellMar>
        </w:tblPrEx>
        <w:trPr>
          <w:gridBefore w:val="1"/>
          <w:wBefore w:w="96" w:type="dxa"/>
          <w:trHeight w:val="308" w:hRule="atLeast"/>
        </w:trPr>
        <w:tc>
          <w:tcPr>
            <w:tcW w:w="13940" w:type="dxa"/>
            <w:gridSpan w:val="1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gridAfter w:val="1"/>
          <w:wAfter w:w="17" w:type="dxa"/>
          <w:trHeight w:val="632" w:hRule="atLeast"/>
        </w:trPr>
        <w:tc>
          <w:tcPr>
            <w:tcW w:w="14019" w:type="dxa"/>
            <w:gridSpan w:val="1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r>
              <w:rPr>
                <w:rFonts w:hint="eastAsia" w:ascii="仿宋" w:hAnsi="仿宋" w:eastAsia="仿宋" w:cs="仿宋"/>
                <w:sz w:val="24"/>
                <w:highlight w:val="none"/>
                <w:lang w:val="en-US" w:eastAsia="zh-CN"/>
              </w:rPr>
              <w:t>表九：</w:t>
            </w:r>
            <w:r>
              <w:rPr>
                <w:rFonts w:hint="eastAsia" w:ascii="仿宋" w:hAnsi="仿宋" w:eastAsia="仿宋" w:cs="仿宋"/>
                <w:sz w:val="24"/>
                <w:highlight w:val="none"/>
              </w:rPr>
              <w:t>财政拨款“三公”经费支出决算表</w:t>
            </w:r>
          </w:p>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color w:val="000000"/>
                <w:kern w:val="0"/>
                <w:sz w:val="30"/>
                <w:szCs w:val="30"/>
                <w:highlight w:val="none"/>
                <w:lang w:bidi="ar"/>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财政拨款“三公”经费支出决算表</w:t>
            </w:r>
          </w:p>
        </w:tc>
      </w:tr>
      <w:tr>
        <w:tblPrEx>
          <w:tblCellMar>
            <w:top w:w="0" w:type="dxa"/>
            <w:left w:w="108" w:type="dxa"/>
            <w:bottom w:w="0" w:type="dxa"/>
            <w:right w:w="108" w:type="dxa"/>
          </w:tblCellMar>
        </w:tblPrEx>
        <w:trPr>
          <w:gridAfter w:val="1"/>
          <w:wAfter w:w="17" w:type="dxa"/>
          <w:trHeight w:val="316" w:hRule="atLeast"/>
        </w:trPr>
        <w:tc>
          <w:tcPr>
            <w:tcW w:w="1534"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9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5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73"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9</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17" w:type="dxa"/>
          <w:trHeight w:val="316" w:hRule="atLeast"/>
        </w:trPr>
        <w:tc>
          <w:tcPr>
            <w:tcW w:w="7385" w:type="dxa"/>
            <w:gridSpan w:val="7"/>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广西河池市河池·环江工业园区管理委员会</w:t>
            </w: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6"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17" w:type="dxa"/>
          <w:trHeight w:val="326" w:hRule="atLeast"/>
        </w:trPr>
        <w:tc>
          <w:tcPr>
            <w:tcW w:w="7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预算数</w:t>
            </w:r>
          </w:p>
        </w:tc>
        <w:tc>
          <w:tcPr>
            <w:tcW w:w="6634"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gridAfter w:val="1"/>
          <w:wAfter w:w="17" w:type="dxa"/>
          <w:trHeight w:val="326" w:hRule="atLeast"/>
        </w:trPr>
        <w:tc>
          <w:tcPr>
            <w:tcW w:w="153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4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8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4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c>
          <w:tcPr>
            <w:tcW w:w="106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16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3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7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r>
      <w:tr>
        <w:tblPrEx>
          <w:tblCellMar>
            <w:top w:w="0" w:type="dxa"/>
            <w:left w:w="108" w:type="dxa"/>
            <w:bottom w:w="0" w:type="dxa"/>
            <w:right w:w="108" w:type="dxa"/>
          </w:tblCellMar>
        </w:tblPrEx>
        <w:trPr>
          <w:gridAfter w:val="1"/>
          <w:wAfter w:w="17" w:type="dxa"/>
          <w:trHeight w:val="642" w:hRule="atLeast"/>
        </w:trPr>
        <w:tc>
          <w:tcPr>
            <w:tcW w:w="153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2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4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6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1"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7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17" w:type="dxa"/>
          <w:trHeight w:val="959" w:hRule="atLeast"/>
        </w:trPr>
        <w:tc>
          <w:tcPr>
            <w:tcW w:w="1534"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1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0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0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c>
          <w:tcPr>
            <w:tcW w:w="11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8</w:t>
            </w: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9</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10</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11</w:t>
            </w:r>
          </w:p>
        </w:tc>
        <w:tc>
          <w:tcPr>
            <w:tcW w:w="10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12</w:t>
            </w:r>
          </w:p>
        </w:tc>
      </w:tr>
      <w:tr>
        <w:tblPrEx>
          <w:tblCellMar>
            <w:top w:w="0" w:type="dxa"/>
            <w:left w:w="108" w:type="dxa"/>
            <w:bottom w:w="0" w:type="dxa"/>
            <w:right w:w="108" w:type="dxa"/>
          </w:tblCellMar>
        </w:tblPrEx>
        <w:trPr>
          <w:gridAfter w:val="1"/>
          <w:wAfter w:w="17" w:type="dxa"/>
          <w:trHeight w:val="642" w:hRule="atLeast"/>
        </w:trPr>
        <w:tc>
          <w:tcPr>
            <w:tcW w:w="1534"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6.81</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94"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5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6.81</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6.81</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5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default"/>
                <w:highlight w:val="none"/>
              </w:rPr>
              <w:t>0.00</w:t>
            </w:r>
          </w:p>
        </w:tc>
        <w:tc>
          <w:tcPr>
            <w:tcW w:w="107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eastAsia" w:ascii="宋体" w:hAnsi="宋体" w:eastAsia="宋体" w:cs="宋体"/>
                <w:color w:val="000000"/>
                <w:kern w:val="0"/>
                <w:sz w:val="22"/>
                <w:szCs w:val="22"/>
                <w:highlight w:val="none"/>
                <w:lang w:bidi="ar"/>
              </w:rPr>
              <w:t>6.81</w:t>
            </w:r>
          </w:p>
        </w:tc>
      </w:tr>
      <w:tr>
        <w:tblPrEx>
          <w:tblCellMar>
            <w:top w:w="0" w:type="dxa"/>
            <w:left w:w="108" w:type="dxa"/>
            <w:bottom w:w="0" w:type="dxa"/>
            <w:right w:w="108" w:type="dxa"/>
          </w:tblCellMar>
        </w:tblPrEx>
        <w:trPr>
          <w:gridAfter w:val="1"/>
          <w:wAfter w:w="17" w:type="dxa"/>
          <w:trHeight w:val="642" w:hRule="atLeast"/>
        </w:trPr>
        <w:tc>
          <w:tcPr>
            <w:tcW w:w="14019" w:type="dxa"/>
            <w:gridSpan w:val="13"/>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三公”经费支出预决算情况。其中，预算数为“三公”经费全年预算数，反映按规定程序调整后的预算数；决算数是包括当年一般公共预算财政拨款和以前年度结转资金安排的实际支出。</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bl>
    <w:p>
      <w:pPr>
        <w:ind w:firstLine="420" w:firstLineChars="0"/>
        <w:jc w:val="left"/>
        <w:rPr>
          <w:rFonts w:ascii="仿宋" w:hAnsi="仿宋" w:eastAsia="仿宋" w:cs="仿宋"/>
          <w:sz w:val="24"/>
          <w:highlight w:val="none"/>
        </w:rPr>
        <w:sectPr>
          <w:pgSz w:w="16838" w:h="11906" w:orient="landscape"/>
          <w:pgMar w:top="1800" w:right="1440" w:bottom="1800" w:left="1440" w:header="851" w:footer="992" w:gutter="0"/>
          <w:cols w:space="425" w:num="1"/>
          <w:docGrid w:type="lines" w:linePitch="312" w:charSpace="0"/>
        </w:sectPr>
      </w:pPr>
    </w:p>
    <w:p>
      <w:pPr>
        <w:jc w:val="left"/>
        <w:rPr>
          <w:rFonts w:ascii="仿宋" w:hAnsi="仿宋" w:eastAsia="仿宋" w:cs="仿宋"/>
          <w:sz w:val="24"/>
          <w:highlight w:val="none"/>
        </w:rPr>
      </w:pPr>
    </w:p>
    <w:p>
      <w:pPr>
        <w:jc w:val="center"/>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ascii="黑体" w:hAnsi="黑体" w:eastAsia="黑体" w:cs="黑体"/>
          <w:sz w:val="32"/>
          <w:u w:color="auto"/>
        </w:rPr>
        <w:t>河池·环江工业园区管理委员会</w:t>
      </w:r>
      <w:r>
        <w:rPr>
          <w:rFonts w:hint="eastAsia" w:ascii="黑体" w:hAnsi="黑体" w:eastAsia="黑体" w:cs="黑体"/>
          <w:sz w:val="32"/>
          <w:szCs w:val="32"/>
          <w:highlight w:val="none"/>
        </w:rPr>
        <w:t>2022年度部门决算情况说明</w:t>
      </w:r>
    </w:p>
    <w:p>
      <w:pPr>
        <w:jc w:val="left"/>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一、2022年度收入支出决算总体情况</w:t>
      </w:r>
    </w:p>
    <w:p>
      <w:pPr>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（一）本部门2022年度总收入</w:t>
      </w:r>
      <w:r>
        <w:rPr>
          <w:rFonts w:hint="eastAsia" w:ascii="仿宋_GB2312" w:hAnsi="仿宋_GB2312" w:eastAsia="仿宋_GB2312" w:cs="仿宋_GB2312"/>
          <w:sz w:val="32"/>
          <w:szCs w:val="32"/>
          <w:u w:color="auto"/>
        </w:rPr>
        <w:t>19890.29</w:t>
      </w:r>
      <w:r>
        <w:rPr>
          <w:rFonts w:hint="eastAsia" w:ascii="仿宋_GB2312" w:hAnsi="仿宋_GB2312" w:eastAsia="仿宋_GB2312" w:cs="仿宋_GB2312"/>
          <w:sz w:val="32"/>
          <w:szCs w:val="32"/>
          <w:highlight w:val="none"/>
        </w:rPr>
        <w:t>万元，较2021年度决算数</w:t>
      </w:r>
      <w:r>
        <w:rPr>
          <w:rFonts w:hint="eastAsia" w:ascii="仿宋_GB2312" w:hAnsi="仿宋_GB2312" w:eastAsia="仿宋_GB2312" w:cs="仿宋_GB2312"/>
          <w:sz w:val="32"/>
          <w:szCs w:val="32"/>
          <w:u w:color="auto"/>
        </w:rPr>
        <w:t>减少1395.28</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u w:color="auto"/>
        </w:rPr>
        <w:t>下降6.56%</w:t>
      </w:r>
      <w:r>
        <w:rPr>
          <w:rFonts w:hint="eastAsia" w:ascii="仿宋_GB2312" w:hAnsi="仿宋_GB2312" w:eastAsia="仿宋_GB2312" w:cs="仿宋_GB2312"/>
          <w:sz w:val="32"/>
          <w:szCs w:val="32"/>
          <w:highlight w:val="none"/>
        </w:rPr>
        <w:t>，其中本年收入</w:t>
      </w:r>
      <w:r>
        <w:rPr>
          <w:rFonts w:hint="eastAsia" w:ascii="仿宋_GB2312" w:hAnsi="仿宋_GB2312" w:eastAsia="仿宋_GB2312" w:cs="仿宋_GB2312"/>
          <w:sz w:val="32"/>
          <w:szCs w:val="32"/>
          <w:u w:color="auto"/>
        </w:rPr>
        <w:t>19890.29</w:t>
      </w:r>
      <w:r>
        <w:rPr>
          <w:rFonts w:hint="eastAsia" w:ascii="仿宋_GB2312" w:hAnsi="仿宋_GB2312" w:eastAsia="仿宋_GB2312" w:cs="仿宋_GB2312"/>
          <w:sz w:val="32"/>
          <w:szCs w:val="32"/>
          <w:highlight w:val="none"/>
        </w:rPr>
        <w:t>万元。收入具体情况如下。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_GB2312" w:hAnsi="仿宋_GB2312" w:eastAsia="仿宋_GB2312" w:cs="仿宋_GB2312"/>
          <w:color w:val="000000" w:themeColor="text1"/>
          <w:kern w:val="2"/>
          <w:sz w:val="32"/>
          <w:szCs w:val="32"/>
          <w:highlight w:val="none"/>
          <w:lang w:val="en-US" w:eastAsia="zh-CN" w:bidi="ar"/>
          <w14:textFill>
            <w14:solidFill>
              <w14:schemeClr w14:val="tx1"/>
            </w14:solidFill>
          </w14:textFill>
        </w:rPr>
      </w:pPr>
      <w:r>
        <w:rPr>
          <w:rFonts w:hint="eastAsia" w:ascii="仿宋_GB2312" w:hAnsi="仿宋_GB2312" w:eastAsia="仿宋_GB2312" w:cs="仿宋_GB2312"/>
          <w:kern w:val="2"/>
          <w:sz w:val="32"/>
          <w:szCs w:val="32"/>
          <w:highlight w:val="none"/>
          <w:lang w:val="en-US" w:eastAsia="zh-CN" w:bidi="ar"/>
        </w:rPr>
        <w:t>1.一般公共预算财政拨款收入</w:t>
      </w:r>
      <w:r>
        <w:rPr>
          <w:rFonts w:hint="eastAsia" w:ascii="仿宋_GB2312" w:hAnsi="仿宋_GB2312" w:eastAsia="仿宋_GB2312" w:cs="仿宋_GB2312"/>
          <w:sz w:val="32"/>
          <w:szCs w:val="32"/>
          <w:u w:color="auto"/>
        </w:rPr>
        <w:t>13753.17</w:t>
      </w:r>
      <w:r>
        <w:rPr>
          <w:rFonts w:hint="eastAsia" w:ascii="仿宋_GB2312" w:hAnsi="仿宋_GB2312" w:eastAsia="仿宋_GB2312" w:cs="仿宋_GB2312"/>
          <w:kern w:val="2"/>
          <w:sz w:val="32"/>
          <w:szCs w:val="32"/>
          <w:highlight w:val="none"/>
          <w:lang w:val="en-US" w:eastAsia="zh-CN" w:bidi="ar"/>
        </w:rPr>
        <w:t>万元，为</w:t>
      </w:r>
      <w:r>
        <w:rPr>
          <w:rFonts w:hint="eastAsia" w:ascii="仿宋_GB2312" w:hAnsi="仿宋_GB2312" w:eastAsia="仿宋_GB2312" w:cs="仿宋_GB2312"/>
          <w:sz w:val="32"/>
          <w:szCs w:val="32"/>
          <w:highlight w:val="none"/>
        </w:rPr>
        <w:t>环江毛南族自治县</w:t>
      </w:r>
      <w:r>
        <w:rPr>
          <w:rFonts w:hint="eastAsia" w:ascii="仿宋_GB2312" w:hAnsi="仿宋_GB2312" w:eastAsia="仿宋_GB2312" w:cs="仿宋_GB2312"/>
          <w:kern w:val="2"/>
          <w:sz w:val="32"/>
          <w:szCs w:val="32"/>
          <w:highlight w:val="none"/>
          <w:lang w:val="en-US" w:eastAsia="zh-CN" w:bidi="ar"/>
        </w:rPr>
        <w:t>本级财政当年拨付的资金。较2021年度决算数</w:t>
      </w:r>
      <w:r>
        <w:rPr>
          <w:rFonts w:hint="eastAsia" w:ascii="仿宋_GB2312" w:hAnsi="仿宋_GB2312" w:eastAsia="仿宋_GB2312" w:cs="仿宋_GB2312"/>
          <w:sz w:val="32"/>
          <w:szCs w:val="32"/>
          <w:u w:color="auto"/>
        </w:rPr>
        <w:t>减少1015.25</w:t>
      </w:r>
      <w:r>
        <w:rPr>
          <w:rFonts w:hint="eastAsia" w:ascii="仿宋_GB2312" w:hAnsi="仿宋_GB2312" w:eastAsia="仿宋_GB2312" w:cs="仿宋_GB2312"/>
          <w:kern w:val="2"/>
          <w:sz w:val="32"/>
          <w:szCs w:val="32"/>
          <w:highlight w:val="none"/>
          <w:lang w:val="en-US" w:eastAsia="zh-CN" w:bidi="ar"/>
        </w:rPr>
        <w:t>万元，</w:t>
      </w:r>
      <w:r>
        <w:rPr>
          <w:rFonts w:hint="eastAsia" w:ascii="仿宋_GB2312" w:hAnsi="仿宋_GB2312" w:eastAsia="仿宋_GB2312" w:cs="仿宋_GB2312"/>
          <w:sz w:val="32"/>
          <w:szCs w:val="32"/>
          <w:u w:color="auto"/>
        </w:rPr>
        <w:t>下降6.87%</w:t>
      </w:r>
      <w:r>
        <w:rPr>
          <w:rFonts w:hint="eastAsia" w:ascii="仿宋_GB2312" w:hAnsi="仿宋_GB2312" w:eastAsia="仿宋_GB2312" w:cs="仿宋_GB2312"/>
          <w:kern w:val="2"/>
          <w:sz w:val="32"/>
          <w:szCs w:val="32"/>
          <w:highlight w:val="none"/>
          <w:lang w:val="en-US" w:eastAsia="zh-CN" w:bidi="ar"/>
        </w:rPr>
        <w:t>，</w:t>
      </w:r>
      <w:r>
        <w:rPr>
          <w:rFonts w:hint="eastAsia" w:ascii="仿宋_GB2312" w:hAnsi="仿宋_GB2312" w:eastAsia="仿宋_GB2312" w:cs="仿宋_GB2312"/>
          <w:color w:val="000000" w:themeColor="text1"/>
          <w:kern w:val="2"/>
          <w:sz w:val="32"/>
          <w:szCs w:val="32"/>
          <w:highlight w:val="none"/>
          <w:lang w:val="en-US" w:eastAsia="zh-CN" w:bidi="ar"/>
          <w14:textFill>
            <w14:solidFill>
              <w14:schemeClr w14:val="tx1"/>
            </w14:solidFill>
          </w14:textFill>
        </w:rPr>
        <w:t>主要原因：乡村振兴补助资金减少。主要用于;农产品集中加工区项目和大健康食品加工产业园标准化厂房等。</w:t>
      </w:r>
    </w:p>
    <w:p>
      <w:pPr>
        <w:keepNext w:val="0"/>
        <w:keepLines w:val="0"/>
        <w:widowControl w:val="0"/>
        <w:suppressLineNumbers w:val="0"/>
        <w:spacing w:before="0" w:beforeAutospacing="0" w:after="0" w:afterAutospacing="0"/>
        <w:ind w:left="0" w:right="0" w:firstLine="640" w:firstLineChars="200"/>
        <w:jc w:val="left"/>
        <w:rPr>
          <w:rFonts w:hint="eastAsia" w:ascii="仿宋_GB2312" w:hAnsi="仿宋_GB2312" w:eastAsia="仿宋_GB2312" w:cs="仿宋_GB2312"/>
          <w:color w:val="000000" w:themeColor="text1"/>
          <w:kern w:val="2"/>
          <w:sz w:val="32"/>
          <w:szCs w:val="32"/>
          <w:highlight w:val="none"/>
          <w:lang w:val="en-US" w:eastAsia="zh-CN" w:bidi="ar"/>
          <w14:textFill>
            <w14:solidFill>
              <w14:schemeClr w14:val="tx1"/>
            </w14:solidFill>
          </w14:textFill>
        </w:rPr>
      </w:pPr>
      <w:r>
        <w:rPr>
          <w:rFonts w:hint="eastAsia" w:ascii="仿宋_GB2312" w:hAnsi="仿宋_GB2312" w:eastAsia="仿宋_GB2312" w:cs="仿宋_GB2312"/>
          <w:kern w:val="2"/>
          <w:sz w:val="32"/>
          <w:szCs w:val="32"/>
          <w:highlight w:val="none"/>
          <w:lang w:val="en-US" w:eastAsia="zh-CN" w:bidi="ar"/>
        </w:rPr>
        <w:t>2.政府性基金预算财政拨款收入</w:t>
      </w:r>
      <w:r>
        <w:rPr>
          <w:rFonts w:hint="eastAsia" w:ascii="仿宋_GB2312" w:hAnsi="仿宋_GB2312" w:eastAsia="仿宋_GB2312" w:cs="仿宋_GB2312"/>
          <w:sz w:val="32"/>
          <w:szCs w:val="32"/>
          <w:u w:color="auto"/>
        </w:rPr>
        <w:t>6137.12</w:t>
      </w:r>
      <w:r>
        <w:rPr>
          <w:rFonts w:hint="eastAsia" w:ascii="仿宋_GB2312" w:hAnsi="仿宋_GB2312" w:eastAsia="仿宋_GB2312" w:cs="仿宋_GB2312"/>
          <w:kern w:val="2"/>
          <w:sz w:val="32"/>
          <w:szCs w:val="32"/>
          <w:highlight w:val="none"/>
          <w:lang w:val="en-US" w:eastAsia="zh-CN" w:bidi="ar"/>
        </w:rPr>
        <w:t>万元，为</w:t>
      </w:r>
      <w:r>
        <w:rPr>
          <w:rFonts w:hint="eastAsia" w:ascii="仿宋_GB2312" w:hAnsi="仿宋_GB2312" w:eastAsia="仿宋_GB2312" w:cs="仿宋_GB2312"/>
          <w:sz w:val="32"/>
          <w:szCs w:val="32"/>
          <w:highlight w:val="none"/>
        </w:rPr>
        <w:t>环江毛南族自治县</w:t>
      </w:r>
      <w:r>
        <w:rPr>
          <w:rFonts w:hint="eastAsia" w:ascii="仿宋_GB2312" w:hAnsi="仿宋_GB2312" w:eastAsia="仿宋_GB2312" w:cs="仿宋_GB2312"/>
          <w:kern w:val="2"/>
          <w:sz w:val="32"/>
          <w:szCs w:val="32"/>
          <w:highlight w:val="none"/>
          <w:lang w:val="en-US" w:eastAsia="zh-CN" w:bidi="ar"/>
        </w:rPr>
        <w:t>本级财政当年拨付的资金。较2021年度决算数</w:t>
      </w:r>
      <w:r>
        <w:rPr>
          <w:rFonts w:hint="eastAsia" w:ascii="仿宋_GB2312" w:hAnsi="仿宋_GB2312" w:eastAsia="仿宋_GB2312" w:cs="仿宋_GB2312"/>
          <w:sz w:val="32"/>
          <w:szCs w:val="32"/>
          <w:u w:color="auto"/>
        </w:rPr>
        <w:t>减少379.58</w:t>
      </w:r>
      <w:r>
        <w:rPr>
          <w:rFonts w:hint="eastAsia" w:ascii="仿宋_GB2312" w:hAnsi="仿宋_GB2312" w:eastAsia="仿宋_GB2312" w:cs="仿宋_GB2312"/>
          <w:kern w:val="2"/>
          <w:sz w:val="32"/>
          <w:szCs w:val="32"/>
          <w:highlight w:val="none"/>
          <w:lang w:val="en-US" w:eastAsia="zh-CN" w:bidi="ar"/>
        </w:rPr>
        <w:t>万元，</w:t>
      </w:r>
      <w:r>
        <w:rPr>
          <w:rFonts w:hint="eastAsia" w:ascii="仿宋_GB2312" w:hAnsi="仿宋_GB2312" w:eastAsia="仿宋_GB2312" w:cs="仿宋_GB2312"/>
          <w:sz w:val="32"/>
          <w:szCs w:val="32"/>
          <w:u w:color="auto"/>
        </w:rPr>
        <w:t>下降5.82%</w:t>
      </w:r>
      <w:r>
        <w:rPr>
          <w:rFonts w:hint="eastAsia" w:ascii="仿宋_GB2312" w:hAnsi="仿宋_GB2312" w:eastAsia="仿宋_GB2312" w:cs="仿宋_GB2312"/>
          <w:kern w:val="2"/>
          <w:sz w:val="32"/>
          <w:szCs w:val="32"/>
          <w:highlight w:val="none"/>
          <w:lang w:val="en-US" w:eastAsia="zh-CN" w:bidi="ar"/>
        </w:rPr>
        <w:t>，</w:t>
      </w:r>
      <w:r>
        <w:rPr>
          <w:rFonts w:hint="eastAsia" w:ascii="仿宋_GB2312" w:hAnsi="仿宋_GB2312" w:eastAsia="仿宋_GB2312" w:cs="仿宋_GB2312"/>
          <w:color w:val="000000" w:themeColor="text1"/>
          <w:kern w:val="2"/>
          <w:sz w:val="32"/>
          <w:szCs w:val="32"/>
          <w:highlight w:val="none"/>
          <w:lang w:val="en-US" w:eastAsia="zh-CN" w:bidi="ar"/>
          <w14:textFill>
            <w14:solidFill>
              <w14:schemeClr w14:val="tx1"/>
            </w14:solidFill>
          </w14:textFill>
        </w:rPr>
        <w:t>主要原因：债券减少。主要用于：环江高端茧丝绸产业园标准化厂房及附属设施建设项目和环江农产品集中加工区建设项目等。</w:t>
      </w:r>
    </w:p>
    <w:p>
      <w:pPr>
        <w:keepNext w:val="0"/>
        <w:keepLines w:val="0"/>
        <w:widowControl w:val="0"/>
        <w:suppressLineNumbers w:val="0"/>
        <w:spacing w:before="0" w:beforeAutospacing="0" w:after="0" w:afterAutospacing="0"/>
        <w:ind w:left="0" w:right="0" w:firstLine="640" w:firstLineChars="200"/>
        <w:jc w:val="left"/>
        <w:rPr>
          <w:rFonts w:hint="eastAsia" w:ascii="仿宋_GB2312" w:hAnsi="仿宋_GB2312" w:eastAsia="仿宋_GB2312" w:cs="仿宋_GB2312"/>
          <w:kern w:val="2"/>
          <w:sz w:val="32"/>
          <w:szCs w:val="32"/>
          <w:highlight w:val="none"/>
          <w:lang w:val="en-US" w:eastAsia="zh-CN" w:bidi="ar"/>
        </w:rPr>
      </w:pPr>
      <w:r>
        <w:rPr>
          <w:rFonts w:hint="eastAsia" w:ascii="仿宋_GB2312" w:hAnsi="仿宋_GB2312" w:eastAsia="仿宋_GB2312" w:cs="仿宋_GB2312"/>
          <w:kern w:val="2"/>
          <w:sz w:val="32"/>
          <w:szCs w:val="32"/>
          <w:highlight w:val="none"/>
          <w:lang w:val="en-US" w:eastAsia="zh-CN" w:bidi="ar"/>
        </w:rPr>
        <w:t>3.国有资本经营预算财政拨款收入</w:t>
      </w:r>
      <w:r>
        <w:rPr>
          <w:rFonts w:hint="eastAsia" w:ascii="仿宋_GB2312" w:hAnsi="仿宋_GB2312" w:eastAsia="仿宋_GB2312" w:cs="仿宋_GB2312"/>
          <w:sz w:val="32"/>
          <w:szCs w:val="32"/>
          <w:u w:color="auto"/>
        </w:rPr>
        <w:t>0.00</w:t>
      </w:r>
      <w:r>
        <w:rPr>
          <w:rFonts w:hint="eastAsia" w:ascii="仿宋_GB2312" w:hAnsi="仿宋_GB2312" w:eastAsia="仿宋_GB2312" w:cs="仿宋_GB2312"/>
          <w:kern w:val="2"/>
          <w:sz w:val="32"/>
          <w:szCs w:val="32"/>
          <w:highlight w:val="none"/>
          <w:lang w:val="en-US" w:eastAsia="zh-CN" w:bidi="ar"/>
        </w:rPr>
        <w:t>万元。为</w:t>
      </w:r>
      <w:r>
        <w:rPr>
          <w:rFonts w:hint="eastAsia" w:ascii="仿宋_GB2312" w:hAnsi="仿宋_GB2312" w:eastAsia="仿宋_GB2312" w:cs="仿宋_GB2312"/>
          <w:sz w:val="32"/>
          <w:szCs w:val="32"/>
          <w:highlight w:val="none"/>
        </w:rPr>
        <w:t>环江毛南族自治县</w:t>
      </w:r>
      <w:r>
        <w:rPr>
          <w:rFonts w:hint="eastAsia" w:ascii="仿宋_GB2312" w:hAnsi="仿宋_GB2312" w:eastAsia="仿宋_GB2312" w:cs="仿宋_GB2312"/>
          <w:kern w:val="2"/>
          <w:sz w:val="32"/>
          <w:szCs w:val="32"/>
          <w:highlight w:val="none"/>
          <w:lang w:val="en-US" w:eastAsia="zh-CN" w:bidi="ar"/>
        </w:rPr>
        <w:t>本级财政当年拨付的资金。较2021年度决算数</w:t>
      </w:r>
      <w:r>
        <w:rPr>
          <w:rFonts w:hint="eastAsia" w:ascii="仿宋_GB2312" w:hAnsi="仿宋_GB2312" w:eastAsia="仿宋_GB2312" w:cs="仿宋_GB2312"/>
          <w:sz w:val="32"/>
          <w:szCs w:val="32"/>
          <w:u w:color="auto"/>
        </w:rPr>
        <w:t>增加0.00</w:t>
      </w:r>
      <w:r>
        <w:rPr>
          <w:rFonts w:hint="eastAsia" w:ascii="仿宋_GB2312" w:hAnsi="仿宋_GB2312" w:eastAsia="仿宋_GB2312" w:cs="仿宋_GB2312"/>
          <w:kern w:val="2"/>
          <w:sz w:val="32"/>
          <w:szCs w:val="32"/>
          <w:highlight w:val="none"/>
          <w:lang w:val="en-US" w:eastAsia="zh-CN" w:bidi="ar"/>
        </w:rPr>
        <w:t>万元,</w:t>
      </w:r>
      <w:r>
        <w:rPr>
          <w:rFonts w:hint="eastAsia" w:ascii="仿宋_GB2312" w:hAnsi="仿宋_GB2312" w:eastAsia="仿宋_GB2312" w:cs="仿宋_GB2312"/>
          <w:sz w:val="32"/>
          <w:szCs w:val="32"/>
          <w:u w:color="auto"/>
        </w:rPr>
        <w:t>增长0%</w:t>
      </w:r>
      <w:r>
        <w:rPr>
          <w:rFonts w:hint="eastAsia" w:ascii="仿宋_GB2312" w:hAnsi="仿宋_GB2312" w:eastAsia="仿宋_GB2312" w:cs="仿宋_GB2312"/>
          <w:kern w:val="2"/>
          <w:sz w:val="32"/>
          <w:szCs w:val="32"/>
          <w:highlight w:val="none"/>
          <w:lang w:val="en-US" w:eastAsia="zh-CN" w:bidi="ar"/>
        </w:rPr>
        <w:t>，</w:t>
      </w:r>
      <w:r>
        <w:rPr>
          <w:rFonts w:hint="eastAsia" w:ascii="仿宋_GB2312" w:hAnsi="仿宋_GB2312" w:eastAsia="仿宋_GB2312" w:cs="仿宋_GB2312"/>
          <w:color w:val="000000" w:themeColor="text1"/>
          <w:kern w:val="2"/>
          <w:sz w:val="32"/>
          <w:szCs w:val="32"/>
          <w:highlight w:val="none"/>
          <w:lang w:val="en-US" w:eastAsia="zh-CN" w:bidi="ar"/>
          <w14:textFill>
            <w14:solidFill>
              <w14:schemeClr w14:val="tx1"/>
            </w14:solidFill>
          </w14:textFill>
        </w:rPr>
        <w:t>主要原因是</w:t>
      </w:r>
      <w:r>
        <w:rPr>
          <w:rFonts w:hint="eastAsia" w:ascii="仿宋_GB2312" w:hAnsi="仿宋_GB2312" w:eastAsia="仿宋_GB2312" w:cs="仿宋_GB2312"/>
          <w:color w:val="auto"/>
          <w:kern w:val="2"/>
          <w:sz w:val="32"/>
          <w:szCs w:val="32"/>
          <w:highlight w:val="none"/>
          <w:lang w:val="en-US" w:eastAsia="zh-CN" w:bidi="ar"/>
        </w:rPr>
        <w:t>：本单位没有国有资本经营预算财政拨款收入。</w:t>
      </w:r>
    </w:p>
    <w:p>
      <w:pPr>
        <w:keepNext w:val="0"/>
        <w:keepLines w:val="0"/>
        <w:widowControl w:val="0"/>
        <w:suppressLineNumbers w:val="0"/>
        <w:spacing w:before="0" w:beforeAutospacing="0" w:after="0" w:afterAutospacing="0"/>
        <w:ind w:left="0" w:right="0" w:firstLine="640" w:firstLineChars="200"/>
        <w:jc w:val="left"/>
        <w:rPr>
          <w:rFonts w:hint="eastAsia" w:ascii="仿宋_GB2312" w:hAnsi="仿宋_GB2312" w:eastAsia="仿宋_GB2312" w:cs="仿宋_GB2312"/>
          <w:color w:val="auto"/>
          <w:sz w:val="32"/>
          <w:szCs w:val="32"/>
          <w:highlight w:val="none"/>
          <w:lang w:val="en-US"/>
        </w:rPr>
      </w:pPr>
      <w:r>
        <w:rPr>
          <w:rFonts w:hint="eastAsia" w:ascii="仿宋_GB2312" w:hAnsi="仿宋_GB2312" w:eastAsia="仿宋_GB2312" w:cs="仿宋_GB2312"/>
          <w:kern w:val="2"/>
          <w:sz w:val="32"/>
          <w:szCs w:val="32"/>
          <w:highlight w:val="none"/>
          <w:lang w:val="en-US" w:eastAsia="zh-CN" w:bidi="ar"/>
        </w:rPr>
        <w:t>4.上级补助收入</w:t>
      </w:r>
      <w:r>
        <w:rPr>
          <w:rFonts w:hint="eastAsia" w:ascii="仿宋_GB2312" w:hAnsi="仿宋_GB2312" w:eastAsia="仿宋_GB2312" w:cs="仿宋_GB2312"/>
          <w:sz w:val="32"/>
          <w:szCs w:val="32"/>
          <w:u w:color="auto"/>
        </w:rPr>
        <w:t>0.00</w:t>
      </w:r>
      <w:r>
        <w:rPr>
          <w:rFonts w:hint="eastAsia" w:ascii="仿宋_GB2312" w:hAnsi="仿宋_GB2312" w:eastAsia="仿宋_GB2312" w:cs="仿宋_GB2312"/>
          <w:kern w:val="2"/>
          <w:sz w:val="32"/>
          <w:szCs w:val="32"/>
          <w:highlight w:val="none"/>
          <w:lang w:val="en-US" w:eastAsia="zh-CN" w:bidi="ar"/>
        </w:rPr>
        <w:t>万元，为上级部门当年拨付的资金。较2021年度决算数</w:t>
      </w:r>
      <w:r>
        <w:rPr>
          <w:rFonts w:hint="eastAsia" w:ascii="仿宋_GB2312" w:hAnsi="仿宋_GB2312" w:eastAsia="仿宋_GB2312" w:cs="仿宋_GB2312"/>
          <w:sz w:val="32"/>
          <w:szCs w:val="32"/>
          <w:u w:color="auto"/>
        </w:rPr>
        <w:t>增加0.00</w:t>
      </w:r>
      <w:r>
        <w:rPr>
          <w:rFonts w:hint="eastAsia" w:ascii="仿宋_GB2312" w:hAnsi="仿宋_GB2312" w:eastAsia="仿宋_GB2312" w:cs="仿宋_GB2312"/>
          <w:kern w:val="2"/>
          <w:sz w:val="32"/>
          <w:szCs w:val="32"/>
          <w:highlight w:val="none"/>
          <w:lang w:val="en-US" w:eastAsia="zh-CN" w:bidi="ar"/>
        </w:rPr>
        <w:t>万元,</w:t>
      </w:r>
      <w:r>
        <w:rPr>
          <w:rFonts w:hint="eastAsia" w:ascii="仿宋_GB2312" w:hAnsi="仿宋_GB2312" w:eastAsia="仿宋_GB2312" w:cs="仿宋_GB2312"/>
          <w:sz w:val="32"/>
          <w:szCs w:val="32"/>
          <w:u w:color="auto"/>
        </w:rPr>
        <w:t>增长0%</w:t>
      </w:r>
      <w:r>
        <w:rPr>
          <w:rFonts w:hint="eastAsia" w:ascii="仿宋_GB2312" w:hAnsi="仿宋_GB2312" w:eastAsia="仿宋_GB2312" w:cs="仿宋_GB2312"/>
          <w:kern w:val="2"/>
          <w:sz w:val="32"/>
          <w:szCs w:val="32"/>
          <w:highlight w:val="none"/>
          <w:lang w:val="en-US" w:eastAsia="zh-CN" w:bidi="ar"/>
        </w:rPr>
        <w:t>，</w:t>
      </w:r>
      <w:r>
        <w:rPr>
          <w:rFonts w:hint="eastAsia" w:ascii="仿宋_GB2312" w:hAnsi="仿宋_GB2312" w:eastAsia="仿宋_GB2312" w:cs="仿宋_GB2312"/>
          <w:color w:val="000000" w:themeColor="text1"/>
          <w:kern w:val="2"/>
          <w:sz w:val="32"/>
          <w:szCs w:val="32"/>
          <w:highlight w:val="none"/>
          <w:lang w:val="en-US" w:eastAsia="zh-CN" w:bidi="ar"/>
          <w14:textFill>
            <w14:solidFill>
              <w14:schemeClr w14:val="tx1"/>
            </w14:solidFill>
          </w14:textFill>
        </w:rPr>
        <w:t>主要原因是：</w:t>
      </w:r>
      <w:r>
        <w:rPr>
          <w:rFonts w:hint="eastAsia" w:ascii="仿宋_GB2312" w:hAnsi="仿宋_GB2312" w:eastAsia="仿宋_GB2312" w:cs="仿宋_GB2312"/>
          <w:color w:val="auto"/>
          <w:kern w:val="2"/>
          <w:sz w:val="32"/>
          <w:szCs w:val="32"/>
          <w:highlight w:val="none"/>
          <w:lang w:val="en-US" w:eastAsia="zh-CN" w:bidi="ar"/>
        </w:rPr>
        <w:t>本单位没有上级补助收入。</w:t>
      </w:r>
    </w:p>
    <w:p>
      <w:pPr>
        <w:keepNext w:val="0"/>
        <w:keepLines w:val="0"/>
        <w:widowControl w:val="0"/>
        <w:suppressLineNumbers w:val="0"/>
        <w:spacing w:before="0" w:beforeAutospacing="0" w:after="0" w:afterAutospacing="0"/>
        <w:ind w:left="0" w:right="0" w:firstLine="640" w:firstLineChars="200"/>
        <w:jc w:val="left"/>
        <w:rPr>
          <w:rFonts w:hint="eastAsia" w:ascii="仿宋_GB2312" w:hAnsi="仿宋_GB2312" w:eastAsia="仿宋_GB2312" w:cs="仿宋_GB2312"/>
          <w:color w:val="FF0000"/>
          <w:sz w:val="32"/>
          <w:szCs w:val="32"/>
          <w:highlight w:val="none"/>
          <w:lang w:val="en-US"/>
        </w:rPr>
      </w:pPr>
      <w:r>
        <w:rPr>
          <w:rFonts w:hint="eastAsia" w:ascii="仿宋_GB2312" w:hAnsi="仿宋_GB2312" w:eastAsia="仿宋_GB2312" w:cs="仿宋_GB2312"/>
          <w:kern w:val="2"/>
          <w:sz w:val="32"/>
          <w:szCs w:val="32"/>
          <w:highlight w:val="none"/>
          <w:lang w:val="en-US" w:eastAsia="zh-CN" w:bidi="ar"/>
        </w:rPr>
        <w:t>5.事业收入</w:t>
      </w:r>
      <w:r>
        <w:rPr>
          <w:rFonts w:hint="eastAsia" w:ascii="仿宋_GB2312" w:hAnsi="仿宋_GB2312" w:eastAsia="仿宋_GB2312" w:cs="仿宋_GB2312"/>
          <w:sz w:val="32"/>
          <w:szCs w:val="32"/>
          <w:u w:color="auto"/>
        </w:rPr>
        <w:t>0.00</w:t>
      </w:r>
      <w:r>
        <w:rPr>
          <w:rFonts w:hint="eastAsia" w:ascii="仿宋_GB2312" w:hAnsi="仿宋_GB2312" w:eastAsia="仿宋_GB2312" w:cs="仿宋_GB2312"/>
          <w:kern w:val="2"/>
          <w:sz w:val="32"/>
          <w:szCs w:val="32"/>
          <w:highlight w:val="none"/>
          <w:lang w:val="en-US" w:eastAsia="zh-CN" w:bidi="ar"/>
        </w:rPr>
        <w:t>万元，为事业单位开展业务活动取得的收入。较2021年度决算数</w:t>
      </w:r>
      <w:r>
        <w:rPr>
          <w:rFonts w:hint="eastAsia" w:ascii="仿宋_GB2312" w:hAnsi="仿宋_GB2312" w:eastAsia="仿宋_GB2312" w:cs="仿宋_GB2312"/>
          <w:sz w:val="32"/>
          <w:szCs w:val="32"/>
          <w:u w:color="auto"/>
        </w:rPr>
        <w:t>增加0.00</w:t>
      </w:r>
      <w:r>
        <w:rPr>
          <w:rFonts w:hint="eastAsia" w:ascii="仿宋_GB2312" w:hAnsi="仿宋_GB2312" w:eastAsia="仿宋_GB2312" w:cs="仿宋_GB2312"/>
          <w:kern w:val="2"/>
          <w:sz w:val="32"/>
          <w:szCs w:val="32"/>
          <w:highlight w:val="none"/>
          <w:lang w:val="en-US" w:eastAsia="zh-CN" w:bidi="ar"/>
        </w:rPr>
        <w:t>万元,</w:t>
      </w:r>
      <w:r>
        <w:rPr>
          <w:rFonts w:hint="eastAsia" w:ascii="仿宋_GB2312" w:hAnsi="仿宋_GB2312" w:eastAsia="仿宋_GB2312" w:cs="仿宋_GB2312"/>
          <w:sz w:val="32"/>
          <w:szCs w:val="32"/>
          <w:u w:color="auto"/>
        </w:rPr>
        <w:t>增长0%</w:t>
      </w:r>
      <w:r>
        <w:rPr>
          <w:rFonts w:hint="eastAsia" w:ascii="仿宋_GB2312" w:hAnsi="仿宋_GB2312" w:eastAsia="仿宋_GB2312" w:cs="仿宋_GB2312"/>
          <w:kern w:val="2"/>
          <w:sz w:val="32"/>
          <w:szCs w:val="32"/>
          <w:highlight w:val="none"/>
          <w:lang w:val="en-US" w:eastAsia="zh-CN" w:bidi="ar"/>
        </w:rPr>
        <w:t>，</w:t>
      </w:r>
      <w:r>
        <w:rPr>
          <w:rFonts w:hint="eastAsia" w:ascii="仿宋_GB2312" w:hAnsi="仿宋_GB2312" w:eastAsia="仿宋_GB2312" w:cs="仿宋_GB2312"/>
          <w:color w:val="000000" w:themeColor="text1"/>
          <w:kern w:val="2"/>
          <w:sz w:val="32"/>
          <w:szCs w:val="32"/>
          <w:highlight w:val="none"/>
          <w:lang w:val="en-US" w:eastAsia="zh-CN" w:bidi="ar"/>
          <w14:textFill>
            <w14:solidFill>
              <w14:schemeClr w14:val="tx1"/>
            </w14:solidFill>
          </w14:textFill>
        </w:rPr>
        <w:t>主要原因</w:t>
      </w:r>
      <w:r>
        <w:rPr>
          <w:rFonts w:hint="eastAsia" w:ascii="仿宋_GB2312" w:hAnsi="仿宋_GB2312" w:eastAsia="仿宋_GB2312" w:cs="仿宋_GB2312"/>
          <w:color w:val="auto"/>
          <w:kern w:val="2"/>
          <w:sz w:val="32"/>
          <w:szCs w:val="32"/>
          <w:highlight w:val="none"/>
          <w:lang w:val="en-US" w:eastAsia="zh-CN" w:bidi="ar"/>
        </w:rPr>
        <w:t>是：本单位没有事业收入。</w:t>
      </w:r>
    </w:p>
    <w:p>
      <w:pPr>
        <w:keepNext w:val="0"/>
        <w:keepLines w:val="0"/>
        <w:widowControl w:val="0"/>
        <w:suppressLineNumbers w:val="0"/>
        <w:spacing w:before="0" w:beforeAutospacing="0" w:after="0" w:afterAutospacing="0"/>
        <w:ind w:left="0" w:right="0" w:firstLine="640" w:firstLineChars="200"/>
        <w:jc w:val="left"/>
        <w:rPr>
          <w:rFonts w:hint="eastAsia" w:ascii="仿宋_GB2312" w:hAnsi="仿宋_GB2312" w:eastAsia="仿宋_GB2312" w:cs="仿宋_GB2312"/>
          <w:color w:val="auto"/>
          <w:sz w:val="32"/>
          <w:szCs w:val="32"/>
          <w:highlight w:val="none"/>
          <w:lang w:val="en-US"/>
        </w:rPr>
      </w:pPr>
      <w:r>
        <w:rPr>
          <w:rFonts w:hint="eastAsia" w:ascii="仿宋_GB2312" w:hAnsi="仿宋_GB2312" w:eastAsia="仿宋_GB2312" w:cs="仿宋_GB2312"/>
          <w:kern w:val="2"/>
          <w:sz w:val="32"/>
          <w:szCs w:val="32"/>
          <w:highlight w:val="none"/>
          <w:lang w:val="en-US" w:eastAsia="zh-CN" w:bidi="ar"/>
        </w:rPr>
        <w:t>6.经营收入0.00万元,为事业单位在业务活动之外开展非独立核算经营活动取得的收入。较2021年度决算数</w:t>
      </w:r>
      <w:r>
        <w:rPr>
          <w:rFonts w:hint="eastAsia" w:ascii="仿宋_GB2312" w:hAnsi="仿宋_GB2312" w:eastAsia="仿宋_GB2312" w:cs="仿宋_GB2312"/>
          <w:sz w:val="32"/>
          <w:szCs w:val="32"/>
          <w:u w:color="auto"/>
        </w:rPr>
        <w:t>增加0.00</w:t>
      </w:r>
      <w:r>
        <w:rPr>
          <w:rFonts w:hint="eastAsia" w:ascii="仿宋_GB2312" w:hAnsi="仿宋_GB2312" w:eastAsia="仿宋_GB2312" w:cs="仿宋_GB2312"/>
          <w:kern w:val="2"/>
          <w:sz w:val="32"/>
          <w:szCs w:val="32"/>
          <w:highlight w:val="none"/>
          <w:lang w:val="en-US" w:eastAsia="zh-CN" w:bidi="ar"/>
        </w:rPr>
        <w:t>万元，</w:t>
      </w:r>
      <w:r>
        <w:rPr>
          <w:rFonts w:hint="eastAsia" w:ascii="仿宋_GB2312" w:hAnsi="仿宋_GB2312" w:eastAsia="仿宋_GB2312" w:cs="仿宋_GB2312"/>
          <w:sz w:val="32"/>
          <w:szCs w:val="32"/>
          <w:u w:color="auto"/>
        </w:rPr>
        <w:t>增长0%</w:t>
      </w:r>
      <w:r>
        <w:rPr>
          <w:rFonts w:hint="eastAsia" w:ascii="仿宋_GB2312" w:hAnsi="仿宋_GB2312" w:eastAsia="仿宋_GB2312" w:cs="仿宋_GB2312"/>
          <w:kern w:val="2"/>
          <w:sz w:val="32"/>
          <w:szCs w:val="32"/>
          <w:highlight w:val="none"/>
          <w:lang w:val="en-US" w:eastAsia="zh-CN" w:bidi="ar"/>
        </w:rPr>
        <w:t>，</w:t>
      </w:r>
      <w:r>
        <w:rPr>
          <w:rFonts w:hint="eastAsia" w:ascii="仿宋_GB2312" w:hAnsi="仿宋_GB2312" w:eastAsia="仿宋_GB2312" w:cs="仿宋_GB2312"/>
          <w:color w:val="000000" w:themeColor="text1"/>
          <w:kern w:val="2"/>
          <w:sz w:val="32"/>
          <w:szCs w:val="32"/>
          <w:highlight w:val="none"/>
          <w:lang w:val="en-US" w:eastAsia="zh-CN" w:bidi="ar"/>
          <w14:textFill>
            <w14:solidFill>
              <w14:schemeClr w14:val="tx1"/>
            </w14:solidFill>
          </w14:textFill>
        </w:rPr>
        <w:t>主</w:t>
      </w:r>
      <w:r>
        <w:rPr>
          <w:rFonts w:hint="eastAsia" w:ascii="仿宋_GB2312" w:hAnsi="仿宋_GB2312" w:eastAsia="仿宋_GB2312" w:cs="仿宋_GB2312"/>
          <w:color w:val="auto"/>
          <w:kern w:val="2"/>
          <w:sz w:val="32"/>
          <w:szCs w:val="32"/>
          <w:highlight w:val="none"/>
          <w:lang w:val="en-US" w:eastAsia="zh-CN" w:bidi="ar"/>
        </w:rPr>
        <w:t>要原因是：本单位没有经营性收入。</w:t>
      </w:r>
    </w:p>
    <w:p>
      <w:pPr>
        <w:keepNext w:val="0"/>
        <w:keepLines w:val="0"/>
        <w:widowControl w:val="0"/>
        <w:suppressLineNumbers w:val="0"/>
        <w:spacing w:before="0" w:beforeAutospacing="0" w:after="0" w:afterAutospacing="0"/>
        <w:ind w:left="0" w:right="0" w:firstLine="640" w:firstLineChars="200"/>
        <w:jc w:val="left"/>
        <w:rPr>
          <w:rFonts w:hint="eastAsia"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kern w:val="2"/>
          <w:sz w:val="32"/>
          <w:szCs w:val="32"/>
          <w:highlight w:val="none"/>
          <w:lang w:val="en-US" w:eastAsia="zh-CN" w:bidi="ar"/>
        </w:rPr>
        <w:t>7.附属单位上缴收入</w:t>
      </w:r>
      <w:r>
        <w:rPr>
          <w:rFonts w:hint="eastAsia" w:ascii="仿宋_GB2312" w:hAnsi="仿宋_GB2312" w:eastAsia="仿宋_GB2312" w:cs="仿宋_GB2312"/>
          <w:color w:val="auto"/>
          <w:sz w:val="32"/>
          <w:szCs w:val="32"/>
          <w:u w:color="auto"/>
        </w:rPr>
        <w:t>0.00</w:t>
      </w:r>
      <w:r>
        <w:rPr>
          <w:rFonts w:hint="eastAsia" w:ascii="仿宋_GB2312" w:hAnsi="仿宋_GB2312" w:eastAsia="仿宋_GB2312" w:cs="仿宋_GB2312"/>
          <w:color w:val="auto"/>
          <w:kern w:val="2"/>
          <w:sz w:val="32"/>
          <w:szCs w:val="32"/>
          <w:highlight w:val="none"/>
          <w:lang w:val="en-US" w:eastAsia="zh-CN" w:bidi="ar"/>
        </w:rPr>
        <w:t>万元。较2021年度决算数</w:t>
      </w:r>
      <w:r>
        <w:rPr>
          <w:rFonts w:hint="eastAsia" w:ascii="仿宋_GB2312" w:hAnsi="仿宋_GB2312" w:eastAsia="仿宋_GB2312" w:cs="仿宋_GB2312"/>
          <w:color w:val="auto"/>
          <w:sz w:val="32"/>
          <w:szCs w:val="32"/>
          <w:u w:color="auto"/>
        </w:rPr>
        <w:t>增加0.00</w:t>
      </w:r>
      <w:r>
        <w:rPr>
          <w:rFonts w:hint="eastAsia" w:ascii="仿宋_GB2312" w:hAnsi="仿宋_GB2312" w:eastAsia="仿宋_GB2312" w:cs="仿宋_GB2312"/>
          <w:color w:val="auto"/>
          <w:kern w:val="2"/>
          <w:sz w:val="32"/>
          <w:szCs w:val="32"/>
          <w:highlight w:val="none"/>
          <w:lang w:val="en-US" w:eastAsia="zh-CN" w:bidi="ar"/>
        </w:rPr>
        <w:t>万元，</w:t>
      </w:r>
      <w:r>
        <w:rPr>
          <w:rFonts w:hint="eastAsia" w:ascii="仿宋_GB2312" w:hAnsi="仿宋_GB2312" w:eastAsia="仿宋_GB2312" w:cs="仿宋_GB2312"/>
          <w:color w:val="auto"/>
          <w:sz w:val="32"/>
          <w:szCs w:val="32"/>
          <w:u w:color="auto"/>
        </w:rPr>
        <w:t>增长0%</w:t>
      </w:r>
      <w:r>
        <w:rPr>
          <w:rFonts w:hint="eastAsia" w:ascii="仿宋_GB2312" w:hAnsi="仿宋_GB2312" w:eastAsia="仿宋_GB2312" w:cs="仿宋_GB2312"/>
          <w:color w:val="auto"/>
          <w:kern w:val="2"/>
          <w:sz w:val="32"/>
          <w:szCs w:val="32"/>
          <w:highlight w:val="none"/>
          <w:lang w:val="en-US" w:eastAsia="zh-CN" w:bidi="ar"/>
        </w:rPr>
        <w:t>，主要原因是：本单位无附属单位上缴收入。</w:t>
      </w:r>
    </w:p>
    <w:p>
      <w:pPr>
        <w:keepNext w:val="0"/>
        <w:keepLines w:val="0"/>
        <w:widowControl w:val="0"/>
        <w:suppressLineNumbers w:val="0"/>
        <w:spacing w:before="0" w:beforeAutospacing="0" w:after="0" w:afterAutospacing="0"/>
        <w:ind w:left="0" w:right="0" w:firstLine="640" w:firstLineChars="200"/>
        <w:jc w:val="left"/>
        <w:rPr>
          <w:rFonts w:hint="eastAsia" w:ascii="仿宋_GB2312" w:hAnsi="仿宋_GB2312" w:eastAsia="仿宋_GB2312" w:cs="仿宋_GB2312"/>
          <w:color w:val="auto"/>
          <w:sz w:val="32"/>
          <w:szCs w:val="32"/>
          <w:highlight w:val="none"/>
          <w:lang w:val="en-US"/>
        </w:rPr>
      </w:pPr>
      <w:r>
        <w:rPr>
          <w:rFonts w:hint="eastAsia" w:ascii="仿宋_GB2312" w:hAnsi="仿宋_GB2312" w:eastAsia="仿宋_GB2312" w:cs="仿宋_GB2312"/>
          <w:kern w:val="2"/>
          <w:sz w:val="32"/>
          <w:szCs w:val="32"/>
          <w:highlight w:val="none"/>
          <w:lang w:val="en-US" w:eastAsia="zh-CN" w:bidi="ar"/>
        </w:rPr>
        <w:t>8.其他收入</w:t>
      </w:r>
      <w:r>
        <w:rPr>
          <w:rFonts w:hint="eastAsia" w:ascii="仿宋_GB2312" w:hAnsi="仿宋_GB2312" w:eastAsia="仿宋_GB2312" w:cs="仿宋_GB2312"/>
          <w:sz w:val="32"/>
          <w:szCs w:val="32"/>
          <w:u w:color="auto"/>
        </w:rPr>
        <w:t>0.00</w:t>
      </w:r>
      <w:r>
        <w:rPr>
          <w:rFonts w:hint="eastAsia" w:ascii="仿宋_GB2312" w:hAnsi="仿宋_GB2312" w:eastAsia="仿宋_GB2312" w:cs="仿宋_GB2312"/>
          <w:kern w:val="2"/>
          <w:sz w:val="32"/>
          <w:szCs w:val="32"/>
          <w:highlight w:val="none"/>
          <w:lang w:val="en-US" w:eastAsia="zh-CN" w:bidi="ar"/>
        </w:rPr>
        <w:t>万元,为预算单位在“财政拨款收入”“事业收入”“经营收入”之外取得的收入。较2021年度决算数</w:t>
      </w:r>
      <w:r>
        <w:rPr>
          <w:rFonts w:hint="eastAsia" w:ascii="仿宋_GB2312" w:hAnsi="仿宋_GB2312" w:eastAsia="仿宋_GB2312" w:cs="仿宋_GB2312"/>
          <w:sz w:val="32"/>
          <w:szCs w:val="32"/>
          <w:u w:color="auto"/>
        </w:rPr>
        <w:t>增加0.00</w:t>
      </w:r>
      <w:r>
        <w:rPr>
          <w:rFonts w:hint="eastAsia" w:ascii="仿宋_GB2312" w:hAnsi="仿宋_GB2312" w:eastAsia="仿宋_GB2312" w:cs="仿宋_GB2312"/>
          <w:kern w:val="2"/>
          <w:sz w:val="32"/>
          <w:szCs w:val="32"/>
          <w:highlight w:val="none"/>
          <w:lang w:val="en-US" w:eastAsia="zh-CN" w:bidi="ar"/>
        </w:rPr>
        <w:t>万元，</w:t>
      </w:r>
      <w:r>
        <w:rPr>
          <w:rFonts w:hint="eastAsia" w:ascii="仿宋_GB2312" w:hAnsi="仿宋_GB2312" w:eastAsia="仿宋_GB2312" w:cs="仿宋_GB2312"/>
          <w:sz w:val="32"/>
          <w:szCs w:val="32"/>
          <w:u w:color="auto"/>
        </w:rPr>
        <w:t>增长0%</w:t>
      </w:r>
      <w:r>
        <w:rPr>
          <w:rFonts w:hint="eastAsia" w:ascii="仿宋_GB2312" w:hAnsi="仿宋_GB2312" w:eastAsia="仿宋_GB2312" w:cs="仿宋_GB2312"/>
          <w:kern w:val="2"/>
          <w:sz w:val="32"/>
          <w:szCs w:val="32"/>
          <w:highlight w:val="none"/>
          <w:lang w:val="en-US" w:eastAsia="zh-CN" w:bidi="ar"/>
        </w:rPr>
        <w:t>，</w:t>
      </w:r>
      <w:r>
        <w:rPr>
          <w:rFonts w:hint="eastAsia" w:ascii="仿宋_GB2312" w:hAnsi="仿宋_GB2312" w:eastAsia="仿宋_GB2312" w:cs="仿宋_GB2312"/>
          <w:color w:val="000000" w:themeColor="text1"/>
          <w:kern w:val="2"/>
          <w:sz w:val="32"/>
          <w:szCs w:val="32"/>
          <w:highlight w:val="none"/>
          <w:lang w:val="en-US" w:eastAsia="zh-CN" w:bidi="ar"/>
          <w14:textFill>
            <w14:solidFill>
              <w14:schemeClr w14:val="tx1"/>
            </w14:solidFill>
          </w14:textFill>
        </w:rPr>
        <w:t>主要原因</w:t>
      </w:r>
      <w:r>
        <w:rPr>
          <w:rFonts w:hint="eastAsia" w:ascii="仿宋_GB2312" w:hAnsi="仿宋_GB2312" w:eastAsia="仿宋_GB2312" w:cs="仿宋_GB2312"/>
          <w:color w:val="auto"/>
          <w:kern w:val="2"/>
          <w:sz w:val="32"/>
          <w:szCs w:val="32"/>
          <w:highlight w:val="none"/>
          <w:lang w:val="en-US" w:eastAsia="zh-CN" w:bidi="ar"/>
        </w:rPr>
        <w:t>是：本单位没有其他收入。</w:t>
      </w:r>
    </w:p>
    <w:p>
      <w:pPr>
        <w:keepNext w:val="0"/>
        <w:keepLines w:val="0"/>
        <w:widowControl w:val="0"/>
        <w:suppressLineNumbers w:val="0"/>
        <w:spacing w:before="0" w:beforeAutospacing="0" w:after="0" w:afterAutospacing="0"/>
        <w:ind w:left="0" w:right="0" w:firstLine="640" w:firstLineChars="200"/>
        <w:jc w:val="left"/>
        <w:rPr>
          <w:rFonts w:hint="eastAsia" w:ascii="仿宋_GB2312" w:hAnsi="仿宋_GB2312" w:eastAsia="仿宋_GB2312" w:cs="仿宋_GB2312"/>
          <w:color w:val="auto"/>
          <w:sz w:val="32"/>
          <w:szCs w:val="32"/>
          <w:highlight w:val="none"/>
          <w:lang w:val="en-US"/>
        </w:rPr>
      </w:pPr>
      <w:r>
        <w:rPr>
          <w:rFonts w:hint="eastAsia" w:ascii="仿宋_GB2312" w:hAnsi="仿宋_GB2312" w:eastAsia="仿宋_GB2312" w:cs="仿宋_GB2312"/>
          <w:kern w:val="2"/>
          <w:sz w:val="32"/>
          <w:szCs w:val="32"/>
          <w:highlight w:val="none"/>
          <w:lang w:val="en-US" w:eastAsia="zh-CN" w:bidi="ar"/>
        </w:rPr>
        <w:t>9.使用非财政拨款结余</w:t>
      </w:r>
      <w:r>
        <w:rPr>
          <w:rFonts w:hint="eastAsia" w:ascii="仿宋_GB2312" w:hAnsi="仿宋_GB2312" w:eastAsia="仿宋_GB2312" w:cs="仿宋_GB2312"/>
          <w:sz w:val="32"/>
          <w:szCs w:val="32"/>
          <w:u w:color="auto"/>
        </w:rPr>
        <w:t>0.00</w:t>
      </w:r>
      <w:r>
        <w:rPr>
          <w:rFonts w:hint="eastAsia" w:ascii="仿宋_GB2312" w:hAnsi="仿宋_GB2312" w:eastAsia="仿宋_GB2312" w:cs="仿宋_GB2312"/>
          <w:kern w:val="2"/>
          <w:sz w:val="32"/>
          <w:szCs w:val="32"/>
          <w:highlight w:val="none"/>
          <w:lang w:val="en-US" w:eastAsia="zh-CN" w:bidi="ar"/>
        </w:rPr>
        <w:t>万元,主要是所属事业单位在当年的“财政拨款收入”“事业收入”“经营收入”及“其他收入”不能保证其支出的情况下，使用以前年度积累的非财政拨款结余弥补本年度收支缺口的资金。较2021年度决算数</w:t>
      </w:r>
      <w:r>
        <w:rPr>
          <w:rFonts w:hint="eastAsia" w:ascii="仿宋_GB2312" w:hAnsi="仿宋_GB2312" w:eastAsia="仿宋_GB2312" w:cs="仿宋_GB2312"/>
          <w:sz w:val="32"/>
          <w:szCs w:val="32"/>
          <w:u w:color="auto"/>
        </w:rPr>
        <w:t>增加0.00</w:t>
      </w:r>
      <w:r>
        <w:rPr>
          <w:rFonts w:hint="eastAsia" w:ascii="仿宋_GB2312" w:hAnsi="仿宋_GB2312" w:eastAsia="仿宋_GB2312" w:cs="仿宋_GB2312"/>
          <w:kern w:val="2"/>
          <w:sz w:val="32"/>
          <w:szCs w:val="32"/>
          <w:highlight w:val="none"/>
          <w:lang w:val="en-US" w:eastAsia="zh-CN" w:bidi="ar"/>
        </w:rPr>
        <w:t>万元，</w:t>
      </w:r>
      <w:r>
        <w:rPr>
          <w:rFonts w:hint="eastAsia" w:ascii="仿宋_GB2312" w:hAnsi="仿宋_GB2312" w:eastAsia="仿宋_GB2312" w:cs="仿宋_GB2312"/>
          <w:sz w:val="32"/>
          <w:szCs w:val="32"/>
          <w:u w:color="auto"/>
        </w:rPr>
        <w:t>增长0%</w:t>
      </w:r>
      <w:r>
        <w:rPr>
          <w:rFonts w:hint="eastAsia" w:ascii="仿宋_GB2312" w:hAnsi="仿宋_GB2312" w:eastAsia="仿宋_GB2312" w:cs="仿宋_GB2312"/>
          <w:kern w:val="2"/>
          <w:sz w:val="32"/>
          <w:szCs w:val="32"/>
          <w:highlight w:val="none"/>
          <w:lang w:val="en-US" w:eastAsia="zh-CN" w:bidi="ar"/>
        </w:rPr>
        <w:t>，</w:t>
      </w:r>
      <w:r>
        <w:rPr>
          <w:rFonts w:hint="eastAsia" w:ascii="仿宋_GB2312" w:hAnsi="仿宋_GB2312" w:eastAsia="仿宋_GB2312" w:cs="仿宋_GB2312"/>
          <w:color w:val="000000" w:themeColor="text1"/>
          <w:kern w:val="2"/>
          <w:sz w:val="32"/>
          <w:szCs w:val="32"/>
          <w:highlight w:val="none"/>
          <w:lang w:val="en-US" w:eastAsia="zh-CN" w:bidi="ar"/>
          <w14:textFill>
            <w14:solidFill>
              <w14:schemeClr w14:val="tx1"/>
            </w14:solidFill>
          </w14:textFill>
        </w:rPr>
        <w:t>主要</w:t>
      </w:r>
      <w:r>
        <w:rPr>
          <w:rFonts w:hint="eastAsia" w:ascii="仿宋_GB2312" w:hAnsi="仿宋_GB2312" w:eastAsia="仿宋_GB2312" w:cs="仿宋_GB2312"/>
          <w:color w:val="auto"/>
          <w:kern w:val="2"/>
          <w:sz w:val="32"/>
          <w:szCs w:val="32"/>
          <w:highlight w:val="none"/>
          <w:lang w:val="en-US" w:eastAsia="zh-CN" w:bidi="ar"/>
        </w:rPr>
        <w:t>原因是：本单位没有非财政拨款结余。</w:t>
      </w:r>
    </w:p>
    <w:p>
      <w:pPr>
        <w:keepNext w:val="0"/>
        <w:keepLines w:val="0"/>
        <w:widowControl w:val="0"/>
        <w:suppressLineNumbers w:val="0"/>
        <w:spacing w:before="0" w:beforeAutospacing="0" w:after="0" w:afterAutospacing="0"/>
        <w:ind w:left="0" w:right="0" w:firstLine="640" w:firstLineChars="200"/>
        <w:jc w:val="left"/>
        <w:rPr>
          <w:rFonts w:hint="eastAsia" w:ascii="仿宋_GB2312" w:hAnsi="仿宋_GB2312" w:eastAsia="仿宋_GB2312" w:cs="仿宋_GB2312"/>
          <w:color w:val="FF0000"/>
          <w:sz w:val="32"/>
          <w:szCs w:val="32"/>
          <w:highlight w:val="none"/>
          <w:lang w:val="en-US"/>
        </w:rPr>
      </w:pPr>
      <w:r>
        <w:rPr>
          <w:rFonts w:hint="eastAsia" w:ascii="仿宋_GB2312" w:hAnsi="仿宋_GB2312" w:eastAsia="仿宋_GB2312" w:cs="仿宋_GB2312"/>
          <w:kern w:val="2"/>
          <w:sz w:val="32"/>
          <w:szCs w:val="32"/>
          <w:highlight w:val="none"/>
          <w:lang w:val="en-US" w:eastAsia="zh-CN" w:bidi="ar"/>
        </w:rPr>
        <w:t>10.上年结转和结余</w:t>
      </w:r>
      <w:r>
        <w:rPr>
          <w:rFonts w:hint="eastAsia" w:ascii="仿宋_GB2312" w:hAnsi="仿宋_GB2312" w:eastAsia="仿宋_GB2312" w:cs="仿宋_GB2312"/>
          <w:sz w:val="32"/>
          <w:szCs w:val="32"/>
          <w:u w:color="auto"/>
        </w:rPr>
        <w:t>0.00</w:t>
      </w:r>
      <w:r>
        <w:rPr>
          <w:rFonts w:hint="eastAsia" w:ascii="仿宋_GB2312" w:hAnsi="仿宋_GB2312" w:eastAsia="仿宋_GB2312" w:cs="仿宋_GB2312"/>
          <w:kern w:val="2"/>
          <w:sz w:val="32"/>
          <w:szCs w:val="32"/>
          <w:highlight w:val="none"/>
          <w:lang w:val="en-US" w:eastAsia="zh-CN" w:bidi="ar"/>
        </w:rPr>
        <w:t>万元，为以前年度支出预算因</w:t>
      </w:r>
      <w:r>
        <w:rPr>
          <w:rFonts w:hint="eastAsia" w:ascii="仿宋" w:hAnsi="仿宋" w:eastAsia="仿宋" w:cs="仿宋"/>
          <w:kern w:val="2"/>
          <w:sz w:val="32"/>
          <w:szCs w:val="32"/>
          <w:highlight w:val="none"/>
          <w:lang w:val="en-US" w:eastAsia="zh-CN" w:bidi="ar"/>
        </w:rPr>
        <w:t>客观条件变化未执行完毕、结转到本年度按有关规定继续使</w:t>
      </w:r>
      <w:r>
        <w:rPr>
          <w:rFonts w:hint="eastAsia" w:ascii="仿宋_GB2312" w:hAnsi="仿宋_GB2312" w:eastAsia="仿宋_GB2312" w:cs="仿宋_GB2312"/>
          <w:kern w:val="2"/>
          <w:sz w:val="32"/>
          <w:szCs w:val="32"/>
          <w:highlight w:val="none"/>
          <w:lang w:val="en-US" w:eastAsia="zh-CN" w:bidi="ar"/>
        </w:rPr>
        <w:t>用的资金。较2021年度决算数</w:t>
      </w:r>
      <w:r>
        <w:rPr>
          <w:rFonts w:hint="eastAsia" w:ascii="仿宋_GB2312" w:hAnsi="仿宋_GB2312" w:eastAsia="仿宋_GB2312" w:cs="仿宋_GB2312"/>
          <w:sz w:val="32"/>
          <w:szCs w:val="32"/>
          <w:u w:color="auto"/>
        </w:rPr>
        <w:t>减少0.45</w:t>
      </w:r>
      <w:r>
        <w:rPr>
          <w:rFonts w:hint="eastAsia" w:ascii="仿宋_GB2312" w:hAnsi="仿宋_GB2312" w:eastAsia="仿宋_GB2312" w:cs="仿宋_GB2312"/>
          <w:kern w:val="2"/>
          <w:sz w:val="32"/>
          <w:szCs w:val="32"/>
          <w:highlight w:val="none"/>
          <w:lang w:val="en-US" w:eastAsia="zh-CN" w:bidi="ar"/>
        </w:rPr>
        <w:t>万元，</w:t>
      </w:r>
      <w:r>
        <w:rPr>
          <w:rFonts w:hint="eastAsia" w:ascii="仿宋_GB2312" w:hAnsi="仿宋_GB2312" w:eastAsia="仿宋_GB2312" w:cs="仿宋_GB2312"/>
          <w:sz w:val="32"/>
          <w:szCs w:val="32"/>
          <w:u w:color="auto"/>
        </w:rPr>
        <w:t>下降100.00%</w:t>
      </w:r>
      <w:r>
        <w:rPr>
          <w:rFonts w:hint="eastAsia" w:ascii="仿宋_GB2312" w:hAnsi="仿宋_GB2312" w:eastAsia="仿宋_GB2312" w:cs="仿宋_GB2312"/>
          <w:kern w:val="2"/>
          <w:sz w:val="32"/>
          <w:szCs w:val="32"/>
          <w:highlight w:val="none"/>
          <w:lang w:val="en-US" w:eastAsia="zh-CN" w:bidi="ar"/>
        </w:rPr>
        <w:t>，</w:t>
      </w:r>
      <w:r>
        <w:rPr>
          <w:rFonts w:hint="eastAsia" w:ascii="仿宋_GB2312" w:hAnsi="仿宋_GB2312" w:eastAsia="仿宋_GB2312" w:cs="仿宋_GB2312"/>
          <w:color w:val="auto"/>
          <w:kern w:val="2"/>
          <w:sz w:val="32"/>
          <w:szCs w:val="32"/>
          <w:highlight w:val="none"/>
          <w:lang w:val="en-US" w:eastAsia="zh-CN" w:bidi="ar"/>
        </w:rPr>
        <w:t>主要原因：</w:t>
      </w:r>
      <w:r>
        <w:rPr>
          <w:rFonts w:hint="eastAsia" w:ascii="仿宋_GB2312" w:hAnsi="仿宋_GB2312" w:eastAsia="仿宋_GB2312" w:cs="仿宋_GB2312"/>
          <w:color w:val="auto"/>
          <w:kern w:val="0"/>
          <w:sz w:val="32"/>
          <w:szCs w:val="32"/>
        </w:rPr>
        <w:t>招商奖励</w:t>
      </w:r>
      <w:r>
        <w:rPr>
          <w:rFonts w:hint="eastAsia" w:ascii="仿宋_GB2312" w:hAnsi="仿宋_GB2312" w:eastAsia="仿宋_GB2312" w:cs="仿宋_GB2312"/>
          <w:color w:val="auto"/>
          <w:kern w:val="0"/>
          <w:sz w:val="32"/>
          <w:szCs w:val="32"/>
          <w:lang w:eastAsia="zh-CN"/>
        </w:rPr>
        <w:t>资金</w:t>
      </w:r>
      <w:r>
        <w:rPr>
          <w:rFonts w:hint="eastAsia" w:ascii="仿宋_GB2312" w:hAnsi="仿宋_GB2312" w:eastAsia="仿宋_GB2312" w:cs="仿宋_GB2312"/>
          <w:color w:val="auto"/>
          <w:kern w:val="2"/>
          <w:sz w:val="32"/>
          <w:szCs w:val="32"/>
          <w:highlight w:val="none"/>
          <w:lang w:val="en-US" w:eastAsia="zh-CN" w:bidi="ar"/>
        </w:rPr>
        <w:t>已在本年执行完毕，不需要结转至下年继续执行。</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832985" cy="3486150"/>
            <wp:effectExtent l="4445" t="5080" r="20320" b="13970"/>
            <wp:docPr id="2" name="图表 2" title="{{img_js_srzc}}"/>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（二）本部门2022年度总支出</w:t>
      </w:r>
      <w:r>
        <w:rPr>
          <w:rFonts w:hint="eastAsia" w:ascii="仿宋_GB2312" w:hAnsi="仿宋_GB2312" w:eastAsia="仿宋_GB2312" w:cs="仿宋_GB2312"/>
          <w:sz w:val="32"/>
          <w:szCs w:val="32"/>
          <w:u w:color="auto"/>
        </w:rPr>
        <w:t>19890.29</w:t>
      </w:r>
      <w:r>
        <w:rPr>
          <w:rFonts w:hint="eastAsia" w:ascii="仿宋_GB2312" w:hAnsi="仿宋_GB2312" w:eastAsia="仿宋_GB2312" w:cs="仿宋_GB2312"/>
          <w:sz w:val="32"/>
          <w:szCs w:val="32"/>
          <w:highlight w:val="none"/>
        </w:rPr>
        <w:t>万元，其中本年支出</w:t>
      </w:r>
      <w:r>
        <w:rPr>
          <w:rFonts w:hint="eastAsia" w:ascii="仿宋_GB2312" w:hAnsi="仿宋_GB2312" w:eastAsia="仿宋_GB2312" w:cs="仿宋_GB2312"/>
          <w:sz w:val="32"/>
          <w:szCs w:val="32"/>
          <w:u w:color="auto"/>
        </w:rPr>
        <w:t>19890.29</w:t>
      </w:r>
      <w:r>
        <w:rPr>
          <w:rFonts w:hint="eastAsia" w:ascii="仿宋_GB2312" w:hAnsi="仿宋_GB2312" w:eastAsia="仿宋_GB2312" w:cs="仿宋_GB2312"/>
          <w:sz w:val="32"/>
          <w:szCs w:val="32"/>
          <w:highlight w:val="none"/>
        </w:rPr>
        <w:t>万元，较2021年度决算数</w:t>
      </w:r>
      <w:r>
        <w:rPr>
          <w:rFonts w:hint="eastAsia" w:ascii="仿宋_GB2312" w:hAnsi="仿宋_GB2312" w:eastAsia="仿宋_GB2312" w:cs="仿宋_GB2312"/>
          <w:sz w:val="32"/>
          <w:szCs w:val="32"/>
          <w:u w:color="auto"/>
        </w:rPr>
        <w:t>减少1395.28</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u w:color="auto"/>
        </w:rPr>
        <w:t>下降6.56%</w:t>
      </w:r>
      <w:r>
        <w:rPr>
          <w:rFonts w:hint="eastAsia" w:ascii="仿宋_GB2312" w:hAnsi="仿宋_GB2312" w:eastAsia="仿宋_GB2312" w:cs="仿宋_GB2312"/>
          <w:sz w:val="32"/>
          <w:szCs w:val="32"/>
          <w:highlight w:val="none"/>
        </w:rPr>
        <w:t>。支出具体情况如下：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_GB2312" w:hAnsi="仿宋_GB2312" w:eastAsia="仿宋_GB2312" w:cs="仿宋_GB2312"/>
          <w:sz w:val="32"/>
          <w:szCs w:val="32"/>
          <w:highlight w:val="none"/>
          <w:lang w:val="en-US"/>
        </w:rPr>
      </w:pP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u w:color="auto"/>
        </w:rPr>
        <w:t>.</w:t>
      </w:r>
      <w:r>
        <w:rPr>
          <w:rFonts w:hint="eastAsia" w:ascii="仿宋_GB2312" w:hAnsi="仿宋_GB2312" w:eastAsia="仿宋_GB2312" w:cs="仿宋_GB2312"/>
          <w:sz w:val="32"/>
          <w:szCs w:val="32"/>
          <w:highlight w:val="none"/>
          <w:lang w:bidi="ar"/>
        </w:rPr>
        <w:t>一般公共服务支出</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bidi="ar"/>
        </w:rPr>
        <w:t xml:space="preserve">201 </w:t>
      </w:r>
      <w:r>
        <w:rPr>
          <w:rFonts w:hint="eastAsia" w:ascii="仿宋_GB2312" w:hAnsi="仿宋_GB2312" w:eastAsia="仿宋_GB2312" w:cs="仿宋_GB2312"/>
          <w:sz w:val="32"/>
          <w:szCs w:val="32"/>
          <w:highlight w:val="none"/>
        </w:rPr>
        <w:t>类）</w:t>
      </w:r>
      <w:r>
        <w:rPr>
          <w:rFonts w:hint="eastAsia" w:ascii="仿宋_GB2312" w:hAnsi="仿宋_GB2312" w:eastAsia="仿宋_GB2312" w:cs="仿宋_GB2312"/>
          <w:sz w:val="32"/>
          <w:szCs w:val="32"/>
          <w:highlight w:val="none"/>
          <w:lang w:bidi="ar"/>
        </w:rPr>
        <w:t>5620.59</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color w:val="000000" w:themeColor="text1"/>
          <w:sz w:val="32"/>
          <w:szCs w:val="32"/>
          <w:highlight w:val="none"/>
          <w14:textFill>
            <w14:solidFill>
              <w14:schemeClr w14:val="tx1"/>
            </w14:solidFill>
          </w14:textFill>
        </w:rPr>
        <w:t>主要用于</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sz w:val="32"/>
          <w:szCs w:val="32"/>
          <w:highlight w:val="none"/>
        </w:rPr>
        <w:t>本部门为保证日常运转发生的基本支出和为完成各项工作任务、保障</w:t>
      </w:r>
      <w:r>
        <w:rPr>
          <w:rFonts w:hint="eastAsia" w:ascii="仿宋_GB2312" w:hAnsi="仿宋_GB2312" w:eastAsia="仿宋_GB2312" w:cs="仿宋_GB2312"/>
          <w:kern w:val="0"/>
          <w:sz w:val="32"/>
          <w:szCs w:val="32"/>
          <w:highlight w:val="none"/>
        </w:rPr>
        <w:t>单位事业</w:t>
      </w:r>
      <w:r>
        <w:rPr>
          <w:rFonts w:hint="eastAsia" w:ascii="仿宋_GB2312" w:hAnsi="仿宋_GB2312" w:eastAsia="仿宋_GB2312" w:cs="仿宋_GB2312"/>
          <w:sz w:val="32"/>
          <w:szCs w:val="32"/>
          <w:highlight w:val="none"/>
        </w:rPr>
        <w:t>发展而发生的项目支出。</w:t>
      </w:r>
      <w:r>
        <w:rPr>
          <w:rFonts w:hint="eastAsia" w:ascii="仿宋_GB2312" w:hAnsi="仿宋_GB2312" w:eastAsia="仿宋_GB2312" w:cs="仿宋_GB2312"/>
          <w:sz w:val="32"/>
          <w:szCs w:val="32"/>
          <w:lang w:eastAsia="zh-CN"/>
        </w:rPr>
        <w:t>我委</w:t>
      </w:r>
      <w:r>
        <w:rPr>
          <w:rFonts w:hint="eastAsia" w:ascii="仿宋_GB2312" w:hAnsi="仿宋_GB2312" w:eastAsia="仿宋_GB2312" w:cs="仿宋_GB2312"/>
          <w:kern w:val="0"/>
          <w:sz w:val="32"/>
          <w:szCs w:val="32"/>
        </w:rPr>
        <w:t>用于工资、工伤、生育、医疗保险等人员经费支出及项目工作经费支出</w:t>
      </w:r>
      <w:r>
        <w:rPr>
          <w:rFonts w:hint="eastAsia" w:ascii="仿宋_GB2312" w:hAnsi="仿宋_GB2312" w:eastAsia="仿宋_GB2312" w:cs="仿宋_GB2312"/>
          <w:kern w:val="0"/>
          <w:sz w:val="32"/>
          <w:szCs w:val="32"/>
          <w:lang w:eastAsia="zh-CN"/>
        </w:rPr>
        <w:t>；环江祥盛家居材料科技有限公司项目建设奖补经费、园区规划环境影响评价文件编制经费、广西西部陆海新通道广西环江物流集散中心建设项目、工业园区扶贫车间2#楼及二期4#、5#楼装修项目预付款经费、招商奖励、河池市园区区域评估工作经费、园区基础设施建设经费等</w:t>
      </w:r>
      <w:r>
        <w:rPr>
          <w:rFonts w:hint="eastAsia" w:ascii="仿宋_GB2312" w:hAnsi="仿宋_GB2312" w:eastAsia="仿宋_GB2312" w:cs="仿宋_GB2312"/>
          <w:sz w:val="32"/>
          <w:szCs w:val="32"/>
          <w:highlight w:val="none"/>
        </w:rPr>
        <w:t>。较2021年度决算数</w:t>
      </w:r>
      <w:r>
        <w:rPr>
          <w:rFonts w:hint="eastAsia" w:ascii="仿宋_GB2312" w:hAnsi="仿宋_GB2312" w:eastAsia="仿宋_GB2312" w:cs="仿宋_GB2312"/>
          <w:sz w:val="32"/>
          <w:szCs w:val="32"/>
          <w:highlight w:val="none"/>
          <w:lang w:bidi="ar"/>
        </w:rPr>
        <w:t>增加2085.13</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bidi="ar"/>
        </w:rPr>
        <w:t>增长58.98%</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000000" w:themeColor="text1"/>
          <w:kern w:val="2"/>
          <w:sz w:val="32"/>
          <w:szCs w:val="32"/>
          <w:highlight w:val="none"/>
          <w:lang w:val="en-US" w:eastAsia="zh-CN" w:bidi="ar"/>
          <w14:textFill>
            <w14:solidFill>
              <w14:schemeClr w14:val="tx1"/>
            </w14:solidFill>
          </w14:textFill>
        </w:rPr>
        <w:t>主要原因是：</w:t>
      </w:r>
      <w:r>
        <w:rPr>
          <w:rFonts w:hint="eastAsia" w:ascii="仿宋_GB2312" w:hAnsi="仿宋_GB2312" w:eastAsia="仿宋_GB2312" w:cs="仿宋_GB2312"/>
          <w:kern w:val="0"/>
          <w:sz w:val="32"/>
          <w:szCs w:val="32"/>
          <w:lang w:eastAsia="zh-CN"/>
        </w:rPr>
        <w:t>园区基础设施建设费用、广西西部陆海新通道广西环江物流集散中心建设项目、河池市园区区域评估工作经费等资金增加。</w:t>
      </w:r>
    </w:p>
    <w:p>
      <w:pPr>
        <w:autoSpaceDE w:val="0"/>
        <w:autoSpaceDN w:val="0"/>
        <w:adjustRightInd w:val="0"/>
        <w:spacing w:line="560" w:lineRule="exact"/>
        <w:ind w:firstLine="627" w:firstLineChars="196"/>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z w:val="32"/>
          <w:szCs w:val="32"/>
          <w:u w:color="auto"/>
        </w:rPr>
        <w:t>.</w:t>
      </w:r>
      <w:r>
        <w:rPr>
          <w:rFonts w:hint="eastAsia" w:ascii="仿宋_GB2312" w:hAnsi="仿宋_GB2312" w:eastAsia="仿宋_GB2312" w:cs="仿宋_GB2312"/>
          <w:sz w:val="32"/>
          <w:szCs w:val="32"/>
          <w:highlight w:val="none"/>
          <w:lang w:bidi="ar"/>
        </w:rPr>
        <w:t>社会保障和就业支出</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bidi="ar"/>
        </w:rPr>
        <w:t xml:space="preserve">208 </w:t>
      </w:r>
      <w:r>
        <w:rPr>
          <w:rFonts w:hint="eastAsia" w:ascii="仿宋_GB2312" w:hAnsi="仿宋_GB2312" w:eastAsia="仿宋_GB2312" w:cs="仿宋_GB2312"/>
          <w:sz w:val="32"/>
          <w:szCs w:val="32"/>
          <w:highlight w:val="none"/>
        </w:rPr>
        <w:t>类）</w:t>
      </w:r>
      <w:r>
        <w:rPr>
          <w:rFonts w:hint="eastAsia" w:ascii="仿宋_GB2312" w:hAnsi="仿宋_GB2312" w:eastAsia="仿宋_GB2312" w:cs="仿宋_GB2312"/>
          <w:sz w:val="32"/>
          <w:szCs w:val="32"/>
          <w:highlight w:val="none"/>
          <w:lang w:bidi="ar"/>
        </w:rPr>
        <w:t>28.87</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color w:val="000000" w:themeColor="text1"/>
          <w:sz w:val="32"/>
          <w:szCs w:val="32"/>
          <w:highlight w:val="none"/>
          <w14:textFill>
            <w14:solidFill>
              <w14:schemeClr w14:val="tx1"/>
            </w14:solidFill>
          </w14:textFill>
        </w:rPr>
        <w:t>主要用于</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kern w:val="0"/>
          <w:sz w:val="32"/>
          <w:szCs w:val="32"/>
        </w:rPr>
        <w:t>在职在编人员养老保险</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sz w:val="32"/>
          <w:szCs w:val="32"/>
          <w:highlight w:val="none"/>
        </w:rPr>
        <w:t>较2021年度决算数</w:t>
      </w:r>
      <w:r>
        <w:rPr>
          <w:rFonts w:hint="eastAsia" w:ascii="仿宋_GB2312" w:hAnsi="仿宋_GB2312" w:eastAsia="仿宋_GB2312" w:cs="仿宋_GB2312"/>
          <w:sz w:val="32"/>
          <w:szCs w:val="32"/>
          <w:highlight w:val="none"/>
          <w:lang w:bidi="ar"/>
        </w:rPr>
        <w:t>减少2.48</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bidi="ar"/>
        </w:rPr>
        <w:t>下降7.91%</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000000" w:themeColor="text1"/>
          <w:kern w:val="2"/>
          <w:sz w:val="32"/>
          <w:szCs w:val="32"/>
          <w:highlight w:val="none"/>
          <w:lang w:val="en-US" w:eastAsia="zh-CN" w:bidi="ar"/>
          <w14:textFill>
            <w14:solidFill>
              <w14:schemeClr w14:val="tx1"/>
            </w14:solidFill>
          </w14:textFill>
        </w:rPr>
        <w:t>主要原因是：</w:t>
      </w:r>
      <w:r>
        <w:rPr>
          <w:rFonts w:hint="eastAsia" w:ascii="仿宋_GB2312" w:hAnsi="仿宋_GB2312" w:eastAsia="仿宋_GB2312" w:cs="仿宋_GB2312"/>
          <w:kern w:val="0"/>
          <w:sz w:val="32"/>
          <w:szCs w:val="32"/>
          <w:lang w:val="en-US" w:eastAsia="zh-CN"/>
        </w:rPr>
        <w:t>2022年人员进出调整。</w:t>
      </w:r>
    </w:p>
    <w:p>
      <w:pPr>
        <w:keepNext w:val="0"/>
        <w:keepLines w:val="0"/>
        <w:widowControl w:val="0"/>
        <w:suppressLineNumbers w:val="0"/>
        <w:spacing w:before="0" w:beforeAutospacing="0" w:after="0" w:afterAutospacing="0"/>
        <w:ind w:left="0" w:right="0" w:firstLine="640" w:firstLineChars="200"/>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sz w:val="32"/>
          <w:szCs w:val="32"/>
          <w:highlight w:val="none"/>
        </w:rPr>
        <w:t>3</w:t>
      </w:r>
      <w:r>
        <w:rPr>
          <w:rFonts w:hint="eastAsia" w:ascii="仿宋_GB2312" w:hAnsi="仿宋_GB2312" w:eastAsia="仿宋_GB2312" w:cs="仿宋_GB2312"/>
          <w:sz w:val="32"/>
          <w:szCs w:val="32"/>
          <w:u w:color="auto"/>
        </w:rPr>
        <w:t>.</w:t>
      </w:r>
      <w:r>
        <w:rPr>
          <w:rFonts w:hint="eastAsia" w:ascii="仿宋_GB2312" w:hAnsi="仿宋_GB2312" w:eastAsia="仿宋_GB2312" w:cs="仿宋_GB2312"/>
          <w:sz w:val="32"/>
          <w:szCs w:val="32"/>
          <w:highlight w:val="none"/>
          <w:lang w:bidi="ar"/>
        </w:rPr>
        <w:t>城乡社区支出</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bidi="ar"/>
        </w:rPr>
        <w:t xml:space="preserve">212 </w:t>
      </w:r>
      <w:r>
        <w:rPr>
          <w:rFonts w:hint="eastAsia" w:ascii="仿宋_GB2312" w:hAnsi="仿宋_GB2312" w:eastAsia="仿宋_GB2312" w:cs="仿宋_GB2312"/>
          <w:sz w:val="32"/>
          <w:szCs w:val="32"/>
          <w:highlight w:val="none"/>
        </w:rPr>
        <w:t>类）</w:t>
      </w:r>
      <w:r>
        <w:rPr>
          <w:rFonts w:hint="eastAsia" w:ascii="仿宋_GB2312" w:hAnsi="仿宋_GB2312" w:eastAsia="仿宋_GB2312" w:cs="仿宋_GB2312"/>
          <w:sz w:val="32"/>
          <w:szCs w:val="32"/>
          <w:highlight w:val="none"/>
          <w:lang w:bidi="ar"/>
        </w:rPr>
        <w:t>37.12</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color w:val="000000" w:themeColor="text1"/>
          <w:sz w:val="32"/>
          <w:szCs w:val="32"/>
          <w:highlight w:val="none"/>
          <w14:textFill>
            <w14:solidFill>
              <w14:schemeClr w14:val="tx1"/>
            </w14:solidFill>
          </w14:textFill>
        </w:rPr>
        <w:t>主要用于</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sz w:val="32"/>
          <w:szCs w:val="32"/>
          <w:lang w:val="en-US" w:eastAsia="zh-CN"/>
        </w:rPr>
        <w:t>办理广西祥盛家居材料科技有限公司年产35万立方米超强刨花板项目林地使用手续资金等。</w:t>
      </w:r>
      <w:r>
        <w:rPr>
          <w:rFonts w:hint="eastAsia" w:ascii="仿宋_GB2312" w:hAnsi="仿宋_GB2312" w:eastAsia="仿宋_GB2312" w:cs="仿宋_GB2312"/>
          <w:sz w:val="32"/>
          <w:szCs w:val="32"/>
          <w:highlight w:val="none"/>
        </w:rPr>
        <w:t>较2021年度决算数</w:t>
      </w:r>
      <w:r>
        <w:rPr>
          <w:rFonts w:hint="eastAsia" w:ascii="仿宋_GB2312" w:hAnsi="仿宋_GB2312" w:eastAsia="仿宋_GB2312" w:cs="仿宋_GB2312"/>
          <w:sz w:val="32"/>
          <w:szCs w:val="32"/>
          <w:highlight w:val="none"/>
          <w:lang w:bidi="ar"/>
        </w:rPr>
        <w:t>减少279.58</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bidi="ar"/>
        </w:rPr>
        <w:t>下降88.28%</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000000" w:themeColor="text1"/>
          <w:kern w:val="2"/>
          <w:sz w:val="32"/>
          <w:szCs w:val="32"/>
          <w:highlight w:val="none"/>
          <w:lang w:val="en-US" w:eastAsia="zh-CN" w:bidi="ar"/>
          <w14:textFill>
            <w14:solidFill>
              <w14:schemeClr w14:val="tx1"/>
            </w14:solidFill>
          </w14:textFill>
        </w:rPr>
        <w:t>主要原因是：</w:t>
      </w:r>
      <w:r>
        <w:rPr>
          <w:rFonts w:hint="eastAsia" w:ascii="仿宋_GB2312" w:hAnsi="仿宋_GB2312" w:eastAsia="仿宋_GB2312" w:cs="仿宋_GB2312"/>
          <w:kern w:val="0"/>
          <w:sz w:val="32"/>
          <w:szCs w:val="32"/>
          <w:lang w:eastAsia="zh-CN"/>
        </w:rPr>
        <w:t>农民工创业园“两横一纵一渠”路网工程农民工工资和部分材料款等资金减少。</w:t>
      </w:r>
    </w:p>
    <w:p>
      <w:pPr>
        <w:pStyle w:val="3"/>
        <w:numPr>
          <w:ilvl w:val="0"/>
          <w:numId w:val="0"/>
        </w:numPr>
        <w:ind w:firstLine="640" w:firstLineChars="200"/>
        <w:rPr>
          <w:rFonts w:hint="eastAsia" w:ascii="仿宋_GB2312" w:hAnsi="仿宋_GB2312" w:eastAsia="仿宋_GB2312" w:cs="仿宋_GB2312"/>
          <w:sz w:val="32"/>
          <w:szCs w:val="32"/>
          <w:highlight w:val="none"/>
          <w:lang w:val="en-US"/>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sz w:val="32"/>
          <w:szCs w:val="32"/>
          <w:highlight w:val="none"/>
        </w:rPr>
        <w:t>4</w:t>
      </w:r>
      <w:r>
        <w:rPr>
          <w:rFonts w:hint="eastAsia" w:ascii="仿宋_GB2312" w:hAnsi="仿宋_GB2312" w:eastAsia="仿宋_GB2312" w:cs="仿宋_GB2312"/>
          <w:sz w:val="32"/>
          <w:szCs w:val="32"/>
          <w:u w:color="auto"/>
        </w:rPr>
        <w:t>.</w:t>
      </w:r>
      <w:r>
        <w:rPr>
          <w:rFonts w:hint="eastAsia" w:ascii="仿宋_GB2312" w:hAnsi="仿宋_GB2312" w:eastAsia="仿宋_GB2312" w:cs="仿宋_GB2312"/>
          <w:sz w:val="32"/>
          <w:szCs w:val="32"/>
          <w:highlight w:val="none"/>
          <w:lang w:bidi="ar"/>
        </w:rPr>
        <w:t>农林水支出</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bidi="ar"/>
        </w:rPr>
        <w:t xml:space="preserve">213 </w:t>
      </w:r>
      <w:r>
        <w:rPr>
          <w:rFonts w:hint="eastAsia" w:ascii="仿宋_GB2312" w:hAnsi="仿宋_GB2312" w:eastAsia="仿宋_GB2312" w:cs="仿宋_GB2312"/>
          <w:sz w:val="32"/>
          <w:szCs w:val="32"/>
          <w:highlight w:val="none"/>
        </w:rPr>
        <w:t>类）</w:t>
      </w:r>
      <w:r>
        <w:rPr>
          <w:rFonts w:hint="eastAsia" w:ascii="仿宋_GB2312" w:hAnsi="仿宋_GB2312" w:eastAsia="仿宋_GB2312" w:cs="仿宋_GB2312"/>
          <w:sz w:val="32"/>
          <w:szCs w:val="32"/>
          <w:highlight w:val="none"/>
          <w:lang w:bidi="ar"/>
        </w:rPr>
        <w:t>7300.00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color w:val="000000" w:themeColor="text1"/>
          <w:sz w:val="32"/>
          <w:szCs w:val="32"/>
          <w:highlight w:val="none"/>
          <w14:textFill>
            <w14:solidFill>
              <w14:schemeClr w14:val="tx1"/>
            </w14:solidFill>
          </w14:textFill>
        </w:rPr>
        <w:t>主要用于</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kern w:val="0"/>
          <w:sz w:val="32"/>
          <w:szCs w:val="32"/>
          <w:lang w:val="en-US" w:eastAsia="zh-CN"/>
        </w:rPr>
        <w:t>环江农产品加工区建设项目、高端茧丝绸产业园标准化厂房、环江毛南族自治县粤桂协作现代林业产业园项目、河池·环江工业园区农民工创业园(扶贫产业孵化基地)路网工程等</w:t>
      </w:r>
      <w:r>
        <w:rPr>
          <w:rFonts w:hint="eastAsia" w:ascii="仿宋_GB2312" w:hAnsi="仿宋_GB2312" w:eastAsia="仿宋_GB2312" w:cs="仿宋_GB2312"/>
          <w:sz w:val="32"/>
          <w:szCs w:val="32"/>
          <w:highlight w:val="none"/>
        </w:rPr>
        <w:t>。较2021年度决算数</w:t>
      </w:r>
      <w:r>
        <w:rPr>
          <w:rFonts w:hint="eastAsia" w:ascii="仿宋_GB2312" w:hAnsi="仿宋_GB2312" w:eastAsia="仿宋_GB2312" w:cs="仿宋_GB2312"/>
          <w:sz w:val="32"/>
          <w:szCs w:val="32"/>
          <w:highlight w:val="none"/>
          <w:lang w:bidi="ar"/>
        </w:rPr>
        <w:t>减少3436.93</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bidi="ar"/>
        </w:rPr>
        <w:t>下降32.01%</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000000" w:themeColor="text1"/>
          <w:kern w:val="2"/>
          <w:sz w:val="32"/>
          <w:szCs w:val="32"/>
          <w:highlight w:val="none"/>
          <w:lang w:val="en-US" w:eastAsia="zh-CN" w:bidi="ar"/>
          <w14:textFill>
            <w14:solidFill>
              <w14:schemeClr w14:val="tx1"/>
            </w14:solidFill>
          </w14:textFill>
        </w:rPr>
        <w:t>主要原因是：</w:t>
      </w:r>
      <w:r>
        <w:rPr>
          <w:rFonts w:hint="eastAsia" w:ascii="仿宋_GB2312" w:hAnsi="仿宋_GB2312" w:eastAsia="仿宋_GB2312" w:cs="仿宋_GB2312"/>
          <w:kern w:val="0"/>
          <w:sz w:val="32"/>
          <w:szCs w:val="32"/>
          <w:lang w:eastAsia="zh-CN"/>
        </w:rPr>
        <w:t>农产品集中加工区项目、大健康食品加工产业园标准厂房项目等资金减少。</w:t>
      </w:r>
    </w:p>
    <w:p>
      <w:pPr>
        <w:pStyle w:val="3"/>
        <w:numPr>
          <w:ilvl w:val="0"/>
          <w:numId w:val="0"/>
        </w:numPr>
        <w:ind w:firstLine="640" w:firstLineChars="200"/>
        <w:rPr>
          <w:rFonts w:hint="eastAsia" w:ascii="仿宋_GB2312" w:hAnsi="仿宋_GB2312" w:eastAsia="仿宋_GB2312" w:cs="仿宋_GB2312"/>
          <w:sz w:val="32"/>
          <w:szCs w:val="32"/>
          <w:highlight w:val="none"/>
          <w:lang w:val="en-US"/>
        </w:rPr>
      </w:pPr>
      <w:r>
        <w:rPr>
          <w:rFonts w:hint="eastAsia" w:ascii="仿宋_GB2312" w:hAnsi="仿宋_GB2312" w:eastAsia="仿宋_GB2312" w:cs="仿宋_GB2312"/>
          <w:sz w:val="32"/>
          <w:szCs w:val="32"/>
          <w:highlight w:val="none"/>
        </w:rPr>
        <w:t>5</w:t>
      </w:r>
      <w:r>
        <w:rPr>
          <w:rFonts w:hint="eastAsia" w:ascii="仿宋_GB2312" w:hAnsi="仿宋_GB2312" w:eastAsia="仿宋_GB2312" w:cs="仿宋_GB2312"/>
          <w:sz w:val="32"/>
          <w:szCs w:val="32"/>
          <w:u w:color="auto"/>
        </w:rPr>
        <w:t>.</w:t>
      </w:r>
      <w:r>
        <w:rPr>
          <w:rFonts w:hint="eastAsia" w:ascii="仿宋_GB2312" w:hAnsi="仿宋_GB2312" w:eastAsia="仿宋_GB2312" w:cs="仿宋_GB2312"/>
          <w:sz w:val="32"/>
          <w:szCs w:val="32"/>
          <w:highlight w:val="none"/>
          <w:lang w:bidi="ar"/>
        </w:rPr>
        <w:t>资源勘探工业信息等支出</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bidi="ar"/>
        </w:rPr>
        <w:t xml:space="preserve">215 </w:t>
      </w:r>
      <w:r>
        <w:rPr>
          <w:rFonts w:hint="eastAsia" w:ascii="仿宋_GB2312" w:hAnsi="仿宋_GB2312" w:eastAsia="仿宋_GB2312" w:cs="仿宋_GB2312"/>
          <w:sz w:val="32"/>
          <w:szCs w:val="32"/>
          <w:highlight w:val="none"/>
        </w:rPr>
        <w:t>类）</w:t>
      </w:r>
      <w:r>
        <w:rPr>
          <w:rFonts w:hint="eastAsia" w:ascii="仿宋_GB2312" w:hAnsi="仿宋_GB2312" w:eastAsia="仿宋_GB2312" w:cs="仿宋_GB2312"/>
          <w:sz w:val="32"/>
          <w:szCs w:val="32"/>
          <w:highlight w:val="none"/>
          <w:lang w:bidi="ar"/>
        </w:rPr>
        <w:t>700.00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color w:val="000000" w:themeColor="text1"/>
          <w:sz w:val="32"/>
          <w:szCs w:val="32"/>
          <w:highlight w:val="none"/>
          <w14:textFill>
            <w14:solidFill>
              <w14:schemeClr w14:val="tx1"/>
            </w14:solidFill>
          </w14:textFill>
        </w:rPr>
        <w:t>主要用于</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kern w:val="0"/>
          <w:sz w:val="32"/>
          <w:szCs w:val="32"/>
          <w:lang w:val="en-US" w:eastAsia="zh-CN"/>
        </w:rPr>
        <w:t>环江智慧工业园区建设项目、大健康食品加工产业园厂房等</w:t>
      </w:r>
      <w:r>
        <w:rPr>
          <w:rFonts w:hint="eastAsia" w:ascii="仿宋_GB2312" w:hAnsi="仿宋_GB2312" w:eastAsia="仿宋_GB2312" w:cs="仿宋_GB2312"/>
          <w:sz w:val="32"/>
          <w:szCs w:val="32"/>
          <w:highlight w:val="none"/>
        </w:rPr>
        <w:t>。较2021年度决算数</w:t>
      </w:r>
      <w:r>
        <w:rPr>
          <w:rFonts w:hint="eastAsia" w:ascii="仿宋_GB2312" w:hAnsi="仿宋_GB2312" w:eastAsia="仿宋_GB2312" w:cs="仿宋_GB2312"/>
          <w:sz w:val="32"/>
          <w:szCs w:val="32"/>
          <w:highlight w:val="none"/>
          <w:lang w:bidi="ar"/>
        </w:rPr>
        <w:t>增加700.00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bidi="ar"/>
        </w:rPr>
        <w:t>增长100%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000000" w:themeColor="text1"/>
          <w:kern w:val="2"/>
          <w:sz w:val="32"/>
          <w:szCs w:val="32"/>
          <w:highlight w:val="none"/>
          <w:lang w:val="en-US" w:eastAsia="zh-CN" w:bidi="ar"/>
          <w14:textFill>
            <w14:solidFill>
              <w14:schemeClr w14:val="tx1"/>
            </w14:solidFill>
          </w14:textFill>
        </w:rPr>
        <w:t>主要原因是：</w:t>
      </w:r>
      <w:r>
        <w:rPr>
          <w:rFonts w:hint="eastAsia" w:ascii="仿宋_GB2312" w:hAnsi="仿宋_GB2312" w:eastAsia="仿宋_GB2312" w:cs="仿宋_GB2312"/>
          <w:kern w:val="0"/>
          <w:sz w:val="32"/>
          <w:szCs w:val="32"/>
          <w:lang w:val="en-US" w:eastAsia="zh-CN"/>
        </w:rPr>
        <w:t>环江智慧工业园区建设项目、大健康食品加工产业园厂房等资金增加。</w:t>
      </w:r>
    </w:p>
    <w:p>
      <w:pPr>
        <w:keepNext w:val="0"/>
        <w:keepLines w:val="0"/>
        <w:widowControl w:val="0"/>
        <w:suppressLineNumbers w:val="0"/>
        <w:spacing w:before="0" w:beforeAutospacing="0" w:after="0" w:afterAutospacing="0"/>
        <w:ind w:left="0" w:right="0" w:firstLine="640" w:firstLineChars="200"/>
        <w:jc w:val="left"/>
        <w:rPr>
          <w:rFonts w:hint="eastAsia" w:ascii="仿宋_GB2312" w:hAnsi="仿宋_GB2312" w:eastAsia="仿宋_GB2312" w:cs="仿宋_GB2312"/>
          <w:sz w:val="32"/>
          <w:szCs w:val="32"/>
          <w:highlight w:val="none"/>
          <w:lang w:val="en-US"/>
        </w:rPr>
      </w:pPr>
      <w:r>
        <w:rPr>
          <w:rFonts w:hint="eastAsia" w:ascii="仿宋_GB2312" w:hAnsi="仿宋_GB2312" w:eastAsia="仿宋_GB2312" w:cs="仿宋_GB2312"/>
          <w:sz w:val="32"/>
          <w:szCs w:val="32"/>
          <w:highlight w:val="none"/>
        </w:rPr>
        <w:t>6</w:t>
      </w:r>
      <w:r>
        <w:rPr>
          <w:rFonts w:hint="eastAsia" w:ascii="仿宋_GB2312" w:hAnsi="仿宋_GB2312" w:eastAsia="仿宋_GB2312" w:cs="仿宋_GB2312"/>
          <w:sz w:val="32"/>
          <w:szCs w:val="32"/>
          <w:u w:color="auto"/>
        </w:rPr>
        <w:t>.</w:t>
      </w:r>
      <w:r>
        <w:rPr>
          <w:rFonts w:hint="eastAsia" w:ascii="仿宋_GB2312" w:hAnsi="仿宋_GB2312" w:eastAsia="仿宋_GB2312" w:cs="仿宋_GB2312"/>
          <w:sz w:val="32"/>
          <w:szCs w:val="32"/>
          <w:highlight w:val="none"/>
          <w:lang w:bidi="ar"/>
        </w:rPr>
        <w:t>住房保障支出</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bidi="ar"/>
        </w:rPr>
        <w:t xml:space="preserve">221 </w:t>
      </w:r>
      <w:r>
        <w:rPr>
          <w:rFonts w:hint="eastAsia" w:ascii="仿宋_GB2312" w:hAnsi="仿宋_GB2312" w:eastAsia="仿宋_GB2312" w:cs="仿宋_GB2312"/>
          <w:sz w:val="32"/>
          <w:szCs w:val="32"/>
          <w:highlight w:val="none"/>
        </w:rPr>
        <w:t>类）</w:t>
      </w:r>
      <w:r>
        <w:rPr>
          <w:rFonts w:hint="eastAsia" w:ascii="仿宋_GB2312" w:hAnsi="仿宋_GB2312" w:eastAsia="仿宋_GB2312" w:cs="仿宋_GB2312"/>
          <w:sz w:val="32"/>
          <w:szCs w:val="32"/>
          <w:highlight w:val="none"/>
          <w:lang w:bidi="ar"/>
        </w:rPr>
        <w:t>21.66</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color w:val="000000" w:themeColor="text1"/>
          <w:sz w:val="32"/>
          <w:szCs w:val="32"/>
          <w:highlight w:val="none"/>
          <w14:textFill>
            <w14:solidFill>
              <w14:schemeClr w14:val="tx1"/>
            </w14:solidFill>
          </w14:textFill>
        </w:rPr>
        <w:t>主要用于</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kern w:val="0"/>
          <w:sz w:val="32"/>
          <w:szCs w:val="32"/>
          <w:highlight w:val="none"/>
        </w:rPr>
        <w:t>按照国家政策规定向职工发放的住房公积金、提租补贴、购房补贴等住房改革方</w:t>
      </w:r>
      <w:r>
        <w:rPr>
          <w:rFonts w:hint="eastAsia" w:ascii="仿宋_GB2312" w:hAnsi="仿宋_GB2312" w:eastAsia="仿宋_GB2312" w:cs="仿宋_GB2312"/>
          <w:spacing w:val="-3"/>
          <w:kern w:val="0"/>
          <w:sz w:val="32"/>
          <w:szCs w:val="32"/>
          <w:highlight w:val="none"/>
        </w:rPr>
        <w:t>面的支出。</w:t>
      </w:r>
      <w:r>
        <w:rPr>
          <w:rFonts w:hint="eastAsia" w:ascii="仿宋_GB2312" w:hAnsi="仿宋_GB2312" w:eastAsia="仿宋_GB2312" w:cs="仿宋_GB2312"/>
          <w:spacing w:val="-3"/>
          <w:kern w:val="0"/>
          <w:sz w:val="32"/>
          <w:szCs w:val="32"/>
          <w:highlight w:val="none"/>
          <w:lang w:eastAsia="zh-CN"/>
        </w:rPr>
        <w:t>我委</w:t>
      </w:r>
      <w:r>
        <w:rPr>
          <w:rFonts w:hint="eastAsia" w:ascii="仿宋_GB2312" w:hAnsi="仿宋_GB2312" w:eastAsia="仿宋_GB2312" w:cs="仿宋_GB2312"/>
          <w:kern w:val="0"/>
          <w:sz w:val="32"/>
          <w:szCs w:val="32"/>
        </w:rPr>
        <w:t>主要用于职工住房公积金支出。</w:t>
      </w:r>
      <w:r>
        <w:rPr>
          <w:rFonts w:hint="eastAsia" w:ascii="仿宋_GB2312" w:hAnsi="仿宋_GB2312" w:eastAsia="仿宋_GB2312" w:cs="仿宋_GB2312"/>
          <w:sz w:val="32"/>
          <w:szCs w:val="32"/>
          <w:highlight w:val="none"/>
        </w:rPr>
        <w:t>较2021年度决算数</w:t>
      </w:r>
      <w:r>
        <w:rPr>
          <w:rFonts w:hint="eastAsia" w:ascii="仿宋_GB2312" w:hAnsi="仿宋_GB2312" w:eastAsia="仿宋_GB2312" w:cs="仿宋_GB2312"/>
          <w:sz w:val="32"/>
          <w:szCs w:val="32"/>
          <w:highlight w:val="none"/>
          <w:lang w:bidi="ar"/>
        </w:rPr>
        <w:t>减少1.86</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bidi="ar"/>
        </w:rPr>
        <w:t>下降7.91%</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000000" w:themeColor="text1"/>
          <w:kern w:val="2"/>
          <w:sz w:val="32"/>
          <w:szCs w:val="32"/>
          <w:highlight w:val="none"/>
          <w:lang w:val="en-US" w:eastAsia="zh-CN" w:bidi="ar"/>
          <w14:textFill>
            <w14:solidFill>
              <w14:schemeClr w14:val="tx1"/>
            </w14:solidFill>
          </w14:textFill>
        </w:rPr>
        <w:t>主要原因是：</w:t>
      </w:r>
      <w:r>
        <w:rPr>
          <w:rFonts w:hint="eastAsia" w:ascii="仿宋_GB2312" w:hAnsi="仿宋_GB2312" w:eastAsia="仿宋_GB2312" w:cs="仿宋_GB2312"/>
          <w:kern w:val="0"/>
          <w:sz w:val="32"/>
          <w:szCs w:val="32"/>
          <w:lang w:val="en-US" w:eastAsia="zh-CN"/>
        </w:rPr>
        <w:t>2022年人员进出调整。</w:t>
      </w:r>
    </w:p>
    <w:p>
      <w:pPr>
        <w:keepNext w:val="0"/>
        <w:keepLines w:val="0"/>
        <w:widowControl w:val="0"/>
        <w:suppressLineNumbers w:val="0"/>
        <w:spacing w:before="0" w:beforeAutospacing="0" w:after="0" w:afterAutospacing="0"/>
        <w:ind w:left="0" w:right="0" w:firstLine="640" w:firstLineChars="200"/>
        <w:jc w:val="left"/>
        <w:rPr>
          <w:rFonts w:hint="eastAsia"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sz w:val="32"/>
          <w:szCs w:val="32"/>
          <w:highlight w:val="none"/>
        </w:rPr>
        <w:t>7</w:t>
      </w:r>
      <w:r>
        <w:rPr>
          <w:rFonts w:hint="eastAsia" w:ascii="仿宋_GB2312" w:hAnsi="仿宋_GB2312" w:eastAsia="仿宋_GB2312" w:cs="仿宋_GB2312"/>
          <w:color w:val="auto"/>
          <w:sz w:val="32"/>
          <w:szCs w:val="32"/>
          <w:u w:color="auto"/>
        </w:rPr>
        <w:t>.</w:t>
      </w:r>
      <w:r>
        <w:rPr>
          <w:rFonts w:hint="eastAsia" w:ascii="仿宋_GB2312" w:hAnsi="仿宋_GB2312" w:eastAsia="仿宋_GB2312" w:cs="仿宋_GB2312"/>
          <w:color w:val="auto"/>
          <w:sz w:val="32"/>
          <w:szCs w:val="32"/>
          <w:highlight w:val="none"/>
          <w:lang w:bidi="ar"/>
        </w:rPr>
        <w:t>其他支出</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bidi="ar"/>
        </w:rPr>
        <w:t xml:space="preserve">229 </w:t>
      </w:r>
      <w:r>
        <w:rPr>
          <w:rFonts w:hint="eastAsia" w:ascii="仿宋_GB2312" w:hAnsi="仿宋_GB2312" w:eastAsia="仿宋_GB2312" w:cs="仿宋_GB2312"/>
          <w:color w:val="auto"/>
          <w:sz w:val="32"/>
          <w:szCs w:val="32"/>
          <w:highlight w:val="none"/>
        </w:rPr>
        <w:t>类）</w:t>
      </w:r>
      <w:r>
        <w:rPr>
          <w:rFonts w:hint="eastAsia" w:ascii="仿宋_GB2312" w:hAnsi="仿宋_GB2312" w:eastAsia="仿宋_GB2312" w:cs="仿宋_GB2312"/>
          <w:color w:val="auto"/>
          <w:sz w:val="32"/>
          <w:szCs w:val="32"/>
          <w:highlight w:val="none"/>
          <w:lang w:bidi="ar"/>
        </w:rPr>
        <w:t>6182.04</w:t>
      </w:r>
      <w:r>
        <w:rPr>
          <w:rFonts w:hint="eastAsia" w:ascii="仿宋_GB2312" w:hAnsi="仿宋_GB2312" w:eastAsia="仿宋_GB2312" w:cs="仿宋_GB2312"/>
          <w:color w:val="auto"/>
          <w:sz w:val="32"/>
          <w:szCs w:val="32"/>
          <w:highlight w:val="none"/>
        </w:rPr>
        <w:t>万元：主要用于</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环江农产品集中加工区建设项目、桂西北（环江）智慧食安产业园项目、奖励性补贴、伙食补助费等</w:t>
      </w:r>
      <w:r>
        <w:rPr>
          <w:rFonts w:hint="eastAsia" w:ascii="仿宋_GB2312" w:hAnsi="仿宋_GB2312" w:eastAsia="仿宋_GB2312" w:cs="仿宋_GB2312"/>
          <w:color w:val="auto"/>
          <w:sz w:val="32"/>
          <w:szCs w:val="32"/>
          <w:highlight w:val="none"/>
        </w:rPr>
        <w:t>。较2021年度决算数</w:t>
      </w:r>
      <w:r>
        <w:rPr>
          <w:rFonts w:hint="eastAsia" w:ascii="仿宋_GB2312" w:hAnsi="仿宋_GB2312" w:eastAsia="仿宋_GB2312" w:cs="仿宋_GB2312"/>
          <w:color w:val="auto"/>
          <w:sz w:val="32"/>
          <w:szCs w:val="32"/>
          <w:highlight w:val="none"/>
          <w:lang w:bidi="ar"/>
        </w:rPr>
        <w:t>减少459.58</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bidi="ar"/>
        </w:rPr>
        <w:t>下降6.92%</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kern w:val="2"/>
          <w:sz w:val="32"/>
          <w:szCs w:val="32"/>
          <w:highlight w:val="none"/>
          <w:lang w:val="en-US" w:eastAsia="zh-CN" w:bidi="ar"/>
        </w:rPr>
        <w:t>主要原因是：环江高端茧丝绸产业园标准化厂房及附属设施建设项目等资金减少。</w:t>
      </w:r>
    </w:p>
    <w:p>
      <w:pPr>
        <w:keepNext w:val="0"/>
        <w:keepLines w:val="0"/>
        <w:widowControl w:val="0"/>
        <w:suppressLineNumbers w:val="0"/>
        <w:spacing w:before="0" w:beforeAutospacing="0" w:after="0" w:afterAutospacing="0"/>
        <w:ind w:left="0" w:right="0" w:firstLine="640" w:firstLineChars="200"/>
        <w:jc w:val="left"/>
        <w:rPr>
          <w:rFonts w:hint="eastAsia" w:ascii="仿宋_GB2312" w:hAnsi="仿宋_GB2312" w:eastAsia="仿宋_GB2312" w:cs="仿宋_GB2312"/>
          <w:sz w:val="32"/>
          <w:szCs w:val="32"/>
          <w:highlight w:val="none"/>
          <w:lang w:eastAsia="zh-CN" w:bidi="ar"/>
        </w:rPr>
      </w:pPr>
      <w:r>
        <w:rPr>
          <w:rFonts w:hint="eastAsia" w:ascii="仿宋_GB2312" w:hAnsi="仿宋_GB2312" w:eastAsia="仿宋_GB2312" w:cs="仿宋_GB2312"/>
          <w:i w:val="0"/>
          <w:iCs w:val="0"/>
          <w:caps w:val="0"/>
          <w:color w:val="000000"/>
          <w:spacing w:val="0"/>
          <w:sz w:val="32"/>
          <w:szCs w:val="32"/>
          <w:highlight w:val="none"/>
          <w:shd w:val="clear" w:color="auto" w:fill="FFFFFF"/>
        </w:rPr>
        <w:t>结余分配</w:t>
      </w:r>
      <w:r>
        <w:rPr>
          <w:rFonts w:hint="eastAsia" w:ascii="仿宋_GB2312" w:hAnsi="仿宋_GB2312" w:eastAsia="仿宋_GB2312" w:cs="仿宋_GB2312"/>
          <w:color w:val="000000"/>
          <w:sz w:val="32"/>
          <w:szCs w:val="32"/>
          <w:highlight w:val="none"/>
          <w:shd w:val="clear" w:color="auto" w:fill="FFFFFF"/>
        </w:rPr>
        <w:t>0.00</w:t>
      </w:r>
      <w:r>
        <w:rPr>
          <w:rFonts w:hint="eastAsia" w:ascii="仿宋_GB2312" w:hAnsi="仿宋_GB2312" w:eastAsia="仿宋_GB2312" w:cs="仿宋_GB2312"/>
          <w:i w:val="0"/>
          <w:iCs w:val="0"/>
          <w:caps w:val="0"/>
          <w:color w:val="000000"/>
          <w:spacing w:val="0"/>
          <w:sz w:val="32"/>
          <w:szCs w:val="32"/>
          <w:highlight w:val="none"/>
          <w:shd w:val="clear" w:color="auto" w:fill="FFFFFF"/>
        </w:rPr>
        <w:t>万元，为事业单位按规定提取的专用结余、缴纳所得税和转入非财政拨款结余等。较202</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1</w:t>
      </w:r>
      <w:r>
        <w:rPr>
          <w:rFonts w:hint="eastAsia" w:ascii="仿宋_GB2312" w:hAnsi="仿宋_GB2312" w:eastAsia="仿宋_GB2312" w:cs="仿宋_GB2312"/>
          <w:i w:val="0"/>
          <w:iCs w:val="0"/>
          <w:caps w:val="0"/>
          <w:color w:val="000000"/>
          <w:spacing w:val="0"/>
          <w:sz w:val="32"/>
          <w:szCs w:val="32"/>
          <w:highlight w:val="none"/>
          <w:shd w:val="clear" w:color="auto" w:fill="FFFFFF"/>
        </w:rPr>
        <w:t>年决算</w:t>
      </w:r>
      <w:r>
        <w:rPr>
          <w:rFonts w:hint="eastAsia" w:ascii="仿宋_GB2312" w:hAnsi="仿宋_GB2312" w:eastAsia="仿宋_GB2312" w:cs="仿宋_GB2312"/>
          <w:color w:val="000000"/>
          <w:sz w:val="32"/>
          <w:szCs w:val="32"/>
          <w:highlight w:val="none"/>
          <w:shd w:val="clear" w:color="auto" w:fill="FFFFFF"/>
        </w:rPr>
        <w:t>0.00</w:t>
      </w:r>
      <w:r>
        <w:rPr>
          <w:rFonts w:hint="eastAsia" w:ascii="仿宋_GB2312" w:hAnsi="仿宋_GB2312" w:eastAsia="仿宋_GB2312" w:cs="仿宋_GB2312"/>
          <w:i w:val="0"/>
          <w:iCs w:val="0"/>
          <w:caps w:val="0"/>
          <w:color w:val="000000"/>
          <w:spacing w:val="0"/>
          <w:sz w:val="32"/>
          <w:szCs w:val="32"/>
          <w:highlight w:val="none"/>
          <w:shd w:val="clear" w:color="auto" w:fill="FFFFFF"/>
        </w:rPr>
        <w:t>万元</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w:t>
      </w:r>
      <w:r>
        <w:rPr>
          <w:rFonts w:hint="eastAsia" w:ascii="仿宋_GB2312" w:hAnsi="仿宋_GB2312" w:eastAsia="仿宋_GB2312" w:cs="仿宋_GB2312"/>
          <w:color w:val="000000"/>
          <w:sz w:val="32"/>
          <w:szCs w:val="32"/>
          <w:highlight w:val="none"/>
          <w:shd w:val="clear" w:color="auto" w:fill="FFFFFF"/>
        </w:rPr>
        <w:t>增加0.00</w:t>
      </w:r>
      <w:r>
        <w:rPr>
          <w:rFonts w:hint="eastAsia" w:ascii="仿宋_GB2312" w:hAnsi="仿宋_GB2312" w:eastAsia="仿宋_GB2312" w:cs="仿宋_GB2312"/>
          <w:i w:val="0"/>
          <w:iCs w:val="0"/>
          <w:caps w:val="0"/>
          <w:color w:val="000000"/>
          <w:spacing w:val="0"/>
          <w:sz w:val="32"/>
          <w:szCs w:val="32"/>
          <w:highlight w:val="none"/>
          <w:shd w:val="clear" w:color="auto" w:fill="FFFFFF"/>
        </w:rPr>
        <w:t>万元，</w:t>
      </w:r>
      <w:r>
        <w:rPr>
          <w:rFonts w:hint="eastAsia" w:ascii="仿宋_GB2312" w:hAnsi="仿宋_GB2312" w:eastAsia="仿宋_GB2312" w:cs="仿宋_GB2312"/>
          <w:color w:val="000000"/>
          <w:sz w:val="32"/>
          <w:szCs w:val="32"/>
          <w:highlight w:val="none"/>
          <w:shd w:val="clear" w:color="auto" w:fill="FFFFFF"/>
        </w:rPr>
        <w:t>增长0%</w:t>
      </w:r>
      <w:r>
        <w:rPr>
          <w:rFonts w:hint="eastAsia" w:ascii="仿宋_GB2312" w:hAnsi="仿宋_GB2312" w:eastAsia="仿宋_GB2312" w:cs="仿宋_GB2312"/>
          <w:i w:val="0"/>
          <w:iCs w:val="0"/>
          <w:caps w:val="0"/>
          <w:color w:val="000000"/>
          <w:spacing w:val="0"/>
          <w:sz w:val="32"/>
          <w:szCs w:val="32"/>
          <w:highlight w:val="none"/>
          <w:shd w:val="clear" w:color="auto" w:fill="FFFFFF"/>
        </w:rPr>
        <w:t>，</w:t>
      </w:r>
      <w:r>
        <w:rPr>
          <w:rFonts w:hint="eastAsia" w:ascii="仿宋_GB2312" w:hAnsi="仿宋_GB2312" w:eastAsia="仿宋_GB2312" w:cs="仿宋_GB2312"/>
          <w:i w:val="0"/>
          <w:iCs w:val="0"/>
          <w:caps w:val="0"/>
          <w:color w:val="000000" w:themeColor="text1"/>
          <w:spacing w:val="0"/>
          <w:sz w:val="32"/>
          <w:szCs w:val="32"/>
          <w:highlight w:val="none"/>
          <w:shd w:val="clear" w:color="auto" w:fill="FFFFFF"/>
          <w14:textFill>
            <w14:solidFill>
              <w14:schemeClr w14:val="tx1"/>
            </w14:solidFill>
          </w14:textFill>
        </w:rPr>
        <w:t>主要原因是</w:t>
      </w:r>
      <w:r>
        <w:rPr>
          <w:rFonts w:hint="eastAsia" w:ascii="仿宋_GB2312" w:hAnsi="仿宋_GB2312" w:eastAsia="仿宋_GB2312" w:cs="仿宋_GB2312"/>
          <w:color w:val="000000" w:themeColor="text1"/>
          <w:kern w:val="2"/>
          <w:sz w:val="32"/>
          <w:szCs w:val="32"/>
          <w:highlight w:val="none"/>
          <w:lang w:val="en-US" w:eastAsia="zh-CN" w:bidi="ar"/>
          <w14:textFill>
            <w14:solidFill>
              <w14:schemeClr w14:val="tx1"/>
            </w14:solidFill>
          </w14:textFill>
        </w:rPr>
        <w:t>：</w:t>
      </w:r>
      <w:r>
        <w:rPr>
          <w:rFonts w:hint="eastAsia" w:ascii="仿宋_GB2312" w:hAnsi="仿宋_GB2312" w:eastAsia="仿宋_GB2312" w:cs="仿宋_GB2312"/>
          <w:color w:val="auto"/>
          <w:kern w:val="2"/>
          <w:sz w:val="32"/>
          <w:szCs w:val="32"/>
          <w:highlight w:val="none"/>
          <w:lang w:val="en-US" w:eastAsia="zh-CN" w:bidi="ar"/>
        </w:rPr>
        <w:t>本单位没有</w:t>
      </w:r>
      <w:r>
        <w:rPr>
          <w:rFonts w:hint="eastAsia" w:ascii="仿宋_GB2312" w:hAnsi="仿宋_GB2312" w:eastAsia="仿宋_GB2312" w:cs="仿宋_GB2312"/>
          <w:i w:val="0"/>
          <w:iCs w:val="0"/>
          <w:caps w:val="0"/>
          <w:color w:val="000000"/>
          <w:spacing w:val="0"/>
          <w:sz w:val="32"/>
          <w:szCs w:val="32"/>
          <w:highlight w:val="none"/>
          <w:shd w:val="clear" w:color="auto" w:fill="FFFFFF"/>
        </w:rPr>
        <w:t>结余分配</w:t>
      </w:r>
      <w:r>
        <w:rPr>
          <w:rFonts w:hint="eastAsia" w:ascii="仿宋_GB2312" w:hAnsi="仿宋_GB2312" w:eastAsia="仿宋_GB2312" w:cs="仿宋_GB2312"/>
          <w:i w:val="0"/>
          <w:iCs w:val="0"/>
          <w:caps w:val="0"/>
          <w:color w:val="000000"/>
          <w:spacing w:val="0"/>
          <w:sz w:val="32"/>
          <w:szCs w:val="32"/>
          <w:highlight w:val="none"/>
          <w:shd w:val="clear" w:color="auto" w:fill="FFFFFF"/>
          <w:lang w:eastAsia="zh-CN"/>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_GB2312" w:hAnsi="仿宋_GB2312" w:eastAsia="仿宋_GB2312" w:cs="仿宋_GB2312"/>
          <w:sz w:val="32"/>
          <w:szCs w:val="32"/>
          <w:highlight w:val="none"/>
        </w:rPr>
        <w:t>年末结转和结余</w:t>
      </w:r>
      <w:r>
        <w:rPr>
          <w:rFonts w:hint="eastAsia" w:ascii="仿宋_GB2312" w:hAnsi="仿宋_GB2312" w:eastAsia="仿宋_GB2312" w:cs="仿宋_GB2312"/>
          <w:sz w:val="32"/>
          <w:szCs w:val="32"/>
          <w:u w:color="auto"/>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color w:val="000000" w:themeColor="text1"/>
          <w:sz w:val="32"/>
          <w:szCs w:val="32"/>
          <w:highlight w:val="none"/>
          <w14:textFill>
            <w14:solidFill>
              <w14:schemeClr w14:val="tx1"/>
            </w14:solidFill>
          </w14:textFill>
        </w:rPr>
        <w:t>为本年度或以前年度预算安排、因客观条件发生变化无法按原计划实施，需要延迟到以后年度按有关规定继续使用的资金</w:t>
      </w:r>
      <w:r>
        <w:rPr>
          <w:rFonts w:hint="eastAsia" w:ascii="仿宋_GB2312" w:hAnsi="仿宋_GB2312" w:eastAsia="仿宋_GB2312" w:cs="仿宋_GB2312"/>
          <w:sz w:val="32"/>
          <w:szCs w:val="32"/>
          <w:highlight w:val="none"/>
        </w:rPr>
        <w:t>。较2021年度决算数</w:t>
      </w:r>
      <w:r>
        <w:rPr>
          <w:rFonts w:hint="eastAsia" w:ascii="仿宋_GB2312" w:hAnsi="仿宋_GB2312" w:eastAsia="仿宋_GB2312" w:cs="仿宋_GB2312"/>
          <w:sz w:val="32"/>
          <w:szCs w:val="32"/>
          <w:u w:color="auto"/>
        </w:rPr>
        <w:t>增加0.00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u w:color="auto"/>
        </w:rPr>
        <w:t>增长0%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000000" w:themeColor="text1"/>
          <w:kern w:val="2"/>
          <w:sz w:val="32"/>
          <w:szCs w:val="32"/>
          <w:highlight w:val="none"/>
          <w:lang w:val="en-US" w:eastAsia="zh-CN" w:bidi="ar"/>
          <w14:textFill>
            <w14:solidFill>
              <w14:schemeClr w14:val="tx1"/>
            </w14:solidFill>
          </w14:textFill>
        </w:rPr>
        <w:t>主要原因是：</w:t>
      </w:r>
      <w:r>
        <w:rPr>
          <w:rFonts w:hint="eastAsia" w:ascii="仿宋_GB2312" w:hAnsi="仿宋_GB2312" w:eastAsia="仿宋_GB2312" w:cs="仿宋_GB2312"/>
          <w:color w:val="auto"/>
          <w:kern w:val="2"/>
          <w:sz w:val="32"/>
          <w:szCs w:val="32"/>
          <w:highlight w:val="none"/>
          <w:lang w:val="en-US" w:eastAsia="zh-CN" w:bidi="ar"/>
        </w:rPr>
        <w:t>本单位没有</w:t>
      </w:r>
      <w:r>
        <w:rPr>
          <w:rFonts w:hint="eastAsia" w:ascii="仿宋_GB2312" w:hAnsi="仿宋_GB2312" w:eastAsia="仿宋_GB2312" w:cs="仿宋_GB2312"/>
          <w:sz w:val="32"/>
          <w:szCs w:val="32"/>
          <w:highlight w:val="none"/>
        </w:rPr>
        <w:t>年末结</w:t>
      </w:r>
      <w:r>
        <w:rPr>
          <w:rFonts w:hint="eastAsia" w:ascii="仿宋" w:hAnsi="仿宋" w:eastAsia="仿宋" w:cs="仿宋"/>
          <w:sz w:val="32"/>
          <w:szCs w:val="32"/>
          <w:highlight w:val="none"/>
        </w:rPr>
        <w:t>转和结余</w:t>
      </w:r>
      <w:r>
        <w:rPr>
          <w:rFonts w:hint="eastAsia" w:ascii="仿宋" w:hAnsi="仿宋" w:eastAsia="仿宋" w:cs="仿宋"/>
          <w:sz w:val="32"/>
          <w:szCs w:val="32"/>
          <w:highlight w:val="none"/>
          <w:lang w:eastAsia="zh-CN"/>
        </w:rPr>
        <w:t>。</w:t>
      </w:r>
    </w:p>
    <w:p>
      <w:pPr>
        <w:ind w:firstLine="640" w:firstLineChars="200"/>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547235" cy="2651125"/>
            <wp:effectExtent l="4445" t="4445" r="20320" b="11430"/>
            <wp:docPr id="3" name="图表 3" title="{{img_zcjs}}"/>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left"/>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二、2022 年度</w:t>
      </w:r>
      <w:bookmarkStart w:id="2" w:name="OLE_LINK1"/>
      <w:r>
        <w:rPr>
          <w:rFonts w:hint="eastAsia" w:ascii="仿宋_GB2312" w:hAnsi="仿宋_GB2312" w:eastAsia="仿宋_GB2312" w:cs="仿宋_GB2312"/>
          <w:b/>
          <w:bCs/>
          <w:sz w:val="32"/>
          <w:szCs w:val="32"/>
          <w:highlight w:val="none"/>
        </w:rPr>
        <w:t>一般公共预算财政拨款支出决算情况</w:t>
      </w:r>
      <w:bookmarkEnd w:id="2"/>
    </w:p>
    <w:p>
      <w:pPr>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河池·环江工业园区管理委员会2022年度一般公共预算财政拨款支出</w:t>
      </w:r>
      <w:r>
        <w:rPr>
          <w:rFonts w:hint="eastAsia" w:ascii="仿宋_GB2312" w:hAnsi="仿宋_GB2312" w:eastAsia="仿宋_GB2312" w:cs="仿宋_GB2312"/>
          <w:sz w:val="32"/>
          <w:szCs w:val="32"/>
          <w:u w:color="auto"/>
        </w:rPr>
        <w:t>13753.17</w:t>
      </w:r>
      <w:r>
        <w:rPr>
          <w:rFonts w:hint="eastAsia" w:ascii="仿宋_GB2312" w:hAnsi="仿宋_GB2312" w:eastAsia="仿宋_GB2312" w:cs="仿宋_GB2312"/>
          <w:sz w:val="32"/>
          <w:szCs w:val="32"/>
          <w:highlight w:val="none"/>
        </w:rPr>
        <w:t>万元，较2021年度决算数</w:t>
      </w:r>
      <w:r>
        <w:rPr>
          <w:rFonts w:hint="eastAsia" w:ascii="仿宋_GB2312" w:hAnsi="仿宋_GB2312" w:eastAsia="仿宋_GB2312" w:cs="仿宋_GB2312"/>
          <w:sz w:val="32"/>
          <w:szCs w:val="32"/>
          <w:u w:color="auto"/>
        </w:rPr>
        <w:t>减少1015.70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u w:color="auto"/>
        </w:rPr>
        <w:t>下降6.88%</w:t>
      </w:r>
      <w:r>
        <w:rPr>
          <w:rFonts w:hint="eastAsia" w:ascii="仿宋_GB2312" w:hAnsi="仿宋_GB2312" w:eastAsia="仿宋_GB2312" w:cs="仿宋_GB2312"/>
          <w:sz w:val="32"/>
          <w:szCs w:val="32"/>
          <w:highlight w:val="none"/>
        </w:rPr>
        <w:t>。其中：基本支出</w:t>
      </w:r>
      <w:r>
        <w:rPr>
          <w:rFonts w:hint="eastAsia" w:ascii="仿宋_GB2312" w:hAnsi="仿宋_GB2312" w:eastAsia="仿宋_GB2312" w:cs="仿宋_GB2312"/>
          <w:sz w:val="32"/>
          <w:szCs w:val="32"/>
          <w:u w:color="auto"/>
        </w:rPr>
        <w:t>313.17</w:t>
      </w:r>
      <w:r>
        <w:rPr>
          <w:rFonts w:hint="eastAsia" w:ascii="仿宋_GB2312" w:hAnsi="仿宋_GB2312" w:eastAsia="仿宋_GB2312" w:cs="仿宋_GB2312"/>
          <w:sz w:val="32"/>
          <w:szCs w:val="32"/>
          <w:highlight w:val="none"/>
        </w:rPr>
        <w:t>万元，项目支出</w:t>
      </w:r>
      <w:r>
        <w:rPr>
          <w:rFonts w:hint="eastAsia" w:ascii="仿宋_GB2312" w:hAnsi="仿宋_GB2312" w:eastAsia="仿宋_GB2312" w:cs="仿宋_GB2312"/>
          <w:sz w:val="32"/>
          <w:szCs w:val="32"/>
          <w:u w:color="auto"/>
        </w:rPr>
        <w:t>13440.00</w:t>
      </w:r>
      <w:r>
        <w:rPr>
          <w:rFonts w:hint="eastAsia" w:ascii="仿宋_GB2312" w:hAnsi="仿宋_GB2312" w:eastAsia="仿宋_GB2312" w:cs="仿宋_GB2312"/>
          <w:sz w:val="32"/>
          <w:szCs w:val="32"/>
          <w:highlight w:val="none"/>
        </w:rPr>
        <w:t>万元。</w:t>
      </w:r>
    </w:p>
    <w:p>
      <w:pPr>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河池·环江工业园区管理委员会2022 年度一般公共预算财政拨款支出年初预算为</w:t>
      </w:r>
      <w:r>
        <w:rPr>
          <w:rFonts w:hint="eastAsia" w:ascii="仿宋_GB2312" w:hAnsi="仿宋_GB2312" w:eastAsia="仿宋_GB2312" w:cs="仿宋_GB2312"/>
          <w:sz w:val="32"/>
          <w:szCs w:val="32"/>
          <w:u w:color="auto"/>
        </w:rPr>
        <w:t>428.11</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u w:color="auto"/>
        </w:rPr>
        <w:t>13753.17</w:t>
      </w:r>
      <w:r>
        <w:rPr>
          <w:rFonts w:hint="eastAsia" w:ascii="仿宋_GB2312" w:hAnsi="仿宋_GB2312" w:eastAsia="仿宋_GB2312" w:cs="仿宋_GB2312"/>
          <w:sz w:val="32"/>
          <w:szCs w:val="32"/>
          <w:highlight w:val="none"/>
        </w:rPr>
        <w:t>万元，完成年初预算的</w:t>
      </w:r>
      <w:r>
        <w:rPr>
          <w:rFonts w:hint="eastAsia" w:ascii="仿宋_GB2312" w:hAnsi="仿宋_GB2312" w:eastAsia="仿宋_GB2312" w:cs="仿宋_GB2312"/>
          <w:sz w:val="32"/>
          <w:szCs w:val="32"/>
          <w:u w:color="auto"/>
        </w:rPr>
        <w:t>3212.53%</w:t>
      </w:r>
      <w:r>
        <w:rPr>
          <w:rFonts w:hint="eastAsia" w:ascii="仿宋_GB2312" w:hAnsi="仿宋_GB2312" w:eastAsia="仿宋_GB2312" w:cs="仿宋_GB2312"/>
          <w:sz w:val="32"/>
          <w:szCs w:val="32"/>
          <w:highlight w:val="none"/>
        </w:rPr>
        <w:t>。</w:t>
      </w:r>
      <w:bookmarkStart w:id="3" w:name="OLE_LINK2"/>
      <w:bookmarkEnd w:id="3"/>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sz w:val="32"/>
          <w:szCs w:val="32"/>
          <w:highlight w:val="none"/>
        </w:rPr>
        <w:t>一般公共服务支出</w:t>
      </w:r>
      <w:r>
        <w:rPr>
          <w:rFonts w:hint="eastAsia" w:ascii="仿宋_GB2312" w:hAnsi="仿宋_GB2312" w:eastAsia="仿宋_GB2312" w:cs="仿宋_GB2312"/>
          <w:sz w:val="32"/>
          <w:szCs w:val="32"/>
          <w:u w:color="auto"/>
        </w:rPr>
        <w:t>（201</w:t>
      </w:r>
      <w:r>
        <w:rPr>
          <w:rFonts w:hint="eastAsia" w:ascii="仿宋_GB2312" w:hAnsi="仿宋_GB2312" w:eastAsia="仿宋_GB2312" w:cs="仿宋_GB2312"/>
          <w:sz w:val="32"/>
          <w:szCs w:val="32"/>
          <w:highlight w:val="none"/>
        </w:rPr>
        <w:t>类）年初预算为374.26万元，支出决算为5620.59万元，完成年初预算的1501.79%。</w:t>
      </w:r>
      <w:r>
        <w:rPr>
          <w:rFonts w:hint="eastAsia" w:ascii="仿宋_GB2312" w:hAnsi="仿宋_GB2312" w:eastAsia="仿宋_GB2312" w:cs="仿宋_GB2312"/>
          <w:color w:val="auto"/>
          <w:sz w:val="32"/>
          <w:szCs w:val="32"/>
          <w:highlight w:val="none"/>
        </w:rPr>
        <w:t>预决算</w:t>
      </w:r>
      <w:r>
        <w:rPr>
          <w:rFonts w:hint="eastAsia" w:ascii="仿宋_GB2312" w:hAnsi="仿宋_GB2312" w:eastAsia="仿宋_GB2312" w:cs="仿宋_GB2312"/>
          <w:color w:val="auto"/>
          <w:sz w:val="32"/>
          <w:szCs w:val="32"/>
          <w:highlight w:val="none"/>
          <w:lang w:val="en-US" w:eastAsia="zh-CN"/>
        </w:rPr>
        <w:t>存有</w:t>
      </w:r>
      <w:r>
        <w:rPr>
          <w:rFonts w:hint="eastAsia" w:ascii="仿宋_GB2312" w:hAnsi="仿宋_GB2312" w:eastAsia="仿宋_GB2312" w:cs="仿宋_GB2312"/>
          <w:color w:val="auto"/>
          <w:sz w:val="32"/>
          <w:szCs w:val="32"/>
          <w:highlight w:val="none"/>
        </w:rPr>
        <w:t>差异</w:t>
      </w:r>
      <w:r>
        <w:rPr>
          <w:rFonts w:hint="eastAsia" w:ascii="仿宋_GB2312" w:hAnsi="仿宋_GB2312" w:eastAsia="仿宋_GB2312" w:cs="仿宋_GB2312"/>
          <w:color w:val="auto"/>
          <w:sz w:val="32"/>
          <w:szCs w:val="32"/>
          <w:highlight w:val="none"/>
          <w:lang w:val="en-US" w:eastAsia="zh-CN"/>
        </w:rPr>
        <w:t>原因是：</w:t>
      </w:r>
      <w:r>
        <w:rPr>
          <w:rFonts w:hint="eastAsia" w:ascii="仿宋_GB2312" w:hAnsi="仿宋_GB2312" w:eastAsia="仿宋_GB2312" w:cs="仿宋_GB2312"/>
          <w:color w:val="auto"/>
          <w:kern w:val="2"/>
          <w:sz w:val="32"/>
          <w:szCs w:val="32"/>
          <w:highlight w:val="none"/>
          <w:lang w:val="en-US" w:eastAsia="zh-CN" w:bidi="ar"/>
        </w:rPr>
        <w:t>年中追加环江祥盛家居材料科技有限公司第一次项目建设奖补资金、园区规划环境影响评价文件编制经费、园区基础设施建设经费、广西西部陆海新通道广西环江物流集散中心建设项目、工业园区扶贫车间2#楼及二期4#、5#楼装修项目预付款经费、河池市园区区域评估工作经费等。</w:t>
      </w:r>
    </w:p>
    <w:p>
      <w:pPr>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支出具体情况如下</w:t>
      </w:r>
      <w:r>
        <w:rPr>
          <w:rFonts w:hint="eastAsia" w:ascii="仿宋_GB2312" w:hAnsi="仿宋_GB2312" w:eastAsia="仿宋_GB2312" w:cs="仿宋_GB2312"/>
          <w:sz w:val="32"/>
          <w:szCs w:val="32"/>
          <w:highlight w:val="none"/>
        </w:rPr>
        <w:t>：</w:t>
      </w:r>
    </w:p>
    <w:tbl>
      <w:tblPr>
        <w:tblStyle w:val="8"/>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1019"/>
        <w:gridCol w:w="1162"/>
        <w:gridCol w:w="1505"/>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101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16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50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2010399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其他政府办公厅（室）及相关机构事务支出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370.41</w:t>
            </w:r>
          </w:p>
        </w:tc>
        <w:tc>
          <w:tcPr>
            <w:tcW w:w="101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5461.22</w:t>
            </w:r>
          </w:p>
        </w:tc>
        <w:tc>
          <w:tcPr>
            <w:tcW w:w="116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1474.37%</w:t>
            </w:r>
          </w:p>
        </w:tc>
        <w:tc>
          <w:tcPr>
            <w:tcW w:w="150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用于工资、绩效考评奖金、公务员奖励奖金、医疗保险、工伤保险、项目工作经费、定额商品和服务支出经费、工业园区扶贫车间2#楼及二期4#、5#楼装修项目预付款经费、园区基础设施建设经费、园区规划环境影响评价文件编制经费、环江祥盛家居材料科技有限公司第一次项目建设奖补资金等。</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年中追加工业园区扶贫车间2#楼及二期4#、5#楼装修项目预付款经费、园区基础设施建设经费、园区规划环境影响评价文件编制经费、环江祥盛家居材料科技有限公司第一次项目建设奖补资金等。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2011308</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招商引资</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101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10.52</w:t>
            </w:r>
          </w:p>
        </w:tc>
        <w:tc>
          <w:tcPr>
            <w:tcW w:w="116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50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用于招商奖励。</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上年结转的招商奖励资金在本年度执行完毕。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2012999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其他群众团体事务支出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3.85</w:t>
            </w:r>
          </w:p>
        </w:tc>
        <w:tc>
          <w:tcPr>
            <w:tcW w:w="101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3.85</w:t>
            </w:r>
          </w:p>
        </w:tc>
        <w:tc>
          <w:tcPr>
            <w:tcW w:w="116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100.00%</w:t>
            </w:r>
          </w:p>
        </w:tc>
        <w:tc>
          <w:tcPr>
            <w:tcW w:w="150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用于工会经费开支。</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本年度工会经费无差异。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其他一般公共服务支出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101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145.00</w:t>
            </w:r>
          </w:p>
        </w:tc>
        <w:tc>
          <w:tcPr>
            <w:tcW w:w="116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50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用于广西西部陆海新通道广西环江物流集散中心建设项目和河池市园区区域评估工作经费。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年中追加</w:t>
            </w:r>
            <w:r>
              <w:rPr>
                <w:rFonts w:hint="eastAsia" w:ascii="仿宋" w:hAnsi="仿宋" w:eastAsia="仿宋" w:cs="仿宋"/>
                <w:color w:val="auto"/>
                <w:sz w:val="21"/>
                <w:szCs w:val="21"/>
                <w:highlight w:val="none"/>
                <w:lang w:val="en-US" w:eastAsia="zh-CN"/>
              </w:rPr>
              <w:t>广西西部陆海新通道广西环江物流集散中心建设项目和河池市园区区域评估工作经费。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374.26</w:t>
            </w:r>
          </w:p>
        </w:tc>
        <w:tc>
          <w:tcPr>
            <w:tcW w:w="101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5620.59</w:t>
            </w:r>
          </w:p>
        </w:tc>
        <w:tc>
          <w:tcPr>
            <w:tcW w:w="116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1501.79%</w:t>
            </w:r>
          </w:p>
        </w:tc>
        <w:tc>
          <w:tcPr>
            <w:tcW w:w="150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用于工资、绩效考评奖金、公务员奖励奖金、医疗保险、工伤保险、项目工作经费、定额商品和服务支出经费、工业园区扶贫车间2#楼及二期4#、5#楼装修项目预付款经费、园区基础设施建设经费、园区规划环境影响评价文件编制经费、环江祥盛家居材料科技有限公司第一次项目建设奖补资金等；</w:t>
            </w:r>
            <w:r>
              <w:rPr>
                <w:rFonts w:hint="eastAsia" w:ascii="仿宋" w:hAnsi="仿宋" w:eastAsia="仿宋" w:cs="仿宋"/>
                <w:color w:val="auto"/>
                <w:sz w:val="21"/>
                <w:szCs w:val="21"/>
                <w:highlight w:val="none"/>
                <w:lang w:val="en-US" w:eastAsia="zh-CN"/>
              </w:rPr>
              <w:t>招商奖励；工会经费开支；广西西部陆海新通道广西环江物流集散中心建设项目和河池市园区区域评估工作经费。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年中追加工业园区扶贫车间2#楼及二期4#、5#楼装修项目预付款经费、园区基础设施建设经费、园区规划环境影响评价文件编制经费、环江祥盛家居材料科技有限公司第一次项目建设奖补资金；</w:t>
            </w:r>
            <w:r>
              <w:rPr>
                <w:rFonts w:hint="eastAsia" w:ascii="仿宋" w:hAnsi="仿宋" w:eastAsia="仿宋" w:cs="仿宋"/>
                <w:color w:val="auto"/>
                <w:sz w:val="21"/>
                <w:szCs w:val="21"/>
                <w:highlight w:val="none"/>
                <w:lang w:val="en-US" w:eastAsia="zh-CN"/>
              </w:rPr>
              <w:t>广西西部陆海新通道广西环江物流集散中心建设项目和河池市园区区域评估工作经费等。</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6"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sz w:val="32"/>
          <w:szCs w:val="32"/>
          <w:highlight w:val="none"/>
        </w:rPr>
        <w:t>社会保障和就业支出</w:t>
      </w:r>
      <w:r>
        <w:rPr>
          <w:rFonts w:hint="eastAsia" w:ascii="仿宋_GB2312" w:hAnsi="仿宋_GB2312" w:eastAsia="仿宋_GB2312" w:cs="仿宋_GB2312"/>
          <w:sz w:val="32"/>
          <w:szCs w:val="32"/>
          <w:u w:color="auto"/>
        </w:rPr>
        <w:t>（208</w:t>
      </w:r>
      <w:r>
        <w:rPr>
          <w:rFonts w:hint="eastAsia" w:ascii="仿宋_GB2312" w:hAnsi="仿宋_GB2312" w:eastAsia="仿宋_GB2312" w:cs="仿宋_GB2312"/>
          <w:sz w:val="32"/>
          <w:szCs w:val="32"/>
          <w:highlight w:val="none"/>
        </w:rPr>
        <w:t>类）年初预算为30.77万元，支出决算为28.87万元，完成年初预算的93.83%。</w:t>
      </w:r>
      <w:r>
        <w:rPr>
          <w:rFonts w:hint="eastAsia" w:ascii="仿宋_GB2312" w:hAnsi="仿宋_GB2312" w:eastAsia="仿宋_GB2312" w:cs="仿宋_GB2312"/>
          <w:color w:val="000000" w:themeColor="text1"/>
          <w:sz w:val="32"/>
          <w:szCs w:val="32"/>
          <w:highlight w:val="none"/>
          <w14:textFill>
            <w14:solidFill>
              <w14:schemeClr w14:val="tx1"/>
            </w14:solidFill>
          </w14:textFill>
        </w:rPr>
        <w:t>预决算</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存有</w:t>
      </w:r>
      <w:r>
        <w:rPr>
          <w:rFonts w:hint="eastAsia" w:ascii="仿宋_GB2312" w:hAnsi="仿宋_GB2312" w:eastAsia="仿宋_GB2312" w:cs="仿宋_GB2312"/>
          <w:color w:val="000000" w:themeColor="text1"/>
          <w:sz w:val="32"/>
          <w:szCs w:val="32"/>
          <w:highlight w:val="none"/>
          <w14:textFill>
            <w14:solidFill>
              <w14:schemeClr w14:val="tx1"/>
            </w14:solidFill>
          </w14:textFill>
        </w:rPr>
        <w:t>差异</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原因是：</w:t>
      </w:r>
      <w:r>
        <w:rPr>
          <w:rFonts w:hint="eastAsia" w:ascii="仿宋_GB2312" w:hAnsi="仿宋_GB2312" w:eastAsia="仿宋_GB2312" w:cs="仿宋_GB2312"/>
          <w:color w:val="auto"/>
          <w:sz w:val="32"/>
          <w:szCs w:val="32"/>
          <w:highlight w:val="none"/>
          <w:lang w:val="en-US" w:eastAsia="zh-CN"/>
        </w:rPr>
        <w:t>当年度人员进出调整</w:t>
      </w:r>
      <w:r>
        <w:rPr>
          <w:rFonts w:hint="eastAsia" w:ascii="仿宋_GB2312" w:hAnsi="仿宋_GB2312" w:eastAsia="仿宋_GB2312" w:cs="仿宋_GB2312"/>
          <w:color w:val="auto"/>
          <w:kern w:val="2"/>
          <w:sz w:val="32"/>
          <w:szCs w:val="32"/>
          <w:highlight w:val="none"/>
          <w:lang w:val="en-US" w:eastAsia="zh-CN" w:bidi="ar"/>
        </w:rPr>
        <w:t>。</w:t>
      </w:r>
    </w:p>
    <w:p>
      <w:pPr>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支出具体情况如下</w:t>
      </w:r>
      <w:r>
        <w:rPr>
          <w:rFonts w:hint="eastAsia" w:ascii="仿宋_GB2312" w:hAnsi="仿宋_GB2312" w:eastAsia="仿宋_GB2312" w:cs="仿宋_GB2312"/>
          <w:sz w:val="32"/>
          <w:szCs w:val="32"/>
          <w:highlight w:val="none"/>
        </w:rPr>
        <w:t>：</w:t>
      </w:r>
    </w:p>
    <w:tbl>
      <w:tblPr>
        <w:tblStyle w:val="8"/>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2080505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机关事业单位基本养老保险缴费支出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30.77</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28.87</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93.83%</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用于在职在编人员基本养老保险缴费。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当年度人员进出调整。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30.77</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28.87</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93.83%</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用于在职在编人员基本养老保险缴费。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当年度人员进出调整。</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8"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sz w:val="32"/>
          <w:szCs w:val="32"/>
          <w:highlight w:val="none"/>
        </w:rPr>
        <w:t>农林水支出</w:t>
      </w:r>
      <w:r>
        <w:rPr>
          <w:rFonts w:hint="eastAsia" w:ascii="仿宋_GB2312" w:hAnsi="仿宋_GB2312" w:eastAsia="仿宋_GB2312" w:cs="仿宋_GB2312"/>
          <w:sz w:val="32"/>
          <w:szCs w:val="32"/>
          <w:u w:color="auto"/>
        </w:rPr>
        <w:t>（213</w:t>
      </w:r>
      <w:r>
        <w:rPr>
          <w:rFonts w:hint="eastAsia" w:ascii="仿宋_GB2312" w:hAnsi="仿宋_GB2312" w:eastAsia="仿宋_GB2312" w:cs="仿宋_GB2312"/>
          <w:sz w:val="32"/>
          <w:szCs w:val="32"/>
          <w:highlight w:val="none"/>
        </w:rPr>
        <w:t>类）年初预算为0.00万元，支出决算为7300.00万元，完成年初预算的100.00%。</w:t>
      </w:r>
      <w:r>
        <w:rPr>
          <w:rFonts w:hint="eastAsia" w:ascii="仿宋_GB2312" w:hAnsi="仿宋_GB2312" w:eastAsia="仿宋_GB2312" w:cs="仿宋_GB2312"/>
          <w:color w:val="000000" w:themeColor="text1"/>
          <w:sz w:val="32"/>
          <w:szCs w:val="32"/>
          <w:highlight w:val="none"/>
          <w14:textFill>
            <w14:solidFill>
              <w14:schemeClr w14:val="tx1"/>
            </w14:solidFill>
          </w14:textFill>
        </w:rPr>
        <w:t>预决算</w:t>
      </w:r>
      <w:r>
        <w:rPr>
          <w:rFonts w:hint="eastAsia" w:ascii="仿宋_GB2312" w:hAnsi="仿宋_GB2312" w:eastAsia="仿宋_GB2312" w:cs="仿宋_GB2312"/>
          <w:color w:val="auto"/>
          <w:sz w:val="32"/>
          <w:szCs w:val="32"/>
          <w:highlight w:val="none"/>
          <w:lang w:val="en-US" w:eastAsia="zh-CN"/>
        </w:rPr>
        <w:t>存有</w:t>
      </w:r>
      <w:r>
        <w:rPr>
          <w:rFonts w:hint="eastAsia" w:ascii="仿宋_GB2312" w:hAnsi="仿宋_GB2312" w:eastAsia="仿宋_GB2312" w:cs="仿宋_GB2312"/>
          <w:color w:val="auto"/>
          <w:sz w:val="32"/>
          <w:szCs w:val="32"/>
          <w:highlight w:val="none"/>
        </w:rPr>
        <w:t>差异</w:t>
      </w:r>
      <w:r>
        <w:rPr>
          <w:rFonts w:hint="eastAsia" w:ascii="仿宋_GB2312" w:hAnsi="仿宋_GB2312" w:eastAsia="仿宋_GB2312" w:cs="仿宋_GB2312"/>
          <w:color w:val="auto"/>
          <w:sz w:val="32"/>
          <w:szCs w:val="32"/>
          <w:highlight w:val="none"/>
          <w:lang w:val="en-US" w:eastAsia="zh-CN"/>
        </w:rPr>
        <w:t>原因是：</w:t>
      </w:r>
      <w:r>
        <w:rPr>
          <w:rFonts w:hint="eastAsia" w:ascii="仿宋_GB2312" w:hAnsi="仿宋_GB2312" w:eastAsia="仿宋_GB2312" w:cs="仿宋_GB2312"/>
          <w:color w:val="auto"/>
          <w:kern w:val="2"/>
          <w:sz w:val="32"/>
          <w:szCs w:val="32"/>
          <w:highlight w:val="none"/>
          <w:lang w:val="en-US" w:eastAsia="zh-CN" w:bidi="ar"/>
        </w:rPr>
        <w:t>年中追加环江农产品加工区建设项目、高端茧丝绸产业园标准化厂房、环江毛南族自治县粤桂协作现代林业产业园项目、河池·环江工业园区农民工创业园(扶贫产业孵化基地)路网工程等。</w:t>
      </w:r>
    </w:p>
    <w:p>
      <w:pPr>
        <w:jc w:val="left"/>
        <w:rPr>
          <w:rFonts w:hint="eastAsia" w:ascii="仿宋" w:hAnsi="仿宋" w:eastAsia="仿宋"/>
          <w:sz w:val="32"/>
          <w:szCs w:val="32"/>
          <w:highlight w:val="none"/>
        </w:rPr>
      </w:pPr>
      <w:r>
        <w:rPr>
          <w:rFonts w:hint="eastAsia" w:ascii="仿宋_GB2312" w:hAnsi="仿宋_GB2312" w:eastAsia="仿宋_GB2312" w:cs="仿宋_GB2312"/>
          <w:sz w:val="32"/>
          <w:szCs w:val="32"/>
          <w:highlight w:val="none"/>
          <w:lang w:val="en-US" w:eastAsia="zh-CN"/>
        </w:rPr>
        <w:t>支出具体情况如下</w:t>
      </w:r>
      <w:r>
        <w:rPr>
          <w:rFonts w:hint="eastAsia" w:ascii="仿宋_GB2312" w:hAnsi="仿宋_GB2312" w:eastAsia="仿宋_GB2312" w:cs="仿宋_GB2312"/>
          <w:sz w:val="32"/>
          <w:szCs w:val="32"/>
          <w:highlight w:val="none"/>
        </w:rPr>
        <w:t>：</w:t>
      </w:r>
    </w:p>
    <w:tbl>
      <w:tblPr>
        <w:tblStyle w:val="8"/>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774"/>
        <w:gridCol w:w="1143"/>
        <w:gridCol w:w="980"/>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231"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77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114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98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67"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2130504</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农村基础设施建设</w:t>
            </w:r>
          </w:p>
        </w:tc>
        <w:tc>
          <w:tcPr>
            <w:tcW w:w="77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114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3400.00</w:t>
            </w:r>
          </w:p>
        </w:tc>
        <w:tc>
          <w:tcPr>
            <w:tcW w:w="98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用于环江农产品加工区建设项目和河池·环江工业园区农民工创业园(扶贫产业孵化基地)路网工程。</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年中追加</w:t>
            </w:r>
            <w:r>
              <w:rPr>
                <w:rFonts w:hint="eastAsia" w:ascii="仿宋" w:hAnsi="仿宋" w:eastAsia="仿宋" w:cs="仿宋"/>
                <w:color w:val="auto"/>
                <w:sz w:val="21"/>
                <w:szCs w:val="21"/>
                <w:highlight w:val="none"/>
                <w:lang w:val="en-US" w:eastAsia="zh-CN"/>
              </w:rPr>
              <w:t>环江农产品加工区建设项目和河池·环江工业园区农民工创业园(扶贫产业孵化基地)路网工程。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2130505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生产发展</w:t>
            </w:r>
          </w:p>
        </w:tc>
        <w:tc>
          <w:tcPr>
            <w:tcW w:w="77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114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3900.00</w:t>
            </w:r>
          </w:p>
        </w:tc>
        <w:tc>
          <w:tcPr>
            <w:tcW w:w="98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用于高端茧丝绸产业园标准化厂房项目和环江毛南族自治县粤桂协作现代林业产业园项目。</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年中追加</w:t>
            </w:r>
            <w:r>
              <w:rPr>
                <w:rFonts w:hint="eastAsia" w:ascii="仿宋" w:hAnsi="仿宋" w:eastAsia="仿宋" w:cs="仿宋"/>
                <w:color w:val="auto"/>
                <w:sz w:val="21"/>
                <w:szCs w:val="21"/>
                <w:highlight w:val="none"/>
                <w:lang w:val="en-US" w:eastAsia="zh-CN"/>
              </w:rPr>
              <w:t>高端茧丝绸产业园标准化厂房项目和环江毛南族自治县粤桂协作现代林业产业园项目。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6"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77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114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7300.00</w:t>
            </w:r>
          </w:p>
        </w:tc>
        <w:tc>
          <w:tcPr>
            <w:tcW w:w="98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用于环江农产品加工区建设项目和河池·环江工业园区农民工创业园(扶贫产业孵化基地)路网工程；高端茧丝绸产业园标准化厂房项目和环江毛南族自治县粤桂协作现代林业产业园项目。</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年中追加</w:t>
            </w:r>
            <w:r>
              <w:rPr>
                <w:rFonts w:hint="eastAsia" w:ascii="仿宋" w:hAnsi="仿宋" w:eastAsia="仿宋" w:cs="仿宋"/>
                <w:color w:val="auto"/>
                <w:sz w:val="21"/>
                <w:szCs w:val="21"/>
                <w:highlight w:val="none"/>
                <w:lang w:val="en-US" w:eastAsia="zh-CN"/>
              </w:rPr>
              <w:t>环江农产品加工区建设项目和河池·环江工业园区农民工创业园(扶贫产业孵化基地)路网工程；高端茧丝绸产业园标准化厂房项目和环江毛南族自治县粤桂协作现代林业产业园项目。</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0"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sz w:val="32"/>
          <w:szCs w:val="32"/>
          <w:highlight w:val="none"/>
        </w:rPr>
        <w:t>资源勘探工业信息等支出</w:t>
      </w:r>
      <w:r>
        <w:rPr>
          <w:rFonts w:hint="eastAsia" w:ascii="仿宋_GB2312" w:hAnsi="仿宋_GB2312" w:eastAsia="仿宋_GB2312" w:cs="仿宋_GB2312"/>
          <w:sz w:val="32"/>
          <w:szCs w:val="32"/>
          <w:u w:color="auto"/>
        </w:rPr>
        <w:t>（215</w:t>
      </w:r>
      <w:r>
        <w:rPr>
          <w:rFonts w:hint="eastAsia" w:ascii="仿宋_GB2312" w:hAnsi="仿宋_GB2312" w:eastAsia="仿宋_GB2312" w:cs="仿宋_GB2312"/>
          <w:sz w:val="32"/>
          <w:szCs w:val="32"/>
          <w:highlight w:val="none"/>
        </w:rPr>
        <w:t>类）年初预算为0.00万元，支出决算为700.00万元，完成年初预算的100.00%。</w:t>
      </w:r>
      <w:r>
        <w:rPr>
          <w:rFonts w:hint="eastAsia" w:ascii="仿宋_GB2312" w:hAnsi="仿宋_GB2312" w:eastAsia="仿宋_GB2312" w:cs="仿宋_GB2312"/>
          <w:color w:val="000000" w:themeColor="text1"/>
          <w:sz w:val="32"/>
          <w:szCs w:val="32"/>
          <w:highlight w:val="none"/>
          <w14:textFill>
            <w14:solidFill>
              <w14:schemeClr w14:val="tx1"/>
            </w14:solidFill>
          </w14:textFill>
        </w:rPr>
        <w:t>预决算</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存有</w:t>
      </w:r>
      <w:r>
        <w:rPr>
          <w:rFonts w:hint="eastAsia" w:ascii="仿宋_GB2312" w:hAnsi="仿宋_GB2312" w:eastAsia="仿宋_GB2312" w:cs="仿宋_GB2312"/>
          <w:color w:val="000000" w:themeColor="text1"/>
          <w:sz w:val="32"/>
          <w:szCs w:val="32"/>
          <w:highlight w:val="none"/>
          <w14:textFill>
            <w14:solidFill>
              <w14:schemeClr w14:val="tx1"/>
            </w14:solidFill>
          </w14:textFill>
        </w:rPr>
        <w:t>差异</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原因是</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kern w:val="2"/>
          <w:sz w:val="32"/>
          <w:szCs w:val="32"/>
          <w:highlight w:val="none"/>
          <w:lang w:val="en-US" w:eastAsia="zh-CN" w:bidi="ar"/>
        </w:rPr>
        <w:t>年中追加环江智慧工业园区建设项目和大健康食品加工产业园厂房项目。</w:t>
      </w:r>
    </w:p>
    <w:p>
      <w:pPr>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支出具体情况如下</w:t>
      </w:r>
      <w:r>
        <w:rPr>
          <w:rFonts w:hint="eastAsia" w:ascii="仿宋_GB2312" w:hAnsi="仿宋_GB2312" w:eastAsia="仿宋_GB2312" w:cs="仿宋_GB2312"/>
          <w:sz w:val="32"/>
          <w:szCs w:val="32"/>
          <w:highlight w:val="none"/>
        </w:rPr>
        <w:t>：</w:t>
      </w:r>
    </w:p>
    <w:tbl>
      <w:tblPr>
        <w:tblStyle w:val="8"/>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2150899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其他支持中小企业发展和管理支出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500.00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用于大健康食品加工产业园厂房项目。</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年中追加</w:t>
            </w:r>
            <w:r>
              <w:rPr>
                <w:rFonts w:hint="eastAsia" w:ascii="仿宋" w:hAnsi="仿宋" w:eastAsia="仿宋" w:cs="仿宋"/>
                <w:color w:val="auto"/>
                <w:sz w:val="21"/>
                <w:szCs w:val="21"/>
                <w:highlight w:val="none"/>
                <w:lang w:val="en-US" w:eastAsia="zh-CN"/>
              </w:rPr>
              <w:t>大健康食品加工产业园厂房项目。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2159999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其他资源勘探工业信息等支出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200.00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用于环江智慧工业园区建设项目。</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年中追加</w:t>
            </w:r>
            <w:r>
              <w:rPr>
                <w:rFonts w:hint="eastAsia" w:ascii="仿宋" w:hAnsi="仿宋" w:eastAsia="仿宋" w:cs="仿宋"/>
                <w:color w:val="auto"/>
                <w:sz w:val="21"/>
                <w:szCs w:val="21"/>
                <w:highlight w:val="none"/>
                <w:lang w:val="en-US" w:eastAsia="zh-CN"/>
              </w:rPr>
              <w:t>环江智慧工业园区建设项目。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700.00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用于大健康食品加工产业园厂房项目和环江智慧工业园区建设项目。</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年中追加</w:t>
            </w:r>
            <w:r>
              <w:rPr>
                <w:rFonts w:hint="eastAsia" w:ascii="仿宋" w:hAnsi="仿宋" w:eastAsia="仿宋" w:cs="仿宋"/>
                <w:color w:val="auto"/>
                <w:sz w:val="21"/>
                <w:szCs w:val="21"/>
                <w:highlight w:val="none"/>
                <w:lang w:val="en-US" w:eastAsia="zh-CN"/>
              </w:rPr>
              <w:t>大健康食品加工产业园厂房项目和环江智慧工业园区建设项目。</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2"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ascii="仿宋_GB2312" w:hAnsi="仿宋_GB2312" w:eastAsia="仿宋_GB2312" w:cs="仿宋_GB2312"/>
          <w:color w:val="FF0000"/>
          <w:sz w:val="32"/>
          <w:szCs w:val="32"/>
          <w:highlight w:val="none"/>
          <w:lang w:val="en-US" w:eastAsia="zh-CN"/>
        </w:rPr>
      </w:pPr>
      <w:r>
        <w:rPr>
          <w:rFonts w:hint="eastAsia" w:ascii="仿宋_GB2312" w:hAnsi="仿宋_GB2312" w:eastAsia="仿宋_GB2312" w:cs="仿宋_GB2312"/>
          <w:sz w:val="32"/>
          <w:szCs w:val="32"/>
          <w:highlight w:val="none"/>
        </w:rPr>
        <w:t>住房保障支出</w:t>
      </w:r>
      <w:r>
        <w:rPr>
          <w:rFonts w:hint="eastAsia" w:ascii="仿宋_GB2312" w:hAnsi="仿宋_GB2312" w:eastAsia="仿宋_GB2312" w:cs="仿宋_GB2312"/>
          <w:sz w:val="32"/>
          <w:szCs w:val="32"/>
          <w:u w:color="auto"/>
        </w:rPr>
        <w:t>（221</w:t>
      </w:r>
      <w:r>
        <w:rPr>
          <w:rFonts w:hint="eastAsia" w:ascii="仿宋_GB2312" w:hAnsi="仿宋_GB2312" w:eastAsia="仿宋_GB2312" w:cs="仿宋_GB2312"/>
          <w:sz w:val="32"/>
          <w:szCs w:val="32"/>
          <w:highlight w:val="none"/>
        </w:rPr>
        <w:t>类）年初预算为23.08万元，支出决算为21.66万元，完成年初预算的93.85%。</w:t>
      </w:r>
      <w:r>
        <w:rPr>
          <w:rFonts w:hint="eastAsia" w:ascii="仿宋_GB2312" w:hAnsi="仿宋_GB2312" w:eastAsia="仿宋_GB2312" w:cs="仿宋_GB2312"/>
          <w:color w:val="000000" w:themeColor="text1"/>
          <w:sz w:val="32"/>
          <w:szCs w:val="32"/>
          <w:highlight w:val="none"/>
          <w14:textFill>
            <w14:solidFill>
              <w14:schemeClr w14:val="tx1"/>
            </w14:solidFill>
          </w14:textFill>
        </w:rPr>
        <w:t>预决算</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存有</w:t>
      </w:r>
      <w:r>
        <w:rPr>
          <w:rFonts w:hint="eastAsia" w:ascii="仿宋_GB2312" w:hAnsi="仿宋_GB2312" w:eastAsia="仿宋_GB2312" w:cs="仿宋_GB2312"/>
          <w:color w:val="000000" w:themeColor="text1"/>
          <w:sz w:val="32"/>
          <w:szCs w:val="32"/>
          <w:highlight w:val="none"/>
          <w14:textFill>
            <w14:solidFill>
              <w14:schemeClr w14:val="tx1"/>
            </w14:solidFill>
          </w14:textFill>
        </w:rPr>
        <w:t>差异</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原因是：</w:t>
      </w:r>
      <w:r>
        <w:rPr>
          <w:rFonts w:hint="eastAsia" w:ascii="仿宋_GB2312" w:hAnsi="仿宋_GB2312" w:eastAsia="仿宋_GB2312" w:cs="仿宋_GB2312"/>
          <w:color w:val="auto"/>
          <w:sz w:val="32"/>
          <w:szCs w:val="32"/>
          <w:highlight w:val="none"/>
          <w:lang w:val="en-US" w:eastAsia="zh-CN"/>
        </w:rPr>
        <w:t>本年度人员进出调整</w:t>
      </w:r>
      <w:r>
        <w:rPr>
          <w:rFonts w:hint="eastAsia" w:ascii="仿宋_GB2312" w:hAnsi="仿宋_GB2312" w:eastAsia="仿宋_GB2312" w:cs="仿宋_GB2312"/>
          <w:color w:val="auto"/>
          <w:kern w:val="2"/>
          <w:sz w:val="32"/>
          <w:szCs w:val="32"/>
          <w:highlight w:val="none"/>
          <w:lang w:val="en-US" w:eastAsia="zh-CN" w:bidi="ar"/>
        </w:rPr>
        <w:t>。</w:t>
      </w:r>
    </w:p>
    <w:p>
      <w:pPr>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支出具体情况如下</w:t>
      </w:r>
      <w:r>
        <w:rPr>
          <w:rFonts w:hint="eastAsia" w:ascii="仿宋_GB2312" w:hAnsi="仿宋_GB2312" w:eastAsia="仿宋_GB2312" w:cs="仿宋_GB2312"/>
          <w:sz w:val="32"/>
          <w:szCs w:val="32"/>
          <w:highlight w:val="none"/>
        </w:rPr>
        <w:t>：</w:t>
      </w:r>
    </w:p>
    <w:tbl>
      <w:tblPr>
        <w:tblStyle w:val="8"/>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住房公积金</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23.08</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21.66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93.85%</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用于在职在编人员住房公积金缴费。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本年度人员进出调整。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23.08</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21.66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93.85%</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用于在职在编人员住房公积金缴费。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本年度人员进出调整。</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4"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ascii="仿宋_GB2312" w:hAnsi="仿宋_GB2312" w:eastAsia="仿宋_GB2312" w:cs="仿宋_GB2312"/>
          <w:color w:val="FF0000"/>
          <w:sz w:val="32"/>
          <w:szCs w:val="32"/>
          <w:highlight w:val="none"/>
          <w:lang w:val="en-US" w:eastAsia="zh-CN"/>
        </w:rPr>
      </w:pPr>
      <w:r>
        <w:rPr>
          <w:rFonts w:hint="eastAsia" w:ascii="仿宋_GB2312" w:hAnsi="仿宋_GB2312" w:eastAsia="仿宋_GB2312" w:cs="仿宋_GB2312"/>
          <w:sz w:val="32"/>
          <w:szCs w:val="32"/>
          <w:highlight w:val="none"/>
        </w:rPr>
        <w:t>其他支出</w:t>
      </w:r>
      <w:r>
        <w:rPr>
          <w:rFonts w:hint="eastAsia" w:ascii="仿宋_GB2312" w:hAnsi="仿宋_GB2312" w:eastAsia="仿宋_GB2312" w:cs="仿宋_GB2312"/>
          <w:sz w:val="32"/>
          <w:szCs w:val="32"/>
          <w:u w:color="auto"/>
        </w:rPr>
        <w:t>（229</w:t>
      </w:r>
      <w:r>
        <w:rPr>
          <w:rFonts w:hint="eastAsia" w:ascii="仿宋_GB2312" w:hAnsi="仿宋_GB2312" w:eastAsia="仿宋_GB2312" w:cs="仿宋_GB2312"/>
          <w:sz w:val="32"/>
          <w:szCs w:val="32"/>
          <w:highlight w:val="none"/>
        </w:rPr>
        <w:t>类）年初预算为0.00万元，支出</w:t>
      </w:r>
      <w:r>
        <w:rPr>
          <w:rFonts w:hint="eastAsia" w:ascii="仿宋_GB2312" w:hAnsi="仿宋_GB2312" w:eastAsia="仿宋_GB2312" w:cs="仿宋_GB2312"/>
          <w:color w:val="auto"/>
          <w:sz w:val="32"/>
          <w:szCs w:val="32"/>
          <w:highlight w:val="none"/>
        </w:rPr>
        <w:t>决算为82.04万元，完成年初预算的100.00%。预决算</w:t>
      </w:r>
      <w:r>
        <w:rPr>
          <w:rFonts w:hint="eastAsia" w:ascii="仿宋_GB2312" w:hAnsi="仿宋_GB2312" w:eastAsia="仿宋_GB2312" w:cs="仿宋_GB2312"/>
          <w:color w:val="auto"/>
          <w:sz w:val="32"/>
          <w:szCs w:val="32"/>
          <w:highlight w:val="none"/>
          <w:lang w:val="en-US" w:eastAsia="zh-CN"/>
        </w:rPr>
        <w:t>存有</w:t>
      </w:r>
      <w:r>
        <w:rPr>
          <w:rFonts w:hint="eastAsia" w:ascii="仿宋_GB2312" w:hAnsi="仿宋_GB2312" w:eastAsia="仿宋_GB2312" w:cs="仿宋_GB2312"/>
          <w:color w:val="auto"/>
          <w:sz w:val="32"/>
          <w:szCs w:val="32"/>
          <w:highlight w:val="none"/>
        </w:rPr>
        <w:t>差异</w:t>
      </w:r>
      <w:r>
        <w:rPr>
          <w:rFonts w:hint="eastAsia" w:ascii="仿宋_GB2312" w:hAnsi="仿宋_GB2312" w:eastAsia="仿宋_GB2312" w:cs="仿宋_GB2312"/>
          <w:color w:val="auto"/>
          <w:sz w:val="32"/>
          <w:szCs w:val="32"/>
          <w:highlight w:val="none"/>
          <w:lang w:val="en-US" w:eastAsia="zh-CN"/>
        </w:rPr>
        <w:t>原因是：</w:t>
      </w:r>
      <w:r>
        <w:rPr>
          <w:rFonts w:hint="eastAsia" w:ascii="仿宋_GB2312" w:hAnsi="仿宋_GB2312" w:eastAsia="仿宋_GB2312" w:cs="仿宋_GB2312"/>
          <w:color w:val="auto"/>
          <w:kern w:val="2"/>
          <w:sz w:val="32"/>
          <w:szCs w:val="32"/>
          <w:highlight w:val="none"/>
          <w:lang w:val="en-US" w:eastAsia="zh-CN" w:bidi="ar"/>
        </w:rPr>
        <w:t>年中追加奖励性补贴、伙食补助费、桂西北（环江）智慧食安产业园项目等。</w:t>
      </w:r>
    </w:p>
    <w:p>
      <w:pPr>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支出具体情况如下</w:t>
      </w:r>
      <w:r>
        <w:rPr>
          <w:rFonts w:hint="eastAsia" w:ascii="仿宋_GB2312" w:hAnsi="仿宋_GB2312" w:eastAsia="仿宋_GB2312" w:cs="仿宋_GB2312"/>
          <w:sz w:val="32"/>
          <w:szCs w:val="32"/>
          <w:highlight w:val="none"/>
        </w:rPr>
        <w:t>：</w:t>
      </w:r>
    </w:p>
    <w:tbl>
      <w:tblPr>
        <w:tblStyle w:val="8"/>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2299999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82.04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用于奖励性补贴、伙食补助费、桂西北（环江）智慧食安产业园项目等。</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年中追加</w:t>
            </w:r>
            <w:r>
              <w:rPr>
                <w:rFonts w:hint="eastAsia" w:ascii="仿宋" w:hAnsi="仿宋" w:eastAsia="仿宋" w:cs="仿宋"/>
                <w:color w:val="auto"/>
                <w:sz w:val="21"/>
                <w:szCs w:val="21"/>
                <w:highlight w:val="none"/>
                <w:lang w:val="en-US" w:eastAsia="zh-CN"/>
              </w:rPr>
              <w:t>奖励性补贴、伙食补助费、桂西北（环江）智慧食安产业园项目等。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39"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82.04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用于奖励性补贴、伙食补助费、桂西北（环江）智慧食安产业园项目等。</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年中追加</w:t>
            </w:r>
            <w:r>
              <w:rPr>
                <w:rFonts w:hint="eastAsia" w:ascii="仿宋" w:hAnsi="仿宋" w:eastAsia="仿宋" w:cs="仿宋"/>
                <w:color w:val="auto"/>
                <w:sz w:val="21"/>
                <w:szCs w:val="21"/>
                <w:highlight w:val="none"/>
                <w:lang w:val="en-US" w:eastAsia="zh-CN"/>
              </w:rPr>
              <w:t>奖励性补贴、伙食补助费、桂西北（环江）智慧食安产业园项目等。</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6"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jc w:val="left"/>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三、2022年度一般公共预算财政拨款基本支出决算情况说明</w:t>
      </w:r>
    </w:p>
    <w:p>
      <w:pPr>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河池·环江工业园区管理委员会2022年度一般公共预算财政拨款基本支出</w:t>
      </w:r>
      <w:r>
        <w:rPr>
          <w:rFonts w:hint="eastAsia" w:ascii="仿宋_GB2312" w:hAnsi="仿宋_GB2312" w:eastAsia="仿宋_GB2312" w:cs="仿宋_GB2312"/>
          <w:sz w:val="32"/>
          <w:szCs w:val="32"/>
          <w:u w:color="auto"/>
        </w:rPr>
        <w:t>313.17</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i w:val="0"/>
          <w:iCs w:val="0"/>
          <w:caps w:val="0"/>
          <w:color w:val="000000"/>
          <w:spacing w:val="0"/>
          <w:sz w:val="32"/>
          <w:szCs w:val="32"/>
          <w:highlight w:val="none"/>
          <w:shd w:val="clear" w:color="auto" w:fill="FFFFFF"/>
        </w:rPr>
        <w:t>其中：人员经费支出</w:t>
      </w:r>
      <w:r>
        <w:rPr>
          <w:rFonts w:hint="eastAsia" w:ascii="仿宋_GB2312" w:hAnsi="仿宋_GB2312" w:eastAsia="仿宋_GB2312" w:cs="仿宋_GB2312"/>
          <w:sz w:val="32"/>
          <w:szCs w:val="32"/>
          <w:highlight w:val="none"/>
        </w:rPr>
        <w:t>283.37</w:t>
      </w:r>
      <w:r>
        <w:rPr>
          <w:rFonts w:hint="eastAsia" w:ascii="仿宋_GB2312" w:hAnsi="仿宋_GB2312" w:eastAsia="仿宋_GB2312" w:cs="仿宋_GB2312"/>
          <w:i w:val="0"/>
          <w:iCs w:val="0"/>
          <w:caps w:val="0"/>
          <w:color w:val="000000"/>
          <w:spacing w:val="0"/>
          <w:sz w:val="32"/>
          <w:szCs w:val="32"/>
          <w:highlight w:val="none"/>
          <w:shd w:val="clear" w:color="auto" w:fill="FFFFFF"/>
        </w:rPr>
        <w:t>万元，公用经费支出</w:t>
      </w:r>
      <w:r>
        <w:rPr>
          <w:rFonts w:hint="eastAsia" w:ascii="仿宋_GB2312" w:hAnsi="仿宋_GB2312" w:eastAsia="仿宋_GB2312" w:cs="仿宋_GB2312"/>
          <w:sz w:val="32"/>
          <w:szCs w:val="32"/>
          <w:highlight w:val="none"/>
        </w:rPr>
        <w:t>29.80</w:t>
      </w:r>
      <w:r>
        <w:rPr>
          <w:rFonts w:hint="eastAsia" w:ascii="仿宋_GB2312" w:hAnsi="仿宋_GB2312" w:eastAsia="仿宋_GB2312" w:cs="仿宋_GB2312"/>
          <w:i w:val="0"/>
          <w:iCs w:val="0"/>
          <w:caps w:val="0"/>
          <w:color w:val="000000"/>
          <w:spacing w:val="0"/>
          <w:sz w:val="32"/>
          <w:szCs w:val="32"/>
          <w:highlight w:val="none"/>
          <w:shd w:val="clear" w:color="auto" w:fill="FFFFFF"/>
        </w:rPr>
        <w:t>万元，</w:t>
      </w:r>
      <w:r>
        <w:rPr>
          <w:rFonts w:hint="eastAsia" w:ascii="仿宋_GB2312" w:hAnsi="仿宋_GB2312" w:eastAsia="仿宋_GB2312" w:cs="仿宋_GB2312"/>
          <w:sz w:val="32"/>
          <w:szCs w:val="32"/>
          <w:highlight w:val="none"/>
        </w:rPr>
        <w:t>支出具体情况如下：</w:t>
      </w:r>
    </w:p>
    <w:p>
      <w:pPr>
        <w:autoSpaceDE w:val="0"/>
        <w:autoSpaceDN w:val="0"/>
        <w:adjustRightInd w:val="0"/>
        <w:spacing w:line="560" w:lineRule="exact"/>
        <w:ind w:firstLine="640" w:firstLineChars="200"/>
        <w:jc w:val="left"/>
        <w:rPr>
          <w:rFonts w:hint="eastAsia" w:ascii="仿宋_GB2312" w:hAnsi="仿宋_GB2312" w:eastAsia="仿宋_GB2312" w:cs="仿宋_GB2312"/>
          <w:color w:val="FF0000"/>
          <w:sz w:val="32"/>
          <w:szCs w:val="32"/>
          <w:highlight w:val="none"/>
        </w:rPr>
      </w:pPr>
      <w:r>
        <w:rPr>
          <w:rFonts w:hint="eastAsia" w:ascii="仿宋_GB2312" w:hAnsi="仿宋_GB2312" w:eastAsia="仿宋_GB2312" w:cs="仿宋_GB2312"/>
          <w:sz w:val="32"/>
          <w:szCs w:val="32"/>
          <w:highlight w:val="none"/>
        </w:rPr>
        <w:t>工资福利支出</w:t>
      </w:r>
      <w:r>
        <w:rPr>
          <w:rFonts w:hint="eastAsia" w:ascii="仿宋_GB2312" w:hAnsi="仿宋_GB2312" w:eastAsia="仿宋_GB2312" w:cs="仿宋_GB2312"/>
          <w:sz w:val="32"/>
          <w:szCs w:val="32"/>
          <w:u w:color="auto"/>
        </w:rPr>
        <w:t>282.79万元，</w:t>
      </w:r>
      <w:r>
        <w:rPr>
          <w:rFonts w:hint="eastAsia" w:ascii="仿宋_GB2312" w:hAnsi="仿宋_GB2312" w:eastAsia="仿宋_GB2312" w:cs="仿宋_GB2312"/>
          <w:i w:val="0"/>
          <w:iCs w:val="0"/>
          <w:caps w:val="0"/>
          <w:color w:val="000000"/>
          <w:spacing w:val="0"/>
          <w:sz w:val="32"/>
          <w:szCs w:val="32"/>
          <w:highlight w:val="none"/>
          <w:shd w:val="clear" w:color="auto" w:fill="FFFFFF"/>
        </w:rPr>
        <w:t>完成年初预算的</w:t>
      </w:r>
      <w:r>
        <w:rPr>
          <w:rFonts w:hint="eastAsia" w:ascii="仿宋_GB2312" w:hAnsi="仿宋_GB2312" w:eastAsia="仿宋_GB2312" w:cs="仿宋_GB2312"/>
          <w:sz w:val="32"/>
          <w:szCs w:val="32"/>
          <w:highlight w:val="none"/>
        </w:rPr>
        <w:t>143.88%</w:t>
      </w:r>
      <w:r>
        <w:rPr>
          <w:rFonts w:hint="eastAsia" w:ascii="仿宋_GB2312" w:hAnsi="仿宋_GB2312" w:eastAsia="仿宋_GB2312" w:cs="仿宋_GB2312"/>
          <w:i w:val="0"/>
          <w:iCs w:val="0"/>
          <w:caps w:val="0"/>
          <w:color w:val="000000"/>
          <w:spacing w:val="0"/>
          <w:sz w:val="32"/>
          <w:szCs w:val="32"/>
          <w:highlight w:val="none"/>
          <w:shd w:val="clear" w:color="auto" w:fill="FFFFFF"/>
        </w:rPr>
        <w:t>，</w:t>
      </w:r>
      <w:r>
        <w:rPr>
          <w:rFonts w:hint="eastAsia" w:ascii="仿宋_GB2312" w:hAnsi="仿宋_GB2312" w:eastAsia="仿宋_GB2312" w:cs="仿宋_GB2312"/>
          <w:bCs/>
          <w:kern w:val="0"/>
          <w:sz w:val="32"/>
          <w:szCs w:val="32"/>
          <w:highlight w:val="none"/>
        </w:rPr>
        <w:t>预决算差异是：</w:t>
      </w:r>
      <w:r>
        <w:rPr>
          <w:rFonts w:hint="eastAsia" w:ascii="仿宋_GB2312" w:hAnsi="仿宋_GB2312" w:eastAsia="仿宋_GB2312" w:cs="仿宋_GB2312"/>
          <w:bCs/>
          <w:kern w:val="0"/>
          <w:sz w:val="32"/>
          <w:szCs w:val="32"/>
          <w:highlight w:val="none"/>
          <w:lang w:eastAsia="zh-CN"/>
        </w:rPr>
        <w:t>当年度人员进出调整，年中追加基本工资、奖金、伙食补助费等。</w:t>
      </w:r>
      <w:r>
        <w:rPr>
          <w:rFonts w:hint="eastAsia" w:ascii="仿宋_GB2312" w:hAnsi="仿宋_GB2312" w:eastAsia="仿宋_GB2312" w:cs="仿宋_GB2312"/>
          <w:color w:val="000000" w:themeColor="text1"/>
          <w:kern w:val="2"/>
          <w:sz w:val="32"/>
          <w:szCs w:val="32"/>
          <w:highlight w:val="none"/>
          <w:lang w:val="en-US" w:eastAsia="zh-CN" w:bidi="ar"/>
          <w14:textFill>
            <w14:solidFill>
              <w14:schemeClr w14:val="tx1"/>
            </w14:solidFill>
          </w14:textFill>
        </w:rPr>
        <w:t>主要原因是：</w:t>
      </w:r>
      <w:r>
        <w:rPr>
          <w:rFonts w:hint="eastAsia" w:ascii="仿宋_GB2312" w:hAnsi="仿宋_GB2312" w:eastAsia="仿宋_GB2312" w:cs="仿宋_GB2312"/>
          <w:bCs/>
          <w:kern w:val="0"/>
          <w:sz w:val="32"/>
          <w:szCs w:val="32"/>
          <w:highlight w:val="none"/>
          <w:lang w:eastAsia="zh-CN"/>
        </w:rPr>
        <w:t>基本工资、奖金、伙食补助费等都增加，</w:t>
      </w:r>
      <w:r>
        <w:rPr>
          <w:rFonts w:hint="eastAsia" w:ascii="仿宋_GB2312" w:hAnsi="仿宋_GB2312" w:eastAsia="仿宋_GB2312" w:cs="仿宋_GB2312"/>
          <w:bCs/>
          <w:kern w:val="0"/>
          <w:sz w:val="32"/>
          <w:szCs w:val="32"/>
        </w:rPr>
        <w:t>所以决算数比预算数多。</w:t>
      </w:r>
    </w:p>
    <w:p>
      <w:pPr>
        <w:jc w:val="left"/>
        <w:rPr>
          <w:rFonts w:hint="default" w:ascii="仿宋" w:hAnsi="仿宋" w:eastAsia="仿宋" w:cs="仿宋"/>
          <w:sz w:val="32"/>
          <w:szCs w:val="32"/>
          <w:highlight w:val="none"/>
          <w:lang w:val="en-US" w:eastAsia="zh-CN"/>
        </w:rPr>
      </w:pPr>
      <w:r>
        <w:rPr>
          <w:rFonts w:hint="eastAsia" w:ascii="仿宋_GB2312" w:hAnsi="仿宋_GB2312" w:eastAsia="仿宋_GB2312" w:cs="仿宋_GB2312"/>
          <w:sz w:val="32"/>
          <w:szCs w:val="32"/>
          <w:highlight w:val="none"/>
          <w:lang w:val="en-US" w:eastAsia="zh-CN"/>
        </w:rPr>
        <w:t>支出具体情况如下</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30101基本工资81.30万元，30102津贴补贴45.95万元，30103奖金82.51万元，30106伙食补助费7.12万元，30108机关事业单位基本养老保险缴费28.87万元，30110职工基本医疗保险缴费11.80万元，30112其他社会保障缴费3.56万元，30113住房公积金21.66万元。</w:t>
      </w:r>
    </w:p>
    <w:p>
      <w:pPr>
        <w:jc w:val="center"/>
        <w:rPr>
          <w:rFonts w:hint="eastAsia" w:ascii="仿宋_GB2312" w:hAnsi="仿宋_GB2312" w:eastAsia="仿宋_GB2312" w:cs="仿宋_GB2312"/>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8"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hint="eastAsia" w:ascii="仿宋_GB2312" w:hAnsi="仿宋_GB2312" w:eastAsia="仿宋_GB2312" w:cs="仿宋_GB2312"/>
          <w:color w:val="FF0000"/>
          <w:sz w:val="32"/>
          <w:szCs w:val="32"/>
          <w:highlight w:val="none"/>
        </w:rPr>
      </w:pPr>
      <w:r>
        <w:rPr>
          <w:rFonts w:hint="eastAsia" w:ascii="仿宋_GB2312" w:hAnsi="仿宋_GB2312" w:eastAsia="仿宋_GB2312" w:cs="仿宋_GB2312"/>
          <w:sz w:val="32"/>
          <w:szCs w:val="32"/>
          <w:highlight w:val="none"/>
        </w:rPr>
        <w:t>商品和服务支出</w:t>
      </w:r>
      <w:r>
        <w:rPr>
          <w:rFonts w:hint="eastAsia" w:ascii="仿宋_GB2312" w:hAnsi="仿宋_GB2312" w:eastAsia="仿宋_GB2312" w:cs="仿宋_GB2312"/>
          <w:sz w:val="32"/>
          <w:szCs w:val="32"/>
          <w:u w:color="auto"/>
        </w:rPr>
        <w:t>29.80万元，</w:t>
      </w:r>
      <w:r>
        <w:rPr>
          <w:rFonts w:hint="eastAsia" w:ascii="仿宋_GB2312" w:hAnsi="仿宋_GB2312" w:eastAsia="仿宋_GB2312" w:cs="仿宋_GB2312"/>
          <w:i w:val="0"/>
          <w:iCs w:val="0"/>
          <w:caps w:val="0"/>
          <w:color w:val="000000"/>
          <w:spacing w:val="0"/>
          <w:sz w:val="32"/>
          <w:szCs w:val="32"/>
          <w:highlight w:val="none"/>
          <w:shd w:val="clear" w:color="auto" w:fill="FFFFFF"/>
        </w:rPr>
        <w:t>完成年初预算的</w:t>
      </w:r>
      <w:r>
        <w:rPr>
          <w:rFonts w:hint="eastAsia" w:ascii="仿宋_GB2312" w:hAnsi="仿宋_GB2312" w:eastAsia="仿宋_GB2312" w:cs="仿宋_GB2312"/>
          <w:sz w:val="32"/>
          <w:szCs w:val="32"/>
          <w:highlight w:val="none"/>
        </w:rPr>
        <w:t>97.48%</w:t>
      </w:r>
      <w:r>
        <w:rPr>
          <w:rFonts w:hint="eastAsia" w:ascii="仿宋_GB2312" w:hAnsi="仿宋_GB2312" w:eastAsia="仿宋_GB2312" w:cs="仿宋_GB2312"/>
          <w:i w:val="0"/>
          <w:iCs w:val="0"/>
          <w:caps w:val="0"/>
          <w:color w:val="000000"/>
          <w:spacing w:val="0"/>
          <w:sz w:val="32"/>
          <w:szCs w:val="32"/>
          <w:highlight w:val="none"/>
          <w:shd w:val="clear" w:color="auto" w:fill="FFFFFF"/>
        </w:rPr>
        <w:t>，</w:t>
      </w:r>
      <w:r>
        <w:rPr>
          <w:rFonts w:hint="eastAsia" w:ascii="仿宋_GB2312" w:hAnsi="仿宋_GB2312" w:eastAsia="仿宋_GB2312" w:cs="仿宋_GB2312"/>
          <w:bCs/>
          <w:kern w:val="0"/>
          <w:sz w:val="32"/>
          <w:szCs w:val="32"/>
          <w:highlight w:val="none"/>
        </w:rPr>
        <w:t>预决算差异是：</w:t>
      </w:r>
      <w:r>
        <w:rPr>
          <w:rFonts w:hint="eastAsia" w:ascii="仿宋_GB2312" w:hAnsi="仿宋_GB2312" w:eastAsia="仿宋_GB2312" w:cs="仿宋_GB2312"/>
          <w:bCs/>
          <w:kern w:val="0"/>
          <w:sz w:val="32"/>
          <w:szCs w:val="32"/>
          <w:highlight w:val="none"/>
          <w:lang w:eastAsia="zh-CN"/>
        </w:rPr>
        <w:t>我委厉行节约，减少办公费和其他交通费用等。</w:t>
      </w:r>
      <w:r>
        <w:rPr>
          <w:rFonts w:hint="eastAsia" w:ascii="仿宋_GB2312" w:hAnsi="仿宋_GB2312" w:eastAsia="仿宋_GB2312" w:cs="仿宋_GB2312"/>
          <w:color w:val="000000" w:themeColor="text1"/>
          <w:kern w:val="2"/>
          <w:sz w:val="32"/>
          <w:szCs w:val="32"/>
          <w:highlight w:val="none"/>
          <w:lang w:val="en-US" w:eastAsia="zh-CN" w:bidi="ar"/>
          <w14:textFill>
            <w14:solidFill>
              <w14:schemeClr w14:val="tx1"/>
            </w14:solidFill>
          </w14:textFill>
        </w:rPr>
        <w:t>主要原因是：</w:t>
      </w:r>
      <w:r>
        <w:rPr>
          <w:rFonts w:hint="eastAsia" w:ascii="仿宋_GB2312" w:hAnsi="仿宋_GB2312" w:eastAsia="仿宋_GB2312" w:cs="仿宋_GB2312"/>
          <w:bCs/>
          <w:kern w:val="0"/>
          <w:sz w:val="32"/>
          <w:szCs w:val="32"/>
          <w:highlight w:val="none"/>
          <w:lang w:eastAsia="zh-CN"/>
        </w:rPr>
        <w:t>办公费和其他交通费用等都减少，</w:t>
      </w:r>
      <w:r>
        <w:rPr>
          <w:rFonts w:hint="eastAsia" w:ascii="仿宋_GB2312" w:hAnsi="仿宋_GB2312" w:eastAsia="仿宋_GB2312" w:cs="仿宋_GB2312"/>
          <w:bCs/>
          <w:kern w:val="0"/>
          <w:sz w:val="32"/>
          <w:szCs w:val="32"/>
        </w:rPr>
        <w:t>所以决算数比预算数</w:t>
      </w:r>
      <w:r>
        <w:rPr>
          <w:rFonts w:hint="eastAsia" w:ascii="仿宋_GB2312" w:hAnsi="仿宋_GB2312" w:eastAsia="仿宋_GB2312" w:cs="仿宋_GB2312"/>
          <w:bCs/>
          <w:kern w:val="0"/>
          <w:sz w:val="32"/>
          <w:szCs w:val="32"/>
          <w:lang w:eastAsia="zh-CN"/>
        </w:rPr>
        <w:t>少</w:t>
      </w:r>
      <w:r>
        <w:rPr>
          <w:rFonts w:hint="eastAsia" w:ascii="仿宋_GB2312" w:hAnsi="仿宋_GB2312" w:eastAsia="仿宋_GB2312" w:cs="仿宋_GB2312"/>
          <w:bCs/>
          <w:kern w:val="0"/>
          <w:sz w:val="32"/>
          <w:szCs w:val="32"/>
        </w:rPr>
        <w:t>。</w:t>
      </w:r>
    </w:p>
    <w:p>
      <w:pPr>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支出具体情况如下</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30201办公费4.64万元，30205水费0.02万元，30206电费0.21万元，30207邮电费2.97万元，30211差旅费0.63万元，30228工会经费3.85万元，30239其他交通费用17.48万元。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0"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rPr>
        <w:t>对个人和家庭的补助</w:t>
      </w:r>
      <w:r>
        <w:rPr>
          <w:rFonts w:hint="eastAsia" w:ascii="仿宋_GB2312" w:hAnsi="仿宋_GB2312" w:eastAsia="仿宋_GB2312" w:cs="仿宋_GB2312"/>
          <w:sz w:val="32"/>
          <w:szCs w:val="32"/>
          <w:u w:color="auto"/>
        </w:rPr>
        <w:t>0.58万元，</w:t>
      </w:r>
      <w:r>
        <w:rPr>
          <w:rFonts w:hint="eastAsia" w:ascii="仿宋_GB2312" w:hAnsi="仿宋_GB2312" w:eastAsia="仿宋_GB2312" w:cs="仿宋_GB2312"/>
          <w:i w:val="0"/>
          <w:iCs w:val="0"/>
          <w:caps w:val="0"/>
          <w:color w:val="000000"/>
          <w:spacing w:val="0"/>
          <w:sz w:val="32"/>
          <w:szCs w:val="32"/>
          <w:highlight w:val="none"/>
          <w:shd w:val="clear" w:color="auto" w:fill="FFFFFF"/>
        </w:rPr>
        <w:t>完成年初预算的</w:t>
      </w:r>
      <w:r>
        <w:rPr>
          <w:rFonts w:hint="eastAsia" w:ascii="仿宋_GB2312" w:hAnsi="仿宋_GB2312" w:eastAsia="仿宋_GB2312" w:cs="仿宋_GB2312"/>
          <w:sz w:val="32"/>
          <w:szCs w:val="32"/>
          <w:highlight w:val="none"/>
        </w:rPr>
        <w:t>100%</w:t>
      </w:r>
      <w:r>
        <w:rPr>
          <w:rFonts w:hint="eastAsia" w:ascii="仿宋_GB2312" w:hAnsi="仿宋_GB2312" w:eastAsia="仿宋_GB2312" w:cs="仿宋_GB2312"/>
          <w:i w:val="0"/>
          <w:iCs w:val="0"/>
          <w:caps w:val="0"/>
          <w:color w:val="000000"/>
          <w:spacing w:val="0"/>
          <w:sz w:val="32"/>
          <w:szCs w:val="32"/>
          <w:highlight w:val="none"/>
          <w:shd w:val="clear" w:color="auto" w:fill="FFFFFF"/>
        </w:rPr>
        <w:t>，</w:t>
      </w:r>
      <w:r>
        <w:rPr>
          <w:rFonts w:hint="eastAsia" w:ascii="仿宋_GB2312" w:hAnsi="仿宋_GB2312" w:eastAsia="仿宋_GB2312" w:cs="仿宋_GB2312"/>
          <w:bCs/>
          <w:kern w:val="0"/>
          <w:sz w:val="32"/>
          <w:szCs w:val="32"/>
          <w:highlight w:val="none"/>
        </w:rPr>
        <w:t>预决算差异是：</w:t>
      </w:r>
      <w:r>
        <w:rPr>
          <w:rFonts w:hint="eastAsia" w:ascii="仿宋_GB2312" w:hAnsi="仿宋_GB2312" w:eastAsia="仿宋_GB2312" w:cs="仿宋_GB2312"/>
          <w:bCs/>
          <w:kern w:val="0"/>
          <w:sz w:val="32"/>
          <w:szCs w:val="32"/>
          <w:highlight w:val="none"/>
          <w:lang w:eastAsia="zh-CN"/>
        </w:rPr>
        <w:t>年中有人员退休，追加退休人员生活补助和改革前获得荣誉改革后退休人员退休补助。</w:t>
      </w:r>
      <w:r>
        <w:rPr>
          <w:rFonts w:hint="eastAsia" w:ascii="仿宋_GB2312" w:hAnsi="仿宋_GB2312" w:eastAsia="仿宋_GB2312" w:cs="仿宋_GB2312"/>
          <w:color w:val="000000" w:themeColor="text1"/>
          <w:kern w:val="2"/>
          <w:sz w:val="32"/>
          <w:szCs w:val="32"/>
          <w:highlight w:val="none"/>
          <w:lang w:val="en-US" w:eastAsia="zh-CN" w:bidi="ar"/>
          <w14:textFill>
            <w14:solidFill>
              <w14:schemeClr w14:val="tx1"/>
            </w14:solidFill>
          </w14:textFill>
        </w:rPr>
        <w:t>主要原因是：</w:t>
      </w:r>
      <w:r>
        <w:rPr>
          <w:rFonts w:hint="eastAsia" w:ascii="仿宋_GB2312" w:hAnsi="仿宋_GB2312" w:eastAsia="仿宋_GB2312" w:cs="仿宋_GB2312"/>
          <w:bCs/>
          <w:kern w:val="0"/>
          <w:sz w:val="32"/>
          <w:szCs w:val="32"/>
          <w:highlight w:val="none"/>
          <w:lang w:eastAsia="zh-CN"/>
        </w:rPr>
        <w:t>追加退休人员生活补助和改革前获得荣誉改革后退休人员退休补助，</w:t>
      </w:r>
      <w:r>
        <w:rPr>
          <w:rFonts w:hint="eastAsia" w:ascii="仿宋_GB2312" w:hAnsi="仿宋_GB2312" w:eastAsia="仿宋_GB2312" w:cs="仿宋_GB2312"/>
          <w:bCs/>
          <w:kern w:val="0"/>
          <w:sz w:val="32"/>
          <w:szCs w:val="32"/>
        </w:rPr>
        <w:t>所以决算数比预算数</w:t>
      </w:r>
      <w:r>
        <w:rPr>
          <w:rFonts w:hint="eastAsia" w:ascii="仿宋_GB2312" w:hAnsi="仿宋_GB2312" w:eastAsia="仿宋_GB2312" w:cs="仿宋_GB2312"/>
          <w:bCs/>
          <w:kern w:val="0"/>
          <w:sz w:val="32"/>
          <w:szCs w:val="32"/>
          <w:lang w:eastAsia="zh-CN"/>
        </w:rPr>
        <w:t>多</w:t>
      </w:r>
      <w:r>
        <w:rPr>
          <w:rFonts w:hint="eastAsia" w:ascii="仿宋_GB2312" w:hAnsi="仿宋_GB2312" w:eastAsia="仿宋_GB2312" w:cs="仿宋_GB2312"/>
          <w:bCs/>
          <w:kern w:val="0"/>
          <w:sz w:val="32"/>
          <w:szCs w:val="32"/>
        </w:rPr>
        <w:t>。</w:t>
      </w:r>
    </w:p>
    <w:p>
      <w:pPr>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支出具体情况如下</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30305生活补助0.58万元。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149475"/>
            <wp:effectExtent l="5080" t="4445" r="15875" b="17780"/>
            <wp:docPr id="22"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hint="eastAsia" w:ascii="仿宋_GB2312" w:hAnsi="仿宋_GB2312" w:eastAsia="仿宋_GB2312" w:cs="仿宋_GB2312"/>
          <w:color w:val="FF0000"/>
          <w:sz w:val="32"/>
          <w:szCs w:val="32"/>
          <w:highlight w:val="none"/>
        </w:rPr>
      </w:pPr>
      <w:r>
        <w:rPr>
          <w:rFonts w:hint="eastAsia" w:ascii="仿宋_GB2312" w:hAnsi="仿宋_GB2312" w:eastAsia="仿宋_GB2312" w:cs="仿宋_GB2312"/>
          <w:sz w:val="32"/>
          <w:szCs w:val="32"/>
          <w:highlight w:val="none"/>
        </w:rPr>
        <w:t>债务利息及费用支出</w:t>
      </w:r>
      <w:r>
        <w:rPr>
          <w:rFonts w:hint="eastAsia" w:ascii="仿宋_GB2312" w:hAnsi="仿宋_GB2312" w:eastAsia="仿宋_GB2312" w:cs="仿宋_GB2312"/>
          <w:sz w:val="32"/>
          <w:szCs w:val="32"/>
          <w:u w:color="auto"/>
        </w:rPr>
        <w:t>0.00万元，</w:t>
      </w:r>
      <w:r>
        <w:rPr>
          <w:rFonts w:hint="eastAsia" w:ascii="仿宋_GB2312" w:hAnsi="仿宋_GB2312" w:eastAsia="仿宋_GB2312" w:cs="仿宋_GB2312"/>
          <w:i w:val="0"/>
          <w:iCs w:val="0"/>
          <w:caps w:val="0"/>
          <w:color w:val="000000"/>
          <w:spacing w:val="0"/>
          <w:sz w:val="32"/>
          <w:szCs w:val="32"/>
          <w:highlight w:val="none"/>
          <w:shd w:val="clear" w:color="auto" w:fill="FFFFFF"/>
        </w:rPr>
        <w:t>完成年初预算的</w:t>
      </w:r>
      <w:r>
        <w:rPr>
          <w:rFonts w:hint="eastAsia" w:ascii="仿宋_GB2312" w:hAnsi="仿宋_GB2312" w:eastAsia="仿宋_GB2312" w:cs="仿宋_GB2312"/>
          <w:sz w:val="32"/>
          <w:szCs w:val="32"/>
          <w:highlight w:val="none"/>
        </w:rPr>
        <w:t>0%</w:t>
      </w:r>
      <w:r>
        <w:rPr>
          <w:rFonts w:hint="eastAsia" w:ascii="仿宋_GB2312" w:hAnsi="仿宋_GB2312" w:eastAsia="仿宋_GB2312" w:cs="仿宋_GB2312"/>
          <w:i w:val="0"/>
          <w:iCs w:val="0"/>
          <w:caps w:val="0"/>
          <w:color w:val="000000"/>
          <w:spacing w:val="0"/>
          <w:sz w:val="32"/>
          <w:szCs w:val="32"/>
          <w:highlight w:val="none"/>
          <w:shd w:val="clear" w:color="auto" w:fill="FFFFFF"/>
        </w:rPr>
        <w:t>，</w:t>
      </w:r>
      <w:r>
        <w:rPr>
          <w:rFonts w:hint="eastAsia" w:ascii="仿宋_GB2312" w:hAnsi="仿宋_GB2312" w:eastAsia="仿宋_GB2312" w:cs="仿宋_GB2312"/>
          <w:color w:val="000000" w:themeColor="text1"/>
          <w:kern w:val="2"/>
          <w:sz w:val="32"/>
          <w:szCs w:val="32"/>
          <w:highlight w:val="none"/>
          <w:lang w:val="en-US" w:eastAsia="zh-CN" w:bidi="ar"/>
          <w14:textFill>
            <w14:solidFill>
              <w14:schemeClr w14:val="tx1"/>
            </w14:solidFill>
          </w14:textFill>
        </w:rPr>
        <w:t>主要原因是：</w:t>
      </w:r>
      <w:r>
        <w:rPr>
          <w:rFonts w:hint="eastAsia" w:ascii="仿宋_GB2312" w:hAnsi="仿宋_GB2312" w:eastAsia="仿宋_GB2312" w:cs="仿宋_GB2312"/>
          <w:color w:val="auto"/>
          <w:kern w:val="2"/>
          <w:sz w:val="32"/>
          <w:szCs w:val="32"/>
          <w:highlight w:val="none"/>
          <w:lang w:val="en-US" w:eastAsia="zh-CN" w:bidi="ar"/>
        </w:rPr>
        <w:t>本单位没有</w:t>
      </w:r>
      <w:r>
        <w:rPr>
          <w:rFonts w:hint="eastAsia" w:ascii="仿宋_GB2312" w:hAnsi="仿宋_GB2312" w:eastAsia="仿宋_GB2312" w:cs="仿宋_GB2312"/>
          <w:sz w:val="32"/>
          <w:szCs w:val="32"/>
          <w:highlight w:val="none"/>
        </w:rPr>
        <w:t>债务利息及费用支出</w:t>
      </w:r>
      <w:r>
        <w:rPr>
          <w:rFonts w:hint="eastAsia" w:ascii="仿宋_GB2312" w:hAnsi="仿宋_GB2312" w:eastAsia="仿宋_GB2312" w:cs="仿宋_GB2312"/>
          <w:sz w:val="32"/>
          <w:szCs w:val="32"/>
          <w:highlight w:val="none"/>
          <w:lang w:eastAsia="zh-CN"/>
        </w:rPr>
        <w:t>。</w:t>
      </w:r>
    </w:p>
    <w:p>
      <w:pPr>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支出具体情况如下</w:t>
      </w:r>
      <w:r>
        <w:rPr>
          <w:rFonts w:hint="eastAsia" w:ascii="仿宋_GB2312" w:hAnsi="仿宋_GB2312" w:eastAsia="仿宋_GB2312" w:cs="仿宋_GB2312"/>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资本性支出</w:t>
      </w:r>
      <w:r>
        <w:rPr>
          <w:rFonts w:ascii="仿宋" w:hAnsi="仿宋" w:eastAsia="仿宋" w:cs="仿宋"/>
          <w:sz w:val="32"/>
          <w:u w:color="auto"/>
        </w:rPr>
        <w:t>0.00万元，</w:t>
      </w:r>
      <w:r>
        <w:rPr>
          <w:rFonts w:hint="default" w:ascii="FangSong_GB2312" w:hAnsi="微软雅黑" w:eastAsia="FangSong_GB2312" w:cs="FangSong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FangSong_GB2312" w:hAnsi="微软雅黑" w:eastAsia="FangSong_GB2312" w:cs="FangSong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w:t>
      </w:r>
      <w:r>
        <w:rPr>
          <w:rFonts w:hint="eastAsia" w:ascii="仿宋" w:hAnsi="仿宋" w:eastAsia="仿宋" w:cs="仿宋"/>
          <w:sz w:val="32"/>
          <w:szCs w:val="32"/>
          <w:highlight w:val="none"/>
        </w:rPr>
        <w:t>资本性支出</w:t>
      </w:r>
      <w:r>
        <w:rPr>
          <w:rFonts w:hint="eastAsia" w:ascii="仿宋" w:hAnsi="仿宋" w:eastAsia="仿宋" w:cs="仿宋"/>
          <w:sz w:val="32"/>
          <w:szCs w:val="32"/>
          <w:highlight w:val="none"/>
          <w:lang w:eastAsia="zh-CN"/>
        </w:rPr>
        <w:t>。</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jc w:val="both"/>
        <w:rPr>
          <w:rFonts w:hint="eastAsia" w:ascii="仿宋" w:hAnsi="仿宋" w:eastAsia="仿宋" w:cs="仿宋"/>
          <w:sz w:val="32"/>
          <w:szCs w:val="32"/>
          <w:highlight w:val="none"/>
        </w:rPr>
      </w:pP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hint="eastAsia" w:ascii="仿宋_GB2312" w:hAnsi="仿宋_GB2312" w:eastAsia="仿宋_GB2312" w:cs="仿宋_GB2312"/>
          <w:color w:val="FF0000"/>
          <w:sz w:val="32"/>
          <w:szCs w:val="32"/>
          <w:highlight w:val="none"/>
        </w:rPr>
      </w:pPr>
      <w:r>
        <w:rPr>
          <w:rFonts w:hint="eastAsia" w:ascii="仿宋_GB2312" w:hAnsi="仿宋_GB2312" w:eastAsia="仿宋_GB2312" w:cs="仿宋_GB2312"/>
          <w:sz w:val="32"/>
          <w:szCs w:val="32"/>
          <w:highlight w:val="none"/>
        </w:rPr>
        <w:t>其他支出</w:t>
      </w:r>
      <w:r>
        <w:rPr>
          <w:rFonts w:hint="eastAsia" w:ascii="仿宋_GB2312" w:hAnsi="仿宋_GB2312" w:eastAsia="仿宋_GB2312" w:cs="仿宋_GB2312"/>
          <w:sz w:val="32"/>
          <w:szCs w:val="32"/>
          <w:u w:color="auto"/>
        </w:rPr>
        <w:t>0.00万元，</w:t>
      </w:r>
      <w:r>
        <w:rPr>
          <w:rFonts w:hint="eastAsia" w:ascii="仿宋_GB2312" w:hAnsi="仿宋_GB2312" w:eastAsia="仿宋_GB2312" w:cs="仿宋_GB2312"/>
          <w:i w:val="0"/>
          <w:iCs w:val="0"/>
          <w:caps w:val="0"/>
          <w:color w:val="000000"/>
          <w:spacing w:val="0"/>
          <w:sz w:val="32"/>
          <w:szCs w:val="32"/>
          <w:highlight w:val="none"/>
          <w:shd w:val="clear" w:color="auto" w:fill="FFFFFF"/>
        </w:rPr>
        <w:t>完成年初预算的</w:t>
      </w:r>
      <w:r>
        <w:rPr>
          <w:rFonts w:hint="eastAsia" w:ascii="仿宋_GB2312" w:hAnsi="仿宋_GB2312" w:eastAsia="仿宋_GB2312" w:cs="仿宋_GB2312"/>
          <w:sz w:val="32"/>
          <w:szCs w:val="32"/>
          <w:highlight w:val="none"/>
        </w:rPr>
        <w:t>0%</w:t>
      </w:r>
      <w:r>
        <w:rPr>
          <w:rFonts w:hint="eastAsia" w:ascii="仿宋_GB2312" w:hAnsi="仿宋_GB2312" w:eastAsia="仿宋_GB2312" w:cs="仿宋_GB2312"/>
          <w:i w:val="0"/>
          <w:iCs w:val="0"/>
          <w:caps w:val="0"/>
          <w:color w:val="000000"/>
          <w:spacing w:val="0"/>
          <w:sz w:val="32"/>
          <w:szCs w:val="32"/>
          <w:highlight w:val="none"/>
          <w:shd w:val="clear" w:color="auto" w:fill="FFFFFF"/>
        </w:rPr>
        <w:t>，</w:t>
      </w:r>
      <w:r>
        <w:rPr>
          <w:rFonts w:hint="eastAsia" w:ascii="仿宋_GB2312" w:hAnsi="仿宋_GB2312" w:eastAsia="仿宋_GB2312" w:cs="仿宋_GB2312"/>
          <w:color w:val="000000" w:themeColor="text1"/>
          <w:kern w:val="2"/>
          <w:sz w:val="32"/>
          <w:szCs w:val="32"/>
          <w:highlight w:val="none"/>
          <w:lang w:val="en-US" w:eastAsia="zh-CN" w:bidi="ar"/>
          <w14:textFill>
            <w14:solidFill>
              <w14:schemeClr w14:val="tx1"/>
            </w14:solidFill>
          </w14:textFill>
        </w:rPr>
        <w:t>主要原因是：</w:t>
      </w:r>
      <w:r>
        <w:rPr>
          <w:rFonts w:hint="eastAsia" w:ascii="仿宋_GB2312" w:hAnsi="仿宋_GB2312" w:eastAsia="仿宋_GB2312" w:cs="仿宋_GB2312"/>
          <w:color w:val="auto"/>
          <w:kern w:val="2"/>
          <w:sz w:val="32"/>
          <w:szCs w:val="32"/>
          <w:highlight w:val="none"/>
          <w:lang w:val="en-US" w:eastAsia="zh-CN" w:bidi="ar"/>
        </w:rPr>
        <w:t>本单位没有</w:t>
      </w:r>
      <w:r>
        <w:rPr>
          <w:rFonts w:hint="eastAsia" w:ascii="仿宋_GB2312" w:hAnsi="仿宋_GB2312" w:eastAsia="仿宋_GB2312" w:cs="仿宋_GB2312"/>
          <w:sz w:val="32"/>
          <w:szCs w:val="32"/>
          <w:highlight w:val="none"/>
        </w:rPr>
        <w:t>其他支出</w:t>
      </w:r>
      <w:r>
        <w:rPr>
          <w:rFonts w:hint="eastAsia" w:ascii="仿宋_GB2312" w:hAnsi="仿宋_GB2312" w:eastAsia="仿宋_GB2312" w:cs="仿宋_GB2312"/>
          <w:sz w:val="32"/>
          <w:szCs w:val="32"/>
          <w:highlight w:val="none"/>
          <w:lang w:eastAsia="zh-CN"/>
        </w:rPr>
        <w:t>。</w:t>
      </w:r>
    </w:p>
    <w:p>
      <w:pPr>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支出具体情况如下</w:t>
      </w:r>
      <w:r>
        <w:rPr>
          <w:rFonts w:hint="eastAsia" w:ascii="仿宋_GB2312" w:hAnsi="仿宋_GB2312" w:eastAsia="仿宋_GB2312" w:cs="仿宋_GB2312"/>
          <w:sz w:val="32"/>
          <w:szCs w:val="32"/>
          <w:highlight w:val="none"/>
        </w:rPr>
        <w:t>：</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8"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jc w:val="left"/>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四、2022年度政府性基金支出决算情况</w:t>
      </w:r>
    </w:p>
    <w:p>
      <w:pPr>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河池·环江工业园区管理委员会2022年度政府性基金支出6137.12万元，较2021年度决算数减少379.58万元，下降5.82%其中：基本支出0.00万元，项目支出6137.12万元。</w:t>
      </w:r>
    </w:p>
    <w:p>
      <w:pPr>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河池·环江工业园区管理委员会2022年度政府性基金支出年初预算为0.00万元，支出决算为6137.12万元，完成年初预算的100%。</w:t>
      </w:r>
    </w:p>
    <w:p>
      <w:pPr>
        <w:keepNext w:val="0"/>
        <w:keepLines w:val="0"/>
        <w:widowControl w:val="0"/>
        <w:suppressLineNumbers w:val="0"/>
        <w:spacing w:before="0" w:beforeAutospacing="0" w:after="0" w:afterAutospacing="0"/>
        <w:ind w:left="0" w:right="0"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u w:color="auto"/>
        </w:rPr>
        <w:t>1)城乡社区支出</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eastAsia="zh-CN"/>
        </w:rPr>
        <w:t>212</w:t>
      </w:r>
      <w:r>
        <w:rPr>
          <w:rFonts w:hint="eastAsia" w:ascii="仿宋_GB2312" w:hAnsi="仿宋_GB2312" w:eastAsia="仿宋_GB2312" w:cs="仿宋_GB2312"/>
          <w:color w:val="000000"/>
          <w:sz w:val="32"/>
          <w:szCs w:val="32"/>
          <w:shd w:val="clear" w:color="auto" w:fill="FFFFFF"/>
        </w:rPr>
        <w:t>类）</w:t>
      </w:r>
      <w:r>
        <w:rPr>
          <w:rFonts w:hint="eastAsia" w:ascii="仿宋_GB2312" w:hAnsi="仿宋_GB2312" w:eastAsia="仿宋_GB2312" w:cs="仿宋_GB2312"/>
          <w:color w:val="000000"/>
          <w:sz w:val="32"/>
          <w:szCs w:val="32"/>
          <w:shd w:val="clear" w:color="auto" w:fill="FFFFFF"/>
          <w:lang w:val="en-US" w:eastAsia="zh-CN"/>
        </w:rPr>
        <w:t>国有土地使用权出让收入安排的支出</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eastAsia="zh-CN"/>
        </w:rPr>
        <w:t>21208</w:t>
      </w:r>
      <w:r>
        <w:rPr>
          <w:rFonts w:hint="eastAsia" w:ascii="仿宋_GB2312" w:hAnsi="仿宋_GB2312" w:eastAsia="仿宋_GB2312" w:cs="仿宋_GB2312"/>
          <w:color w:val="000000"/>
          <w:sz w:val="32"/>
          <w:szCs w:val="32"/>
          <w:shd w:val="clear" w:color="auto" w:fill="FFFFFF"/>
        </w:rPr>
        <w:t>款</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lang w:val="en-US" w:eastAsia="zh-CN"/>
        </w:rPr>
        <w:t>土地开发支出</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eastAsia="zh-CN"/>
        </w:rPr>
        <w:t>2120802</w:t>
      </w:r>
      <w:r>
        <w:rPr>
          <w:rFonts w:hint="eastAsia" w:ascii="仿宋_GB2312" w:hAnsi="仿宋_GB2312" w:eastAsia="仿宋_GB2312" w:cs="仿宋_GB2312"/>
          <w:color w:val="000000"/>
          <w:sz w:val="32"/>
          <w:szCs w:val="32"/>
          <w:shd w:val="clear" w:color="auto" w:fill="FFFFFF"/>
        </w:rPr>
        <w:t>项）年初预算为</w:t>
      </w:r>
      <w:r>
        <w:rPr>
          <w:rFonts w:hint="eastAsia" w:ascii="仿宋_GB2312" w:hAnsi="仿宋_GB2312" w:eastAsia="仿宋_GB2312" w:cs="仿宋_GB2312"/>
          <w:color w:val="000000"/>
          <w:sz w:val="32"/>
          <w:szCs w:val="32"/>
          <w:u w:color="auto"/>
        </w:rPr>
        <w:t>0.00</w:t>
      </w:r>
      <w:r>
        <w:rPr>
          <w:rFonts w:hint="eastAsia" w:ascii="仿宋_GB2312" w:hAnsi="仿宋_GB2312" w:eastAsia="仿宋_GB2312" w:cs="仿宋_GB2312"/>
          <w:color w:val="000000"/>
          <w:sz w:val="32"/>
          <w:szCs w:val="32"/>
          <w:shd w:val="clear" w:color="auto" w:fill="FFFFFF"/>
        </w:rPr>
        <w:t>万元，支出决算为</w:t>
      </w:r>
      <w:r>
        <w:rPr>
          <w:rFonts w:hint="eastAsia" w:ascii="仿宋_GB2312" w:hAnsi="仿宋_GB2312" w:eastAsia="仿宋_GB2312" w:cs="仿宋_GB2312"/>
          <w:color w:val="000000"/>
          <w:sz w:val="32"/>
          <w:szCs w:val="32"/>
          <w:u w:color="auto"/>
        </w:rPr>
        <w:t>37.12</w:t>
      </w:r>
      <w:r>
        <w:rPr>
          <w:rFonts w:hint="eastAsia" w:ascii="仿宋_GB2312" w:hAnsi="仿宋_GB2312" w:eastAsia="仿宋_GB2312" w:cs="仿宋_GB2312"/>
          <w:color w:val="000000"/>
          <w:sz w:val="32"/>
          <w:szCs w:val="32"/>
          <w:shd w:val="clear" w:color="auto" w:fill="FFFFFF"/>
        </w:rPr>
        <w:t>万元，完成年初预算的</w:t>
      </w:r>
      <w:r>
        <w:rPr>
          <w:rFonts w:hint="eastAsia" w:ascii="仿宋_GB2312" w:hAnsi="仿宋_GB2312" w:eastAsia="仿宋_GB2312" w:cs="仿宋_GB2312"/>
          <w:color w:val="000000"/>
          <w:sz w:val="32"/>
          <w:szCs w:val="32"/>
          <w:u w:color="auto"/>
        </w:rPr>
        <w:t>100%</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形成</w:t>
      </w:r>
      <w:r>
        <w:rPr>
          <w:rFonts w:hint="eastAsia" w:ascii="仿宋_GB2312" w:hAnsi="仿宋_GB2312" w:eastAsia="仿宋_GB2312" w:cs="仿宋_GB2312"/>
          <w:color w:val="000000" w:themeColor="text1"/>
          <w:sz w:val="32"/>
          <w:szCs w:val="32"/>
          <w:highlight w:val="none"/>
          <w14:textFill>
            <w14:solidFill>
              <w14:schemeClr w14:val="tx1"/>
            </w14:solidFill>
          </w14:textFill>
        </w:rPr>
        <w:t>预决算差异</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原因是</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kern w:val="2"/>
          <w:sz w:val="32"/>
          <w:szCs w:val="32"/>
          <w:highlight w:val="none"/>
          <w:lang w:val="en-US" w:eastAsia="zh-CN" w:bidi="ar"/>
        </w:rPr>
        <w:t>年中追加办理广西祥盛家居材料科技有限公司年产35万立方米超强刨花板项目林地使用手续资金。</w:t>
      </w:r>
    </w:p>
    <w:p>
      <w:pPr>
        <w:keepNext w:val="0"/>
        <w:keepLines w:val="0"/>
        <w:widowControl w:val="0"/>
        <w:suppressLineNumbers w:val="0"/>
        <w:spacing w:before="0" w:beforeAutospacing="0" w:after="0" w:afterAutospacing="0"/>
        <w:ind w:left="0" w:right="0"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u w:color="auto"/>
        </w:rPr>
        <w:t>2)其他支出</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eastAsia="zh-CN"/>
        </w:rPr>
        <w:t>229</w:t>
      </w:r>
      <w:r>
        <w:rPr>
          <w:rFonts w:hint="eastAsia" w:ascii="仿宋_GB2312" w:hAnsi="仿宋_GB2312" w:eastAsia="仿宋_GB2312" w:cs="仿宋_GB2312"/>
          <w:color w:val="000000"/>
          <w:sz w:val="32"/>
          <w:szCs w:val="32"/>
          <w:shd w:val="clear" w:color="auto" w:fill="FFFFFF"/>
        </w:rPr>
        <w:t>类）</w:t>
      </w:r>
      <w:r>
        <w:rPr>
          <w:rFonts w:hint="eastAsia" w:ascii="仿宋_GB2312" w:hAnsi="仿宋_GB2312" w:eastAsia="仿宋_GB2312" w:cs="仿宋_GB2312"/>
          <w:color w:val="000000"/>
          <w:sz w:val="32"/>
          <w:szCs w:val="32"/>
          <w:shd w:val="clear" w:color="auto" w:fill="FFFFFF"/>
          <w:lang w:val="en-US" w:eastAsia="zh-CN"/>
        </w:rPr>
        <w:t>其他政府性基金及对应专项债务收入安排的支出</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eastAsia="zh-CN"/>
        </w:rPr>
        <w:t>22904</w:t>
      </w:r>
      <w:r>
        <w:rPr>
          <w:rFonts w:hint="eastAsia" w:ascii="仿宋_GB2312" w:hAnsi="仿宋_GB2312" w:eastAsia="仿宋_GB2312" w:cs="仿宋_GB2312"/>
          <w:color w:val="000000"/>
          <w:sz w:val="32"/>
          <w:szCs w:val="32"/>
          <w:shd w:val="clear" w:color="auto" w:fill="FFFFFF"/>
        </w:rPr>
        <w:t>款</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lang w:val="en-US" w:eastAsia="zh-CN"/>
        </w:rPr>
        <w:t>其他地方自行试点项目收益专项债券收入安排的支出</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eastAsia="zh-CN"/>
        </w:rPr>
        <w:t>2290402</w:t>
      </w:r>
      <w:r>
        <w:rPr>
          <w:rFonts w:hint="eastAsia" w:ascii="仿宋_GB2312" w:hAnsi="仿宋_GB2312" w:eastAsia="仿宋_GB2312" w:cs="仿宋_GB2312"/>
          <w:color w:val="000000"/>
          <w:sz w:val="32"/>
          <w:szCs w:val="32"/>
          <w:shd w:val="clear" w:color="auto" w:fill="FFFFFF"/>
        </w:rPr>
        <w:t>项）年初预算为</w:t>
      </w:r>
      <w:r>
        <w:rPr>
          <w:rFonts w:hint="eastAsia" w:ascii="仿宋_GB2312" w:hAnsi="仿宋_GB2312" w:eastAsia="仿宋_GB2312" w:cs="仿宋_GB2312"/>
          <w:color w:val="000000"/>
          <w:sz w:val="32"/>
          <w:szCs w:val="32"/>
          <w:u w:color="auto"/>
        </w:rPr>
        <w:t>0.00</w:t>
      </w:r>
      <w:r>
        <w:rPr>
          <w:rFonts w:hint="eastAsia" w:ascii="仿宋_GB2312" w:hAnsi="仿宋_GB2312" w:eastAsia="仿宋_GB2312" w:cs="仿宋_GB2312"/>
          <w:color w:val="000000"/>
          <w:sz w:val="32"/>
          <w:szCs w:val="32"/>
          <w:shd w:val="clear" w:color="auto" w:fill="FFFFFF"/>
        </w:rPr>
        <w:t>万元，支出决算为</w:t>
      </w:r>
      <w:r>
        <w:rPr>
          <w:rFonts w:hint="eastAsia" w:ascii="仿宋_GB2312" w:hAnsi="仿宋_GB2312" w:eastAsia="仿宋_GB2312" w:cs="仿宋_GB2312"/>
          <w:color w:val="000000"/>
          <w:sz w:val="32"/>
          <w:szCs w:val="32"/>
          <w:u w:color="auto"/>
        </w:rPr>
        <w:t>6100.00</w:t>
      </w:r>
      <w:r>
        <w:rPr>
          <w:rFonts w:hint="eastAsia" w:ascii="仿宋_GB2312" w:hAnsi="仿宋_GB2312" w:eastAsia="仿宋_GB2312" w:cs="仿宋_GB2312"/>
          <w:color w:val="000000"/>
          <w:sz w:val="32"/>
          <w:szCs w:val="32"/>
          <w:shd w:val="clear" w:color="auto" w:fill="FFFFFF"/>
        </w:rPr>
        <w:t>万元，完成年初预算的</w:t>
      </w:r>
      <w:r>
        <w:rPr>
          <w:rFonts w:hint="eastAsia" w:ascii="仿宋_GB2312" w:hAnsi="仿宋_GB2312" w:eastAsia="仿宋_GB2312" w:cs="仿宋_GB2312"/>
          <w:color w:val="000000"/>
          <w:sz w:val="32"/>
          <w:szCs w:val="32"/>
          <w:u w:color="auto"/>
        </w:rPr>
        <w:t>100%</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形成</w:t>
      </w:r>
      <w:r>
        <w:rPr>
          <w:rFonts w:hint="eastAsia" w:ascii="仿宋_GB2312" w:hAnsi="仿宋_GB2312" w:eastAsia="仿宋_GB2312" w:cs="仿宋_GB2312"/>
          <w:color w:val="000000" w:themeColor="text1"/>
          <w:sz w:val="32"/>
          <w:szCs w:val="32"/>
          <w:highlight w:val="none"/>
          <w14:textFill>
            <w14:solidFill>
              <w14:schemeClr w14:val="tx1"/>
            </w14:solidFill>
          </w14:textFill>
        </w:rPr>
        <w:t>预决算差异</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原因是</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kern w:val="2"/>
          <w:sz w:val="32"/>
          <w:szCs w:val="32"/>
          <w:highlight w:val="none"/>
          <w:lang w:val="en-US" w:eastAsia="zh-CN" w:bidi="ar"/>
        </w:rPr>
        <w:t>年中追加环江农产品集中加工区建设项目资金。</w:t>
      </w:r>
    </w:p>
    <w:p>
      <w:pPr>
        <w:jc w:val="left"/>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五、2022年度国有资本经营预算支出决算情况</w:t>
      </w:r>
    </w:p>
    <w:p>
      <w:pPr>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河池·环江工业园区管理委员会2022年度国有资本经营预算支出0.00万元。其中：基本支出0.00万元，项目支出0.00万元。</w:t>
      </w:r>
    </w:p>
    <w:p>
      <w:pPr>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河池·环江工业园区管理委员会2022 年度国有资本经营预算支出年初预算为0.00万元，支出决算为0.00万元，完成年初预算的0%。</w:t>
      </w:r>
    </w:p>
    <w:p>
      <w:pPr>
        <w:ind w:firstLine="640" w:firstLineChars="200"/>
        <w:jc w:val="left"/>
        <w:rPr>
          <w:rFonts w:hint="eastAsia" w:ascii="仿宋_GB2312" w:hAnsi="仿宋_GB2312" w:eastAsia="仿宋_GB2312" w:cs="仿宋_GB2312"/>
          <w:color w:val="auto"/>
          <w:sz w:val="32"/>
          <w:szCs w:val="32"/>
          <w:highlight w:val="none"/>
          <w:lang w:eastAsia="zh-CN"/>
        </w:rPr>
      </w:pPr>
      <w:bookmarkStart w:id="4" w:name="PO_part3A5B1C1DiffReason1"/>
      <w:r>
        <w:rPr>
          <w:rFonts w:hint="eastAsia" w:ascii="仿宋_GB2312" w:hAnsi="仿宋_GB2312" w:eastAsia="仿宋_GB2312" w:cs="仿宋_GB2312"/>
          <w:color w:val="auto"/>
          <w:sz w:val="32"/>
          <w:szCs w:val="32"/>
        </w:rPr>
        <w:t>河池·环江工业园区管理委员会</w:t>
      </w:r>
      <w:r>
        <w:rPr>
          <w:rFonts w:hint="eastAsia" w:ascii="仿宋_GB2312" w:hAnsi="仿宋_GB2312" w:eastAsia="仿宋_GB2312" w:cs="仿宋_GB2312"/>
          <w:color w:val="auto"/>
          <w:sz w:val="32"/>
          <w:szCs w:val="32"/>
          <w:u w:color="auto"/>
        </w:rPr>
        <w:t>没有国有资本经营预算收入，也没有国有资本经营预算收入</w:t>
      </w:r>
      <w:bookmarkEnd w:id="4"/>
      <w:r>
        <w:rPr>
          <w:rFonts w:hint="eastAsia" w:ascii="仿宋_GB2312" w:hAnsi="仿宋_GB2312" w:eastAsia="仿宋_GB2312" w:cs="仿宋_GB2312"/>
          <w:color w:val="auto"/>
          <w:sz w:val="32"/>
          <w:szCs w:val="32"/>
          <w:u w:color="auto"/>
          <w:lang w:val="en-US" w:eastAsia="zh-CN"/>
        </w:rPr>
        <w:t>安排的支出</w:t>
      </w:r>
      <w:bookmarkStart w:id="5" w:name="_GoBack"/>
      <w:bookmarkEnd w:id="5"/>
      <w:r>
        <w:rPr>
          <w:rFonts w:hint="eastAsia" w:ascii="仿宋_GB2312" w:hAnsi="仿宋_GB2312" w:eastAsia="仿宋_GB2312" w:cs="仿宋_GB2312"/>
          <w:color w:val="auto"/>
          <w:sz w:val="32"/>
          <w:szCs w:val="32"/>
          <w:u w:color="auto"/>
          <w:lang w:eastAsia="zh-CN"/>
        </w:rPr>
        <w:t>。</w:t>
      </w:r>
    </w:p>
    <w:p>
      <w:pPr>
        <w:jc w:val="left"/>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六、财政拨款“三公”经费支出决算情况说明</w:t>
      </w:r>
    </w:p>
    <w:p>
      <w:pPr>
        <w:keepNext w:val="0"/>
        <w:keepLines w:val="0"/>
        <w:widowControl w:val="0"/>
        <w:suppressLineNumbers w:val="0"/>
        <w:spacing w:before="0" w:beforeAutospacing="0" w:after="0" w:afterAutospacing="0"/>
        <w:ind w:left="0" w:right="0"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2022年预算财政拨款安排的“三公”经费支出6.81万元，完成年初预算的31.03%，比上年减少6.79万元，</w:t>
      </w:r>
      <w:r>
        <w:rPr>
          <w:rFonts w:hint="eastAsia" w:ascii="仿宋_GB2312" w:hAnsi="仿宋_GB2312" w:eastAsia="仿宋_GB2312" w:cs="仿宋_GB2312"/>
          <w:color w:val="000000" w:themeColor="text1"/>
          <w:kern w:val="2"/>
          <w:sz w:val="32"/>
          <w:szCs w:val="32"/>
          <w:highlight w:val="none"/>
          <w:lang w:val="en-US" w:eastAsia="zh-CN" w:bidi="ar"/>
          <w14:textFill>
            <w14:solidFill>
              <w14:schemeClr w14:val="tx1"/>
            </w14:solidFill>
          </w14:textFill>
        </w:rPr>
        <w:t>主要原</w:t>
      </w:r>
      <w:r>
        <w:rPr>
          <w:rFonts w:hint="eastAsia" w:ascii="仿宋_GB2312" w:hAnsi="仿宋_GB2312" w:eastAsia="仿宋_GB2312" w:cs="仿宋_GB2312"/>
          <w:color w:val="auto"/>
          <w:kern w:val="2"/>
          <w:sz w:val="32"/>
          <w:szCs w:val="32"/>
          <w:highlight w:val="none"/>
          <w:lang w:val="en-US" w:eastAsia="zh-CN" w:bidi="ar"/>
        </w:rPr>
        <w:t>因是：我委</w:t>
      </w:r>
      <w:r>
        <w:rPr>
          <w:rFonts w:hint="eastAsia" w:ascii="仿宋_GB2312" w:hAnsi="仿宋_GB2312" w:eastAsia="仿宋_GB2312" w:cs="仿宋_GB2312"/>
          <w:bCs/>
          <w:color w:val="auto"/>
          <w:spacing w:val="6"/>
          <w:kern w:val="0"/>
          <w:sz w:val="32"/>
          <w:szCs w:val="32"/>
          <w:highlight w:val="none"/>
        </w:rPr>
        <w:t>认真贯彻落实中央“八项规定”精神和厉行节约要求，严控和压缩“三公”经费相关支</w:t>
      </w:r>
      <w:r>
        <w:rPr>
          <w:rFonts w:hint="eastAsia" w:ascii="仿宋_GB2312" w:hAnsi="仿宋_GB2312" w:eastAsia="仿宋_GB2312" w:cs="仿宋_GB2312"/>
          <w:bCs/>
          <w:color w:val="auto"/>
          <w:kern w:val="0"/>
          <w:sz w:val="32"/>
          <w:szCs w:val="32"/>
          <w:highlight w:val="none"/>
        </w:rPr>
        <w:t>出</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其中：因公出国（境）费支出决算0.00</w:t>
      </w:r>
      <w:r>
        <w:rPr>
          <w:rFonts w:hint="eastAsia" w:ascii="仿宋_GB2312" w:hAnsi="仿宋_GB2312" w:eastAsia="仿宋_GB2312" w:cs="仿宋_GB2312"/>
          <w:sz w:val="32"/>
          <w:szCs w:val="32"/>
          <w:highlight w:val="none"/>
        </w:rPr>
        <w:t>万元，公务用车购置及运行费支出决算0.00万元，公务接待费支出决算6.81万元。</w:t>
      </w:r>
    </w:p>
    <w:p>
      <w:pPr>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具体情况如下：</w:t>
      </w:r>
    </w:p>
    <w:p>
      <w:pPr>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auto"/>
          <w:sz w:val="32"/>
          <w:szCs w:val="32"/>
          <w:highlight w:val="none"/>
        </w:rPr>
        <w:t>（一）因公出国（境）费支出0.00万元，完成年初预算的0%，比上年增加0.00 万元。</w:t>
      </w:r>
      <w:r>
        <w:rPr>
          <w:rFonts w:hint="eastAsia" w:ascii="仿宋_GB2312" w:hAnsi="仿宋_GB2312" w:eastAsia="仿宋_GB2312" w:cs="仿宋_GB2312"/>
          <w:color w:val="auto"/>
          <w:sz w:val="32"/>
          <w:szCs w:val="32"/>
          <w:highlight w:val="none"/>
          <w:lang w:val="en-US" w:eastAsia="zh-CN"/>
        </w:rPr>
        <w:t>原因是：</w:t>
      </w:r>
      <w:r>
        <w:rPr>
          <w:rFonts w:hint="eastAsia" w:ascii="仿宋_GB2312" w:hAnsi="仿宋_GB2312" w:eastAsia="仿宋_GB2312" w:cs="仿宋_GB2312"/>
          <w:b w:val="0"/>
          <w:bCs/>
          <w:color w:val="auto"/>
          <w:kern w:val="0"/>
          <w:sz w:val="32"/>
          <w:szCs w:val="32"/>
          <w:lang w:eastAsia="zh-CN"/>
        </w:rPr>
        <w:t>我委秉承节约精神，没有因公出国（境）情况</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sz w:val="32"/>
          <w:szCs w:val="32"/>
        </w:rPr>
        <w:t>全年使用财政拨款安排</w:t>
      </w:r>
      <w:r>
        <w:rPr>
          <w:rFonts w:hint="eastAsia" w:ascii="仿宋_GB2312" w:hAnsi="仿宋_GB2312" w:eastAsia="仿宋_GB2312" w:cs="仿宋_GB2312"/>
          <w:color w:val="auto"/>
          <w:sz w:val="32"/>
          <w:szCs w:val="32"/>
          <w:u w:val="single"/>
          <w:lang w:val="en-US" w:eastAsia="zh-CN"/>
        </w:rPr>
        <w:t>0</w:t>
      </w:r>
      <w:r>
        <w:rPr>
          <w:rFonts w:hint="eastAsia" w:ascii="仿宋_GB2312" w:hAnsi="仿宋_GB2312" w:eastAsia="仿宋_GB2312" w:cs="仿宋_GB2312"/>
          <w:color w:val="auto"/>
          <w:sz w:val="32"/>
          <w:szCs w:val="32"/>
          <w:u w:val="none"/>
          <w:lang w:val="en-US" w:eastAsia="zh-CN"/>
        </w:rPr>
        <w:t>个</w:t>
      </w:r>
      <w:r>
        <w:rPr>
          <w:rFonts w:hint="eastAsia" w:ascii="仿宋_GB2312" w:hAnsi="仿宋_GB2312" w:eastAsia="仿宋_GB2312" w:cs="仿宋_GB2312"/>
          <w:color w:val="auto"/>
          <w:sz w:val="32"/>
          <w:szCs w:val="32"/>
        </w:rPr>
        <w:t>（局、办、镇）机关、</w:t>
      </w:r>
      <w:r>
        <w:rPr>
          <w:rFonts w:hint="eastAsia" w:ascii="仿宋_GB2312" w:hAnsi="仿宋_GB2312" w:eastAsia="仿宋_GB2312" w:cs="仿宋_GB2312"/>
          <w:color w:val="auto"/>
          <w:sz w:val="32"/>
          <w:szCs w:val="32"/>
          <w:u w:val="single"/>
          <w:lang w:val="en-US" w:eastAsia="zh-CN"/>
        </w:rPr>
        <w:t>0</w:t>
      </w:r>
      <w:r>
        <w:rPr>
          <w:rFonts w:hint="eastAsia" w:ascii="仿宋_GB2312" w:hAnsi="仿宋_GB2312" w:eastAsia="仿宋_GB2312" w:cs="仿宋_GB2312"/>
          <w:color w:val="auto"/>
          <w:sz w:val="32"/>
          <w:szCs w:val="32"/>
        </w:rPr>
        <w:t>个所属单位出国团组</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0</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个，参加其他单位组织的出国团组</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0</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个</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sz w:val="32"/>
          <w:szCs w:val="32"/>
          <w:highlight w:val="none"/>
        </w:rPr>
        <w:t>全年因公出国（境）团组共计0个，累计0人次。</w:t>
      </w:r>
    </w:p>
    <w:p>
      <w:pPr>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rPr>
        <w:t>（二）公务用车购置及运行维护费</w:t>
      </w:r>
      <w:r>
        <w:rPr>
          <w:rFonts w:hint="eastAsia" w:ascii="仿宋_GB2312" w:hAnsi="仿宋_GB2312" w:eastAsia="仿宋_GB2312" w:cs="仿宋_GB2312"/>
          <w:color w:val="auto"/>
          <w:sz w:val="32"/>
          <w:szCs w:val="32"/>
          <w:u w:color="auto"/>
        </w:rPr>
        <w:t>0.00</w:t>
      </w:r>
      <w:r>
        <w:rPr>
          <w:rFonts w:hint="eastAsia" w:ascii="仿宋_GB2312" w:hAnsi="仿宋_GB2312" w:eastAsia="仿宋_GB2312" w:cs="仿宋_GB2312"/>
          <w:color w:val="auto"/>
          <w:sz w:val="32"/>
          <w:szCs w:val="32"/>
          <w:highlight w:val="none"/>
        </w:rPr>
        <w:t>万元。其中：公务用车购置支出</w:t>
      </w:r>
      <w:r>
        <w:rPr>
          <w:rFonts w:hint="eastAsia" w:ascii="仿宋_GB2312" w:hAnsi="仿宋_GB2312" w:eastAsia="仿宋_GB2312" w:cs="仿宋_GB2312"/>
          <w:color w:val="auto"/>
          <w:sz w:val="32"/>
          <w:szCs w:val="32"/>
          <w:u w:color="auto"/>
        </w:rPr>
        <w:t>0.00</w:t>
      </w:r>
      <w:r>
        <w:rPr>
          <w:rFonts w:hint="eastAsia" w:ascii="仿宋_GB2312" w:hAnsi="仿宋_GB2312" w:eastAsia="仿宋_GB2312" w:cs="仿宋_GB2312"/>
          <w:color w:val="auto"/>
          <w:sz w:val="32"/>
          <w:szCs w:val="32"/>
          <w:highlight w:val="none"/>
        </w:rPr>
        <w:t>万元，完成年初预算的</w:t>
      </w:r>
      <w:r>
        <w:rPr>
          <w:rFonts w:hint="eastAsia" w:ascii="仿宋_GB2312" w:hAnsi="仿宋_GB2312" w:eastAsia="仿宋_GB2312" w:cs="仿宋_GB2312"/>
          <w:color w:val="auto"/>
          <w:sz w:val="32"/>
          <w:szCs w:val="32"/>
          <w:u w:color="auto"/>
        </w:rPr>
        <w:t>0%</w:t>
      </w:r>
      <w:r>
        <w:rPr>
          <w:rFonts w:hint="eastAsia" w:ascii="仿宋_GB2312" w:hAnsi="仿宋_GB2312" w:eastAsia="仿宋_GB2312" w:cs="仿宋_GB2312"/>
          <w:color w:val="auto"/>
          <w:sz w:val="32"/>
          <w:szCs w:val="32"/>
          <w:highlight w:val="none"/>
        </w:rPr>
        <w:t>，比上年</w:t>
      </w:r>
      <w:r>
        <w:rPr>
          <w:rFonts w:hint="eastAsia" w:ascii="仿宋_GB2312" w:hAnsi="仿宋_GB2312" w:eastAsia="仿宋_GB2312" w:cs="仿宋_GB2312"/>
          <w:color w:val="auto"/>
          <w:sz w:val="32"/>
          <w:szCs w:val="32"/>
          <w:u w:color="auto"/>
        </w:rPr>
        <w:t>增加0.00</w:t>
      </w:r>
      <w:r>
        <w:rPr>
          <w:rFonts w:hint="eastAsia" w:ascii="仿宋_GB2312" w:hAnsi="仿宋_GB2312" w:eastAsia="仿宋_GB2312" w:cs="仿宋_GB2312"/>
          <w:color w:val="auto"/>
          <w:sz w:val="32"/>
          <w:szCs w:val="32"/>
          <w:highlight w:val="none"/>
        </w:rPr>
        <w:t xml:space="preserve"> 万元。</w:t>
      </w:r>
      <w:r>
        <w:rPr>
          <w:rFonts w:hint="eastAsia" w:ascii="仿宋_GB2312" w:hAnsi="仿宋_GB2312" w:eastAsia="仿宋_GB2312" w:cs="仿宋_GB2312"/>
          <w:color w:val="auto"/>
          <w:sz w:val="32"/>
          <w:szCs w:val="32"/>
          <w:highlight w:val="none"/>
          <w:lang w:eastAsia="zh-CN"/>
        </w:rPr>
        <w:t>主要原因是：</w:t>
      </w:r>
      <w:r>
        <w:rPr>
          <w:rFonts w:hint="eastAsia" w:ascii="仿宋_GB2312" w:hAnsi="仿宋_GB2312" w:eastAsia="仿宋_GB2312" w:cs="仿宋_GB2312"/>
          <w:b w:val="0"/>
          <w:bCs/>
          <w:color w:val="auto"/>
          <w:kern w:val="0"/>
          <w:sz w:val="32"/>
          <w:szCs w:val="32"/>
          <w:lang w:eastAsia="zh-CN"/>
        </w:rPr>
        <w:t>我委秉承节约精神，</w:t>
      </w:r>
      <w:r>
        <w:rPr>
          <w:rFonts w:hint="eastAsia" w:ascii="仿宋_GB2312" w:hAnsi="仿宋_GB2312" w:eastAsia="仿宋_GB2312" w:cs="仿宋_GB2312"/>
          <w:color w:val="auto"/>
          <w:sz w:val="32"/>
          <w:szCs w:val="32"/>
        </w:rPr>
        <w:t>无公务用车购置</w:t>
      </w:r>
      <w:r>
        <w:rPr>
          <w:rFonts w:hint="eastAsia" w:ascii="仿宋_GB2312" w:hAnsi="仿宋_GB2312" w:eastAsia="仿宋_GB2312" w:cs="仿宋_GB2312"/>
          <w:color w:val="auto"/>
          <w:sz w:val="32"/>
          <w:szCs w:val="32"/>
          <w:lang w:eastAsia="zh-CN"/>
        </w:rPr>
        <w:t>。</w:t>
      </w:r>
    </w:p>
    <w:p>
      <w:pPr>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公务用车运行维护支出</w:t>
      </w:r>
      <w:r>
        <w:rPr>
          <w:rFonts w:hint="eastAsia" w:ascii="仿宋_GB2312" w:hAnsi="仿宋_GB2312" w:eastAsia="仿宋_GB2312" w:cs="仿宋_GB2312"/>
          <w:color w:val="auto"/>
          <w:sz w:val="32"/>
          <w:szCs w:val="32"/>
          <w:u w:color="auto"/>
        </w:rPr>
        <w:t>0.00</w:t>
      </w:r>
      <w:r>
        <w:rPr>
          <w:rFonts w:hint="eastAsia" w:ascii="仿宋_GB2312" w:hAnsi="仿宋_GB2312" w:eastAsia="仿宋_GB2312" w:cs="仿宋_GB2312"/>
          <w:color w:val="auto"/>
          <w:sz w:val="32"/>
          <w:szCs w:val="32"/>
          <w:highlight w:val="none"/>
        </w:rPr>
        <w:t>万元，完成年初预算的</w:t>
      </w:r>
      <w:r>
        <w:rPr>
          <w:rFonts w:hint="eastAsia" w:ascii="仿宋_GB2312" w:hAnsi="仿宋_GB2312" w:eastAsia="仿宋_GB2312" w:cs="仿宋_GB2312"/>
          <w:color w:val="auto"/>
          <w:sz w:val="32"/>
          <w:szCs w:val="32"/>
          <w:u w:color="auto"/>
        </w:rPr>
        <w:t>0%</w:t>
      </w:r>
      <w:r>
        <w:rPr>
          <w:rFonts w:hint="eastAsia" w:ascii="仿宋_GB2312" w:hAnsi="仿宋_GB2312" w:eastAsia="仿宋_GB2312" w:cs="仿宋_GB2312"/>
          <w:color w:val="auto"/>
          <w:sz w:val="32"/>
          <w:szCs w:val="32"/>
          <w:highlight w:val="none"/>
        </w:rPr>
        <w:t>，比上年</w:t>
      </w:r>
      <w:r>
        <w:rPr>
          <w:rFonts w:hint="eastAsia" w:ascii="仿宋_GB2312" w:hAnsi="仿宋_GB2312" w:eastAsia="仿宋_GB2312" w:cs="仿宋_GB2312"/>
          <w:color w:val="auto"/>
          <w:sz w:val="32"/>
          <w:szCs w:val="32"/>
          <w:u w:color="auto"/>
        </w:rPr>
        <w:t>增加0.00</w:t>
      </w:r>
      <w:r>
        <w:rPr>
          <w:rFonts w:hint="eastAsia" w:ascii="仿宋_GB2312" w:hAnsi="仿宋_GB2312" w:eastAsia="仿宋_GB2312" w:cs="仿宋_GB2312"/>
          <w:color w:val="auto"/>
          <w:sz w:val="32"/>
          <w:szCs w:val="32"/>
          <w:highlight w:val="none"/>
        </w:rPr>
        <w:t>万元。主要原因是：</w:t>
      </w:r>
      <w:r>
        <w:rPr>
          <w:rFonts w:hint="eastAsia" w:ascii="仿宋_GB2312" w:hAnsi="仿宋_GB2312" w:eastAsia="仿宋_GB2312" w:cs="仿宋_GB2312"/>
          <w:color w:val="auto"/>
          <w:kern w:val="0"/>
          <w:sz w:val="32"/>
          <w:szCs w:val="32"/>
          <w:lang w:eastAsia="zh-CN"/>
        </w:rPr>
        <w:t>我委没有公务用车，未发生此费用</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sz w:val="32"/>
          <w:szCs w:val="32"/>
          <w:highlight w:val="none"/>
        </w:rPr>
        <w:t>主要用于机要文件交换、市内因公出行以及开展业务所需车辆燃料费、维修费、过路过桥费、保险费等。2022年，</w:t>
      </w:r>
      <w:r>
        <w:rPr>
          <w:rFonts w:hint="eastAsia" w:ascii="仿宋_GB2312" w:hAnsi="仿宋_GB2312" w:eastAsia="仿宋_GB2312" w:cs="仿宋_GB2312"/>
          <w:color w:val="auto"/>
          <w:sz w:val="32"/>
          <w:szCs w:val="32"/>
          <w:u w:color="auto"/>
        </w:rPr>
        <w:t>河池·环江工业园区管理委员会</w:t>
      </w:r>
      <w:r>
        <w:rPr>
          <w:rFonts w:hint="eastAsia" w:ascii="仿宋_GB2312" w:hAnsi="仿宋_GB2312" w:eastAsia="仿宋_GB2312" w:cs="仿宋_GB2312"/>
          <w:color w:val="auto"/>
          <w:sz w:val="32"/>
          <w:szCs w:val="32"/>
          <w:highlight w:val="none"/>
        </w:rPr>
        <w:t>及所属单位开支财政拨款的公务用车保有量为</w:t>
      </w:r>
      <w:r>
        <w:rPr>
          <w:rFonts w:hint="eastAsia" w:ascii="仿宋_GB2312" w:hAnsi="仿宋_GB2312" w:eastAsia="仿宋_GB2312" w:cs="仿宋_GB2312"/>
          <w:color w:val="auto"/>
          <w:sz w:val="32"/>
          <w:szCs w:val="32"/>
          <w:u w:color="auto"/>
        </w:rPr>
        <w:t>0</w:t>
      </w:r>
      <w:r>
        <w:rPr>
          <w:rFonts w:hint="eastAsia" w:ascii="仿宋_GB2312" w:hAnsi="仿宋_GB2312" w:eastAsia="仿宋_GB2312" w:cs="仿宋_GB2312"/>
          <w:color w:val="auto"/>
          <w:sz w:val="32"/>
          <w:szCs w:val="32"/>
          <w:highlight w:val="none"/>
        </w:rPr>
        <w:t>辆，全年运行费支出</w:t>
      </w:r>
      <w:r>
        <w:rPr>
          <w:rFonts w:hint="eastAsia" w:ascii="仿宋_GB2312" w:hAnsi="仿宋_GB2312" w:eastAsia="仿宋_GB2312" w:cs="仿宋_GB2312"/>
          <w:color w:val="auto"/>
          <w:sz w:val="32"/>
          <w:szCs w:val="32"/>
          <w:u w:color="auto"/>
        </w:rPr>
        <w:t>0.00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平均每辆</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p>
    <w:p>
      <w:pPr>
        <w:keepNext w:val="0"/>
        <w:keepLines w:val="0"/>
        <w:widowControl w:val="0"/>
        <w:suppressLineNumbers w:val="0"/>
        <w:spacing w:before="0" w:beforeAutospacing="0" w:after="0" w:afterAutospacing="0"/>
        <w:ind w:left="0" w:right="0"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（三）公务接待费支出6.81万元，完成年初预算的31.03%， 比上年减少6.79万元，</w:t>
      </w:r>
      <w:r>
        <w:rPr>
          <w:rFonts w:hint="eastAsia" w:ascii="仿宋_GB2312" w:hAnsi="仿宋_GB2312" w:eastAsia="仿宋_GB2312" w:cs="仿宋_GB2312"/>
          <w:color w:val="auto"/>
          <w:kern w:val="2"/>
          <w:sz w:val="32"/>
          <w:szCs w:val="32"/>
          <w:highlight w:val="none"/>
          <w:lang w:val="en-US" w:eastAsia="zh-CN" w:bidi="ar"/>
        </w:rPr>
        <w:t>主要原因是：</w:t>
      </w:r>
      <w:r>
        <w:rPr>
          <w:rFonts w:hint="eastAsia" w:ascii="仿宋_GB2312" w:hAnsi="仿宋_GB2312" w:eastAsia="仿宋_GB2312" w:cs="仿宋_GB2312"/>
          <w:bCs/>
          <w:color w:val="auto"/>
          <w:kern w:val="0"/>
          <w:sz w:val="32"/>
          <w:szCs w:val="32"/>
          <w:lang w:eastAsia="zh-CN"/>
        </w:rPr>
        <w:t>我委秉承节约精神，控制公务接待费用</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国内公务接待批次100</w:t>
      </w:r>
      <w:r>
        <w:rPr>
          <w:rFonts w:hint="eastAsia" w:ascii="仿宋_GB2312" w:hAnsi="仿宋_GB2312" w:eastAsia="仿宋_GB2312" w:cs="仿宋_GB2312"/>
          <w:sz w:val="32"/>
          <w:szCs w:val="32"/>
          <w:highlight w:val="none"/>
        </w:rPr>
        <w:t>次，人次1000次，国（境）外公务接待批次0次，人次0次。</w:t>
      </w:r>
    </w:p>
    <w:p>
      <w:pPr>
        <w:jc w:val="left"/>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七、其他重要事项情况说明</w:t>
      </w:r>
    </w:p>
    <w:p>
      <w:pPr>
        <w:jc w:val="left"/>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（一） 机关运行经费支出情况说明</w:t>
      </w:r>
    </w:p>
    <w:p>
      <w:pPr>
        <w:ind w:firstLine="640" w:firstLineChars="200"/>
        <w:jc w:val="lef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本部门2022年度机关运行经费支出29.80万元，比年初预算数减少0.77万元，下降2.52%，比上年决算数增加26.39万元，增长773.90%。原因是：</w:t>
      </w:r>
      <w:r>
        <w:rPr>
          <w:rFonts w:hint="eastAsia" w:ascii="仿宋_GB2312" w:hAnsi="仿宋_GB2312" w:eastAsia="仿宋_GB2312" w:cs="仿宋_GB2312"/>
          <w:color w:val="auto"/>
          <w:sz w:val="32"/>
          <w:szCs w:val="32"/>
          <w:highlight w:val="none"/>
          <w:lang w:val="en-US" w:eastAsia="zh-CN"/>
        </w:rPr>
        <w:t>2022年工作任务繁重，所需经费增加。</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eastAsia="zh-CN"/>
        </w:rPr>
        <w:t>办公费比</w:t>
      </w:r>
      <w:r>
        <w:rPr>
          <w:rFonts w:hint="eastAsia" w:ascii="仿宋_GB2312" w:hAnsi="仿宋_GB2312" w:eastAsia="仿宋_GB2312" w:cs="仿宋_GB2312"/>
          <w:color w:val="auto"/>
          <w:sz w:val="32"/>
          <w:szCs w:val="32"/>
          <w:highlight w:val="none"/>
          <w:lang w:val="en-US" w:eastAsia="zh-CN"/>
        </w:rPr>
        <w:t>2021年</w:t>
      </w:r>
      <w:r>
        <w:rPr>
          <w:rFonts w:hint="eastAsia" w:ascii="仿宋_GB2312" w:hAnsi="仿宋_GB2312" w:eastAsia="仿宋_GB2312" w:cs="仿宋_GB2312"/>
          <w:color w:val="auto"/>
          <w:sz w:val="32"/>
          <w:szCs w:val="32"/>
          <w:highlight w:val="none"/>
          <w:lang w:eastAsia="zh-CN"/>
        </w:rPr>
        <w:t>增加</w:t>
      </w:r>
      <w:r>
        <w:rPr>
          <w:rFonts w:hint="eastAsia" w:ascii="仿宋_GB2312" w:hAnsi="仿宋_GB2312" w:eastAsia="仿宋_GB2312" w:cs="仿宋_GB2312"/>
          <w:color w:val="auto"/>
          <w:sz w:val="32"/>
          <w:szCs w:val="32"/>
          <w:highlight w:val="none"/>
          <w:lang w:val="en-US" w:eastAsia="zh-CN"/>
        </w:rPr>
        <w:t>3.6万元，水费</w:t>
      </w:r>
      <w:r>
        <w:rPr>
          <w:rFonts w:hint="eastAsia" w:ascii="仿宋_GB2312" w:hAnsi="仿宋_GB2312" w:eastAsia="仿宋_GB2312" w:cs="仿宋_GB2312"/>
          <w:color w:val="auto"/>
          <w:sz w:val="32"/>
          <w:szCs w:val="32"/>
          <w:highlight w:val="none"/>
          <w:lang w:eastAsia="zh-CN"/>
        </w:rPr>
        <w:t>比</w:t>
      </w:r>
      <w:r>
        <w:rPr>
          <w:rFonts w:hint="eastAsia" w:ascii="仿宋_GB2312" w:hAnsi="仿宋_GB2312" w:eastAsia="仿宋_GB2312" w:cs="仿宋_GB2312"/>
          <w:color w:val="auto"/>
          <w:sz w:val="32"/>
          <w:szCs w:val="32"/>
          <w:highlight w:val="none"/>
          <w:lang w:val="en-US" w:eastAsia="zh-CN"/>
        </w:rPr>
        <w:t>2021年增加0.02万元，电费</w:t>
      </w:r>
      <w:r>
        <w:rPr>
          <w:rFonts w:hint="eastAsia" w:ascii="仿宋_GB2312" w:hAnsi="仿宋_GB2312" w:eastAsia="仿宋_GB2312" w:cs="仿宋_GB2312"/>
          <w:color w:val="auto"/>
          <w:sz w:val="32"/>
          <w:szCs w:val="32"/>
          <w:highlight w:val="none"/>
          <w:lang w:eastAsia="zh-CN"/>
        </w:rPr>
        <w:t>比</w:t>
      </w:r>
      <w:r>
        <w:rPr>
          <w:rFonts w:hint="eastAsia" w:ascii="仿宋_GB2312" w:hAnsi="仿宋_GB2312" w:eastAsia="仿宋_GB2312" w:cs="仿宋_GB2312"/>
          <w:color w:val="auto"/>
          <w:sz w:val="32"/>
          <w:szCs w:val="32"/>
          <w:highlight w:val="none"/>
          <w:lang w:val="en-US" w:eastAsia="zh-CN"/>
        </w:rPr>
        <w:t>2021年增加0.21万元，邮电费</w:t>
      </w:r>
      <w:r>
        <w:rPr>
          <w:rFonts w:hint="eastAsia" w:ascii="仿宋_GB2312" w:hAnsi="仿宋_GB2312" w:eastAsia="仿宋_GB2312" w:cs="仿宋_GB2312"/>
          <w:color w:val="auto"/>
          <w:sz w:val="32"/>
          <w:szCs w:val="32"/>
          <w:highlight w:val="none"/>
          <w:lang w:eastAsia="zh-CN"/>
        </w:rPr>
        <w:t>比</w:t>
      </w:r>
      <w:r>
        <w:rPr>
          <w:rFonts w:hint="eastAsia" w:ascii="仿宋_GB2312" w:hAnsi="仿宋_GB2312" w:eastAsia="仿宋_GB2312" w:cs="仿宋_GB2312"/>
          <w:color w:val="auto"/>
          <w:sz w:val="32"/>
          <w:szCs w:val="32"/>
          <w:highlight w:val="none"/>
          <w:lang w:val="en-US" w:eastAsia="zh-CN"/>
        </w:rPr>
        <w:t>2021年增加1.24万元，工会经费</w:t>
      </w:r>
      <w:r>
        <w:rPr>
          <w:rFonts w:hint="eastAsia" w:ascii="仿宋_GB2312" w:hAnsi="仿宋_GB2312" w:eastAsia="仿宋_GB2312" w:cs="仿宋_GB2312"/>
          <w:color w:val="auto"/>
          <w:sz w:val="32"/>
          <w:szCs w:val="32"/>
          <w:highlight w:val="none"/>
          <w:lang w:eastAsia="zh-CN"/>
        </w:rPr>
        <w:t>比</w:t>
      </w:r>
      <w:r>
        <w:rPr>
          <w:rFonts w:hint="eastAsia" w:ascii="仿宋_GB2312" w:hAnsi="仿宋_GB2312" w:eastAsia="仿宋_GB2312" w:cs="仿宋_GB2312"/>
          <w:color w:val="auto"/>
          <w:sz w:val="32"/>
          <w:szCs w:val="32"/>
          <w:highlight w:val="none"/>
          <w:lang w:val="en-US" w:eastAsia="zh-CN"/>
        </w:rPr>
        <w:t>2021年增加3.85万元，其他交通费用</w:t>
      </w:r>
      <w:r>
        <w:rPr>
          <w:rFonts w:hint="eastAsia" w:ascii="仿宋_GB2312" w:hAnsi="仿宋_GB2312" w:eastAsia="仿宋_GB2312" w:cs="仿宋_GB2312"/>
          <w:color w:val="auto"/>
          <w:sz w:val="32"/>
          <w:szCs w:val="32"/>
          <w:highlight w:val="none"/>
          <w:lang w:eastAsia="zh-CN"/>
        </w:rPr>
        <w:t>比</w:t>
      </w:r>
      <w:r>
        <w:rPr>
          <w:rFonts w:hint="eastAsia" w:ascii="仿宋_GB2312" w:hAnsi="仿宋_GB2312" w:eastAsia="仿宋_GB2312" w:cs="仿宋_GB2312"/>
          <w:color w:val="auto"/>
          <w:sz w:val="32"/>
          <w:szCs w:val="32"/>
          <w:highlight w:val="none"/>
          <w:lang w:val="en-US" w:eastAsia="zh-CN"/>
        </w:rPr>
        <w:t>2021年增加17.48万元，差旅费</w:t>
      </w:r>
      <w:r>
        <w:rPr>
          <w:rFonts w:hint="eastAsia" w:ascii="仿宋_GB2312" w:hAnsi="仿宋_GB2312" w:eastAsia="仿宋_GB2312" w:cs="仿宋_GB2312"/>
          <w:color w:val="auto"/>
          <w:sz w:val="32"/>
          <w:szCs w:val="32"/>
          <w:highlight w:val="none"/>
          <w:lang w:eastAsia="zh-CN"/>
        </w:rPr>
        <w:t>比</w:t>
      </w:r>
      <w:r>
        <w:rPr>
          <w:rFonts w:hint="eastAsia" w:ascii="仿宋_GB2312" w:hAnsi="仿宋_GB2312" w:eastAsia="仿宋_GB2312" w:cs="仿宋_GB2312"/>
          <w:color w:val="auto"/>
          <w:sz w:val="32"/>
          <w:szCs w:val="32"/>
          <w:highlight w:val="none"/>
          <w:lang w:val="en-US" w:eastAsia="zh-CN"/>
        </w:rPr>
        <w:t>2021年减少0.01万元。</w:t>
      </w:r>
    </w:p>
    <w:p>
      <w:pPr>
        <w:jc w:val="left"/>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（二）政府采购支出情况说明</w:t>
      </w:r>
    </w:p>
    <w:p>
      <w:pPr>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部门2022年度政府采购支出总额42.54万元，其中：政府采购货物支出42.54万元、政府采购工程支出0.00万元、政府采购服务支出0.00万元。授予中小企业合同金额42.54万元，占政府采购支出总额的100.00%，其中：授予小微企业合同金额0.00万元，占授予中小企业合同金额的0.00%。</w:t>
      </w:r>
    </w:p>
    <w:p>
      <w:pPr>
        <w:jc w:val="left"/>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（三）国有资产占用情况说明</w:t>
      </w:r>
    </w:p>
    <w:p>
      <w:pPr>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截至2022年12月31日，本部门共有车辆0辆，其中：副部（省）级领导干部用车0辆、机要通信用车0辆、应急保障用车0辆、执法执勤用车0辆、特种专业技术用车0辆、其他用车0辆；单位价值50万元以上通用设备0台（套）；单位价值</w:t>
      </w:r>
      <w:r>
        <w:rPr>
          <w:rFonts w:hint="eastAsia" w:ascii="仿宋_GB2312" w:hAnsi="仿宋_GB2312" w:eastAsia="仿宋_GB2312" w:cs="仿宋_GB2312"/>
          <w:sz w:val="32"/>
          <w:szCs w:val="32"/>
          <w:highlight w:val="none"/>
          <w:lang w:val="en-US" w:eastAsia="zh-CN"/>
        </w:rPr>
        <w:t>100万</w:t>
      </w:r>
      <w:r>
        <w:rPr>
          <w:rFonts w:hint="eastAsia" w:ascii="仿宋_GB2312" w:hAnsi="仿宋_GB2312" w:eastAsia="仿宋_GB2312" w:cs="仿宋_GB2312"/>
          <w:sz w:val="32"/>
          <w:szCs w:val="32"/>
          <w:highlight w:val="none"/>
        </w:rPr>
        <w:t>元以上专用设备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jc w:val="left"/>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（四）预算绩效管理工作开展情况</w:t>
      </w:r>
    </w:p>
    <w:p>
      <w:pPr>
        <w:ind w:firstLine="640" w:firstLineChars="200"/>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1.绩效管理工作开展情况。</w:t>
      </w:r>
    </w:p>
    <w:p>
      <w:pPr>
        <w:ind w:firstLine="640" w:firstLineChars="200"/>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根据财政预算管理要求，本部门组织对</w:t>
      </w:r>
      <w:r>
        <w:rPr>
          <w:rFonts w:hint="eastAsia" w:ascii="仿宋_GB2312" w:hAnsi="仿宋_GB2312" w:eastAsia="仿宋_GB2312" w:cs="仿宋_GB2312"/>
          <w:color w:val="000000" w:themeColor="text1"/>
          <w:sz w:val="32"/>
          <w:szCs w:val="32"/>
          <w:lang w:eastAsia="zh-CN"/>
          <w14:textFill>
            <w14:solidFill>
              <w14:schemeClr w14:val="tx1"/>
            </w14:solidFill>
          </w14:textFill>
        </w:rPr>
        <w:t>2022年</w:t>
      </w:r>
      <w:r>
        <w:rPr>
          <w:rFonts w:hint="eastAsia" w:ascii="仿宋_GB2312" w:hAnsi="仿宋_GB2312" w:eastAsia="仿宋_GB2312" w:cs="仿宋_GB2312"/>
          <w:color w:val="000000" w:themeColor="text1"/>
          <w:sz w:val="32"/>
          <w:szCs w:val="32"/>
          <w14:textFill>
            <w14:solidFill>
              <w14:schemeClr w14:val="tx1"/>
            </w14:solidFill>
          </w14:textFill>
        </w:rPr>
        <w:t>度一般公共预算项目支出全面开展绩效自评。其中，一</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等</w:t>
      </w:r>
      <w:r>
        <w:rPr>
          <w:rFonts w:hint="eastAsia" w:ascii="仿宋_GB2312" w:hAnsi="仿宋_GB2312" w:eastAsia="仿宋_GB2312" w:cs="仿宋_GB2312"/>
          <w:color w:val="000000" w:themeColor="text1"/>
          <w:sz w:val="32"/>
          <w:szCs w:val="32"/>
          <w14:textFill>
            <w14:solidFill>
              <w14:schemeClr w14:val="tx1"/>
            </w14:solidFill>
          </w14:textFill>
        </w:rPr>
        <w:t>项目</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38</w:t>
      </w:r>
      <w:r>
        <w:rPr>
          <w:rFonts w:hint="eastAsia" w:ascii="仿宋_GB2312" w:hAnsi="仿宋_GB2312" w:eastAsia="仿宋_GB2312" w:cs="仿宋_GB2312"/>
          <w:color w:val="000000" w:themeColor="text1"/>
          <w:sz w:val="32"/>
          <w:szCs w:val="32"/>
          <w14:textFill>
            <w14:solidFill>
              <w14:schemeClr w14:val="tx1"/>
            </w14:solidFill>
          </w14:textFill>
        </w:rPr>
        <w:t>个，二</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等</w:t>
      </w:r>
      <w:r>
        <w:rPr>
          <w:rFonts w:hint="eastAsia" w:ascii="仿宋_GB2312" w:hAnsi="仿宋_GB2312" w:eastAsia="仿宋_GB2312" w:cs="仿宋_GB2312"/>
          <w:color w:val="000000" w:themeColor="text1"/>
          <w:sz w:val="32"/>
          <w:szCs w:val="32"/>
          <w14:textFill>
            <w14:solidFill>
              <w14:schemeClr w14:val="tx1"/>
            </w14:solidFill>
          </w14:textFill>
        </w:rPr>
        <w:t>项目</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个，共涉及资金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16364.66</w:t>
      </w:r>
      <w:r>
        <w:rPr>
          <w:rFonts w:hint="eastAsia" w:ascii="仿宋_GB2312" w:hAnsi="仿宋_GB2312" w:eastAsia="仿宋_GB2312" w:cs="仿宋_GB2312"/>
          <w:color w:val="000000" w:themeColor="text1"/>
          <w:sz w:val="32"/>
          <w:szCs w:val="32"/>
          <w14:textFill>
            <w14:solidFill>
              <w14:schemeClr w14:val="tx1"/>
            </w14:solidFill>
          </w14:textFill>
        </w:rPr>
        <w:t>万元，占一般公共预算项目支出总</w:t>
      </w:r>
      <w:r>
        <w:rPr>
          <w:rFonts w:hint="eastAsia" w:ascii="仿宋_GB2312" w:hAnsi="仿宋_GB2312" w:eastAsia="仿宋_GB2312" w:cs="仿宋_GB2312"/>
          <w:color w:val="auto"/>
          <w:sz w:val="32"/>
          <w:szCs w:val="32"/>
        </w:rPr>
        <w:t>额的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%。组</w:t>
      </w:r>
      <w:r>
        <w:rPr>
          <w:rFonts w:hint="eastAsia" w:ascii="仿宋_GB2312" w:hAnsi="仿宋_GB2312" w:eastAsia="仿宋_GB2312" w:cs="仿宋_GB2312"/>
          <w:color w:val="000000" w:themeColor="text1"/>
          <w:sz w:val="32"/>
          <w:szCs w:val="32"/>
          <w14:textFill>
            <w14:solidFill>
              <w14:schemeClr w14:val="tx1"/>
            </w14:solidFill>
          </w14:textFill>
        </w:rPr>
        <w:t>织对</w:t>
      </w:r>
      <w:r>
        <w:rPr>
          <w:rFonts w:hint="eastAsia" w:ascii="仿宋_GB2312" w:hAnsi="仿宋_GB2312" w:eastAsia="仿宋_GB2312" w:cs="仿宋_GB2312"/>
          <w:color w:val="000000" w:themeColor="text1"/>
          <w:sz w:val="32"/>
          <w:szCs w:val="32"/>
          <w:lang w:eastAsia="zh-CN"/>
          <w14:textFill>
            <w14:solidFill>
              <w14:schemeClr w14:val="tx1"/>
            </w14:solidFill>
          </w14:textFill>
        </w:rPr>
        <w:t>2022年</w:t>
      </w:r>
      <w:r>
        <w:rPr>
          <w:rFonts w:hint="eastAsia" w:ascii="仿宋_GB2312" w:hAnsi="仿宋_GB2312" w:eastAsia="仿宋_GB2312" w:cs="仿宋_GB2312"/>
          <w:color w:val="000000" w:themeColor="text1"/>
          <w:sz w:val="32"/>
          <w:szCs w:val="32"/>
          <w14:textFill>
            <w14:solidFill>
              <w14:schemeClr w14:val="tx1"/>
            </w14:solidFill>
          </w14:textFill>
        </w:rPr>
        <w:t>度</w:t>
      </w:r>
      <w:r>
        <w:rPr>
          <w:rFonts w:hint="eastAsia" w:ascii="仿宋_GB2312" w:hAnsi="仿宋_GB2312" w:eastAsia="仿宋_GB2312" w:cs="仿宋_GB2312"/>
          <w:color w:val="000000" w:themeColor="text1"/>
          <w:sz w:val="32"/>
          <w:szCs w:val="32"/>
          <w:lang w:eastAsia="zh-CN"/>
          <w14:textFill>
            <w14:solidFill>
              <w14:schemeClr w14:val="tx1"/>
            </w14:solidFill>
          </w14:textFill>
        </w:rPr>
        <w:t>一</w:t>
      </w:r>
      <w:r>
        <w:rPr>
          <w:rFonts w:hint="eastAsia" w:ascii="仿宋_GB2312" w:hAnsi="仿宋_GB2312" w:eastAsia="仿宋_GB2312" w:cs="仿宋_GB2312"/>
          <w:color w:val="000000" w:themeColor="text1"/>
          <w:sz w:val="32"/>
          <w:szCs w:val="32"/>
          <w14:textFill>
            <w14:solidFill>
              <w14:schemeClr w14:val="tx1"/>
            </w14:solidFill>
          </w14:textFill>
        </w:rPr>
        <w:t>等</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个政府性基金预算项目支出开展绩效自评，共涉及资金</w:t>
      </w:r>
    </w:p>
    <w:p>
      <w:pPr>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6137.12</w:t>
      </w:r>
      <w:r>
        <w:rPr>
          <w:rFonts w:hint="eastAsia" w:ascii="仿宋_GB2312" w:hAnsi="仿宋_GB2312" w:eastAsia="仿宋_GB2312" w:cs="仿宋_GB2312"/>
          <w:color w:val="000000" w:themeColor="text1"/>
          <w:sz w:val="32"/>
          <w:szCs w:val="32"/>
          <w14:textFill>
            <w14:solidFill>
              <w14:schemeClr w14:val="tx1"/>
            </w14:solidFill>
          </w14:textFill>
        </w:rPr>
        <w:t>万元，占政府性基金预算项目支出总额的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100</w:t>
      </w:r>
      <w:r>
        <w:rPr>
          <w:rFonts w:hint="eastAsia" w:ascii="仿宋_GB2312" w:hAnsi="仿宋_GB2312" w:eastAsia="仿宋_GB2312" w:cs="仿宋_GB2312"/>
          <w:color w:val="000000" w:themeColor="text1"/>
          <w:sz w:val="32"/>
          <w:szCs w:val="32"/>
          <w14:textFill>
            <w14:solidFill>
              <w14:schemeClr w14:val="tx1"/>
            </w14:solidFill>
          </w14:textFill>
        </w:rPr>
        <w:t>%。组织对</w:t>
      </w:r>
      <w:r>
        <w:rPr>
          <w:rFonts w:hint="eastAsia" w:ascii="仿宋_GB2312" w:hAnsi="仿宋_GB2312" w:eastAsia="仿宋_GB2312" w:cs="仿宋_GB2312"/>
          <w:color w:val="000000" w:themeColor="text1"/>
          <w:sz w:val="32"/>
          <w:szCs w:val="32"/>
          <w:lang w:eastAsia="zh-CN"/>
          <w14:textFill>
            <w14:solidFill>
              <w14:schemeClr w14:val="tx1"/>
            </w14:solidFill>
          </w14:textFill>
        </w:rPr>
        <w:t>2022年</w:t>
      </w:r>
      <w:r>
        <w:rPr>
          <w:rFonts w:hint="eastAsia" w:ascii="仿宋_GB2312" w:hAnsi="仿宋_GB2312" w:eastAsia="仿宋_GB2312" w:cs="仿宋_GB2312"/>
          <w:color w:val="000000" w:themeColor="text1"/>
          <w:sz w:val="32"/>
          <w:szCs w:val="32"/>
          <w14:textFill>
            <w14:solidFill>
              <w14:schemeClr w14:val="tx1"/>
            </w14:solidFill>
          </w14:textFill>
        </w:rPr>
        <w:t>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个国有资本经营预算项目支出开展绩效自评，共涉及资金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万元，占国有资本经营预算项目支出总额的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w:t>
      </w:r>
    </w:p>
    <w:p>
      <w:pPr>
        <w:ind w:firstLine="640" w:firstLineChars="200"/>
        <w:jc w:val="left"/>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组织对“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河钢留守处各项经费 </w:t>
      </w:r>
      <w:r>
        <w:rPr>
          <w:rFonts w:hint="eastAsia" w:ascii="仿宋_GB2312" w:hAnsi="仿宋_GB2312" w:eastAsia="仿宋_GB2312" w:cs="仿宋_GB2312"/>
          <w:color w:val="000000" w:themeColor="text1"/>
          <w:sz w:val="32"/>
          <w:szCs w:val="32"/>
          <w14:textFill>
            <w14:solidFill>
              <w14:schemeClr w14:val="tx1"/>
            </w14:solidFill>
          </w14:textFill>
        </w:rPr>
        <w:t>”等</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41</w:t>
      </w:r>
      <w:r>
        <w:rPr>
          <w:rFonts w:hint="eastAsia" w:ascii="仿宋_GB2312" w:hAnsi="仿宋_GB2312" w:eastAsia="仿宋_GB2312" w:cs="仿宋_GB2312"/>
          <w:color w:val="000000" w:themeColor="text1"/>
          <w:sz w:val="32"/>
          <w:szCs w:val="32"/>
          <w14:textFill>
            <w14:solidFill>
              <w14:schemeClr w14:val="tx1"/>
            </w14:solidFill>
          </w14:textFill>
        </w:rPr>
        <w:t>个项目进行了部门评价，涉及一般公共预算支出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16364.66</w:t>
      </w:r>
      <w:r>
        <w:rPr>
          <w:rFonts w:hint="eastAsia" w:ascii="仿宋_GB2312" w:hAnsi="仿宋_GB2312" w:eastAsia="仿宋_GB2312" w:cs="仿宋_GB2312"/>
          <w:color w:val="000000" w:themeColor="text1"/>
          <w:sz w:val="32"/>
          <w:szCs w:val="32"/>
          <w14:textFill>
            <w14:solidFill>
              <w14:schemeClr w14:val="tx1"/>
            </w14:solidFill>
          </w14:textFill>
        </w:rPr>
        <w:t>万元，政府性基金预算支出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6137.12</w:t>
      </w:r>
      <w:r>
        <w:rPr>
          <w:rFonts w:hint="eastAsia" w:ascii="仿宋_GB2312" w:hAnsi="仿宋_GB2312" w:eastAsia="仿宋_GB2312" w:cs="仿宋_GB2312"/>
          <w:color w:val="000000" w:themeColor="text1"/>
          <w:sz w:val="32"/>
          <w:szCs w:val="32"/>
          <w14:textFill>
            <w14:solidFill>
              <w14:schemeClr w14:val="tx1"/>
            </w14:solidFill>
          </w14:textFill>
        </w:rPr>
        <w:t>万元，国有资本经营预算支出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万元。从评价情况来看，年初预算数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201.00</w:t>
      </w:r>
      <w:r>
        <w:rPr>
          <w:rFonts w:hint="eastAsia" w:ascii="仿宋_GB2312" w:hAnsi="仿宋_GB2312" w:eastAsia="仿宋_GB2312" w:cs="仿宋_GB2312"/>
          <w:color w:val="000000" w:themeColor="text1"/>
          <w:sz w:val="32"/>
          <w:szCs w:val="32"/>
          <w14:textFill>
            <w14:solidFill>
              <w14:schemeClr w14:val="tx1"/>
            </w14:solidFill>
          </w14:textFill>
        </w:rPr>
        <w:t>万元，当年预算数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22501.78</w:t>
      </w:r>
      <w:r>
        <w:rPr>
          <w:rFonts w:hint="eastAsia" w:ascii="仿宋_GB2312" w:hAnsi="仿宋_GB2312" w:eastAsia="仿宋_GB2312" w:cs="仿宋_GB2312"/>
          <w:color w:val="000000" w:themeColor="text1"/>
          <w:sz w:val="32"/>
          <w:szCs w:val="32"/>
          <w14:textFill>
            <w14:solidFill>
              <w14:schemeClr w14:val="tx1"/>
            </w14:solidFill>
          </w14:textFill>
        </w:rPr>
        <w:t>万元，全年执行数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19067.42</w:t>
      </w:r>
      <w:r>
        <w:rPr>
          <w:rFonts w:hint="eastAsia" w:ascii="仿宋_GB2312" w:hAnsi="仿宋_GB2312" w:eastAsia="仿宋_GB2312" w:cs="仿宋_GB2312"/>
          <w:color w:val="000000" w:themeColor="text1"/>
          <w:sz w:val="32"/>
          <w:szCs w:val="32"/>
          <w14:textFill>
            <w14:solidFill>
              <w14:schemeClr w14:val="tx1"/>
            </w14:solidFill>
          </w14:textFill>
        </w:rPr>
        <w:t>万元，完成执行率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84.74</w:t>
      </w:r>
      <w:r>
        <w:rPr>
          <w:rFonts w:hint="eastAsia" w:ascii="仿宋_GB2312" w:hAnsi="仿宋_GB2312" w:eastAsia="仿宋_GB2312" w:cs="仿宋_GB2312"/>
          <w:color w:val="000000" w:themeColor="text1"/>
          <w:sz w:val="32"/>
          <w:szCs w:val="32"/>
          <w14:textFill>
            <w14:solidFill>
              <w14:schemeClr w14:val="tx1"/>
            </w14:solidFill>
          </w14:textFill>
        </w:rPr>
        <w:t>%，自评结论：一等。</w:t>
      </w:r>
    </w:p>
    <w:p>
      <w:pPr>
        <w:ind w:firstLine="640" w:firstLineChars="200"/>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组织对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个部门（单位）开展整体支出绩效评价试点，涉及一般公共预算支出13242.64万元，政府性基金预算支出6137.12万元。从评价情况来看，年初预算数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428.12</w:t>
      </w:r>
      <w:r>
        <w:rPr>
          <w:rFonts w:hint="eastAsia" w:ascii="仿宋_GB2312" w:hAnsi="仿宋_GB2312" w:eastAsia="仿宋_GB2312" w:cs="仿宋_GB2312"/>
          <w:color w:val="000000" w:themeColor="text1"/>
          <w:sz w:val="32"/>
          <w:szCs w:val="32"/>
          <w14:textFill>
            <w14:solidFill>
              <w14:schemeClr w14:val="tx1"/>
            </w14:solidFill>
          </w14:textFill>
        </w:rPr>
        <w:t>万元，当年预算数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22814.12</w:t>
      </w:r>
      <w:r>
        <w:rPr>
          <w:rFonts w:hint="eastAsia" w:ascii="仿宋_GB2312" w:hAnsi="仿宋_GB2312" w:eastAsia="仿宋_GB2312" w:cs="仿宋_GB2312"/>
          <w:color w:val="000000" w:themeColor="text1"/>
          <w:sz w:val="32"/>
          <w:szCs w:val="32"/>
          <w14:textFill>
            <w14:solidFill>
              <w14:schemeClr w14:val="tx1"/>
            </w14:solidFill>
          </w14:textFill>
        </w:rPr>
        <w:t>万元，全年执行数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19379.77</w:t>
      </w:r>
      <w:r>
        <w:rPr>
          <w:rFonts w:hint="eastAsia" w:ascii="仿宋_GB2312" w:hAnsi="仿宋_GB2312" w:eastAsia="仿宋_GB2312" w:cs="仿宋_GB2312"/>
          <w:color w:val="000000" w:themeColor="text1"/>
          <w:sz w:val="32"/>
          <w:szCs w:val="32"/>
          <w14:textFill>
            <w14:solidFill>
              <w14:schemeClr w14:val="tx1"/>
            </w14:solidFill>
          </w14:textFill>
        </w:rPr>
        <w:t>万元，完成执行率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84.95</w:t>
      </w:r>
      <w:r>
        <w:rPr>
          <w:rFonts w:hint="eastAsia" w:ascii="仿宋_GB2312" w:hAnsi="仿宋_GB2312" w:eastAsia="仿宋_GB2312" w:cs="仿宋_GB2312"/>
          <w:color w:val="000000" w:themeColor="text1"/>
          <w:sz w:val="32"/>
          <w:szCs w:val="32"/>
          <w14:textFill>
            <w14:solidFill>
              <w14:schemeClr w14:val="tx1"/>
            </w14:solidFill>
          </w14:textFill>
        </w:rPr>
        <w:t>%，自评结论：一等。</w:t>
      </w:r>
    </w:p>
    <w:p>
      <w:pPr>
        <w:ind w:firstLine="640" w:firstLineChars="200"/>
        <w:jc w:val="left"/>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部门决算中项目绩效自评结</w:t>
      </w:r>
      <w:r>
        <w:rPr>
          <w:rFonts w:hint="eastAsia" w:ascii="仿宋_GB2312" w:hAnsi="仿宋_GB2312" w:eastAsia="仿宋_GB2312" w:cs="仿宋_GB2312"/>
          <w:color w:val="auto"/>
          <w:sz w:val="32"/>
          <w:szCs w:val="32"/>
        </w:rPr>
        <w:t>果。</w:t>
      </w:r>
    </w:p>
    <w:p>
      <w:pPr>
        <w:ind w:firstLine="640" w:firstLineChars="200"/>
        <w:jc w:val="left"/>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我部门根据年初设定的绩效目标</w:t>
      </w:r>
      <w:r>
        <w:rPr>
          <w:rFonts w:hint="eastAsia" w:ascii="仿宋_GB2312" w:hAnsi="仿宋_GB2312" w:eastAsia="仿宋_GB2312" w:cs="仿宋_GB2312"/>
          <w:color w:val="000000" w:themeColor="text1"/>
          <w:sz w:val="32"/>
          <w:szCs w:val="32"/>
          <w:lang w:eastAsia="zh-CN"/>
          <w14:textFill>
            <w14:solidFill>
              <w14:schemeClr w14:val="tx1"/>
            </w14:solidFill>
          </w14:textFill>
        </w:rPr>
        <w:t>开展自评，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河钢留守处各项经费等41个项目评分都得90分以上，都是一等奖，后附自评表。</w:t>
      </w:r>
    </w:p>
    <w:p>
      <w:pPr>
        <w:pStyle w:val="2"/>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lang w:val="en-US" w:eastAsia="zh-CN"/>
        </w:rPr>
        <w:t>发现的主要问题及原因是：一是资金使用方面的问题，因财政资金紧张，资金拨付较缓慢。二是项目绩效方面的问题，绩效设置不够细化。下一步改进措施：一是加快资金使用进度。二是细化绩效内容。</w:t>
      </w:r>
    </w:p>
    <w:p>
      <w:pPr>
        <w:jc w:val="center"/>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第四部分  名词解释</w:t>
      </w:r>
    </w:p>
    <w:p>
      <w:pPr>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一、财政拨款收入：指</w:t>
      </w:r>
      <w:r>
        <w:rPr>
          <w:rFonts w:hint="eastAsia" w:ascii="仿宋_GB2312" w:hAnsi="仿宋_GB2312" w:eastAsia="仿宋_GB2312" w:cs="仿宋_GB2312"/>
          <w:sz w:val="32"/>
          <w:szCs w:val="32"/>
          <w:u w:color="auto"/>
        </w:rPr>
        <w:t>环江毛南族自治县财政部门当年拨付的资金。</w:t>
      </w:r>
    </w:p>
    <w:p>
      <w:pPr>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二、事业收入：指事业单位开展专业业务活动及辅助活动所取得的收入。</w:t>
      </w:r>
    </w:p>
    <w:p>
      <w:pPr>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三、经营收入：指事业单位在专业业务活动及其辅助活动之外开展非独立核算经营活动取得的收入。</w:t>
      </w:r>
    </w:p>
    <w:p>
      <w:pPr>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四、其他收入：指除上述“财政拨款收入”“事业收入”“经营收入”等以外的收入。</w:t>
      </w:r>
    </w:p>
    <w:p>
      <w:pPr>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六、年初结转和结余：指以前年度尚未完成、结转到本年 按有关规定继续使用的资金</w:t>
      </w:r>
      <w:r>
        <w:rPr>
          <w:rFonts w:hint="eastAsia" w:ascii="仿宋_GB2312" w:hAnsi="仿宋_GB2312" w:eastAsia="仿宋_GB2312" w:cs="仿宋_GB2312"/>
          <w:sz w:val="32"/>
          <w:szCs w:val="32"/>
          <w:highlight w:val="none"/>
          <w:lang w:eastAsia="zh-CN"/>
        </w:rPr>
        <w:t>。</w:t>
      </w:r>
    </w:p>
    <w:p>
      <w:pPr>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七、结余分配：指事业单位按规定提取的职工福利基金、事业基金和缴纳的所得税，以及建设单位按规定应交回的基本建设竣工项目结余资金。 </w:t>
      </w:r>
    </w:p>
    <w:p>
      <w:pPr>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八、年末结转和结余：指本年度或以前年度预算安排、因客观条件发生变化无法按原计划实施，需要延迟到以后年度按有关规定继续使用的资金。 </w:t>
      </w:r>
    </w:p>
    <w:p>
      <w:pPr>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九、基本支出：指为保障机构正常运转、完成日常工作任务而发生的人员支出和公用支出。 </w:t>
      </w:r>
    </w:p>
    <w:p>
      <w:pPr>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十、项目支出：指在基本支出之外为完成特定行政任务和事业发展目标所发生的支出。 </w:t>
      </w:r>
    </w:p>
    <w:p>
      <w:pPr>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十一、经营支出：指事业单位在专业业务活动及其辅助活动之外开展非独立核算经营活动发生的支出。</w:t>
      </w:r>
    </w:p>
    <w:p>
      <w:pPr>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十二、“三公”经费：纳入</w:t>
      </w:r>
      <w:r>
        <w:rPr>
          <w:rFonts w:hint="eastAsia" w:ascii="仿宋_GB2312" w:hAnsi="仿宋_GB2312" w:eastAsia="仿宋_GB2312" w:cs="仿宋_GB2312"/>
          <w:sz w:val="32"/>
          <w:szCs w:val="32"/>
          <w:u w:color="auto"/>
        </w:rPr>
        <w:t>环江毛南族自治县财政预决算管理的“三公”经费，是指环江毛南族自治县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3"/>
        <w:ind w:left="0" w:leftChars="0" w:firstLine="560" w:firstLineChars="0"/>
        <w:rPr>
          <w:rFonts w:hint="eastAsia" w:ascii="仿宋_GB2312" w:hAnsi="仿宋_GB2312" w:eastAsia="仿宋_GB2312" w:cs="仿宋_GB2312"/>
          <w:color w:val="auto"/>
          <w:sz w:val="32"/>
          <w:szCs w:val="32"/>
          <w:lang w:val="en-US" w:eastAsia="zh-CN"/>
        </w:rPr>
      </w:pPr>
    </w:p>
    <w:sectPr>
      <w:pgSz w:w="11906" w:h="16838"/>
      <w:pgMar w:top="1440" w:right="1800" w:bottom="1440" w:left="180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4327D3C7-891E-4AAA-ADE1-30153053E4EE}"/>
  </w:font>
  <w:font w:name="黑体">
    <w:panose1 w:val="02010609060101010101"/>
    <w:charset w:val="86"/>
    <w:family w:val="auto"/>
    <w:pitch w:val="default"/>
    <w:sig w:usb0="800002BF" w:usb1="38CF7CFA" w:usb2="00000016" w:usb3="00000000" w:csb0="00040001" w:csb1="00000000"/>
    <w:embedRegular r:id="rId2" w:fontKey="{E03D5D31-E191-4439-8163-FD6D83B3327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embedRegular r:id="rId3" w:fontKey="{9A8ECE89-DF55-46C5-8125-CB7B9A1C658F}"/>
  </w:font>
  <w:font w:name="FangSong_GB2312">
    <w:altName w:val="仿宋_GB2312"/>
    <w:panose1 w:val="02010609030101010101"/>
    <w:charset w:val="86"/>
    <w:family w:val="decorative"/>
    <w:pitch w:val="default"/>
    <w:sig w:usb0="00000000" w:usb1="00000000" w:usb2="00000000" w:usb3="00000000" w:csb0="00040000" w:csb1="00000000"/>
    <w:embedRegular r:id="rId4" w:fontKey="{13C94F68-74CA-47C5-BFF7-2A26EF84AF67}"/>
  </w:font>
  <w:font w:name="仿宋_GB2312">
    <w:panose1 w:val="02010609030101010101"/>
    <w:charset w:val="86"/>
    <w:family w:val="auto"/>
    <w:pitch w:val="default"/>
    <w:sig w:usb0="00000001" w:usb1="080E0000" w:usb2="00000000" w:usb3="00000000" w:csb0="00040000" w:csb1="00000000"/>
    <w:embedRegular r:id="rId5" w:fontKey="{6BB922D4-857D-44F7-838C-53C571DB4DAD}"/>
  </w:font>
  <w:font w:name="微软雅黑">
    <w:panose1 w:val="020B0503020204020204"/>
    <w:charset w:val="86"/>
    <w:family w:val="auto"/>
    <w:pitch w:val="default"/>
    <w:sig w:usb0="80000287" w:usb1="2ACF3C50" w:usb2="00000016" w:usb3="00000000" w:csb0="0004001F" w:csb1="00000000"/>
    <w:embedRegular r:id="rId6" w:fontKey="{67C45357-DD18-4670-B4E4-21BBFECD3D31}"/>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F86D39"/>
    <w:multiLevelType w:val="singleLevel"/>
    <w:tmpl w:val="9BF86D39"/>
    <w:lvl w:ilvl="0" w:tentative="0">
      <w:start w:val="1"/>
      <w:numFmt w:val="chineseCounting"/>
      <w:suff w:val="nothing"/>
      <w:lvlText w:val="（%1）"/>
      <w:lvlJc w:val="left"/>
      <w:pPr>
        <w:ind w:left="0" w:firstLine="420"/>
      </w:pPr>
      <w:rPr>
        <w:rFonts w:hint="eastAsia"/>
        <w:color w:val="auto"/>
        <w:sz w:val="32"/>
        <w:szCs w:val="32"/>
      </w:rPr>
    </w:lvl>
  </w:abstractNum>
  <w:abstractNum w:abstractNumId="1">
    <w:nsid w:val="DB743884"/>
    <w:multiLevelType w:val="singleLevel"/>
    <w:tmpl w:val="DB743884"/>
    <w:lvl w:ilvl="0" w:tentative="0">
      <w:start w:val="1"/>
      <w:numFmt w:val="chineseCounting"/>
      <w:suff w:val="nothing"/>
      <w:lvlText w:val="（%1）"/>
      <w:lvlJc w:val="left"/>
      <w:pPr>
        <w:ind w:left="0" w:firstLine="420"/>
      </w:pPr>
      <w:rPr>
        <w:rFonts w:hint="eastAsia"/>
        <w:color w:va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dlYTg2NGRkMmJjZGU0Y2FiYTliNzQ5YjEyNmY5YzQifQ=="/>
  </w:docVars>
  <w:rsids>
    <w:rsidRoot w:val="637D7558"/>
    <w:rsid w:val="00002C84"/>
    <w:rsid w:val="00022149"/>
    <w:rsid w:val="00047F6C"/>
    <w:rsid w:val="00093C26"/>
    <w:rsid w:val="00094B91"/>
    <w:rsid w:val="000B06D8"/>
    <w:rsid w:val="000E5855"/>
    <w:rsid w:val="001418A5"/>
    <w:rsid w:val="00147D40"/>
    <w:rsid w:val="00156EF2"/>
    <w:rsid w:val="001D7B97"/>
    <w:rsid w:val="00210E20"/>
    <w:rsid w:val="00223F38"/>
    <w:rsid w:val="00233613"/>
    <w:rsid w:val="00254DBE"/>
    <w:rsid w:val="00275CAB"/>
    <w:rsid w:val="0028709C"/>
    <w:rsid w:val="0029328F"/>
    <w:rsid w:val="002B2731"/>
    <w:rsid w:val="00300177"/>
    <w:rsid w:val="00382867"/>
    <w:rsid w:val="003A4973"/>
    <w:rsid w:val="003C1C96"/>
    <w:rsid w:val="003C69F8"/>
    <w:rsid w:val="003E40BA"/>
    <w:rsid w:val="003E7165"/>
    <w:rsid w:val="0041579D"/>
    <w:rsid w:val="00427074"/>
    <w:rsid w:val="00434D04"/>
    <w:rsid w:val="004C4D73"/>
    <w:rsid w:val="004D7D0E"/>
    <w:rsid w:val="00500138"/>
    <w:rsid w:val="005234F5"/>
    <w:rsid w:val="00531745"/>
    <w:rsid w:val="00574196"/>
    <w:rsid w:val="006123AD"/>
    <w:rsid w:val="00645B83"/>
    <w:rsid w:val="0066173C"/>
    <w:rsid w:val="006D677A"/>
    <w:rsid w:val="007640BB"/>
    <w:rsid w:val="00771953"/>
    <w:rsid w:val="00776E0B"/>
    <w:rsid w:val="007A0641"/>
    <w:rsid w:val="007C52E7"/>
    <w:rsid w:val="007C54EA"/>
    <w:rsid w:val="007C776D"/>
    <w:rsid w:val="007D7CE3"/>
    <w:rsid w:val="007E2EF7"/>
    <w:rsid w:val="007E2F6C"/>
    <w:rsid w:val="00817C69"/>
    <w:rsid w:val="00823A94"/>
    <w:rsid w:val="00824151"/>
    <w:rsid w:val="008315A9"/>
    <w:rsid w:val="00834354"/>
    <w:rsid w:val="008F1B95"/>
    <w:rsid w:val="008F4AE2"/>
    <w:rsid w:val="008F6882"/>
    <w:rsid w:val="00934C72"/>
    <w:rsid w:val="00946CCF"/>
    <w:rsid w:val="0097721B"/>
    <w:rsid w:val="009831F8"/>
    <w:rsid w:val="00991ADF"/>
    <w:rsid w:val="009B3E00"/>
    <w:rsid w:val="009D1667"/>
    <w:rsid w:val="00A07CCE"/>
    <w:rsid w:val="00A27624"/>
    <w:rsid w:val="00A358E6"/>
    <w:rsid w:val="00A83AD0"/>
    <w:rsid w:val="00AA78EE"/>
    <w:rsid w:val="00AB53E1"/>
    <w:rsid w:val="00AE5F66"/>
    <w:rsid w:val="00B07A0B"/>
    <w:rsid w:val="00B22BA0"/>
    <w:rsid w:val="00B22F28"/>
    <w:rsid w:val="00B37453"/>
    <w:rsid w:val="00B45479"/>
    <w:rsid w:val="00B60171"/>
    <w:rsid w:val="00B837AC"/>
    <w:rsid w:val="00BB4FB8"/>
    <w:rsid w:val="00BD315D"/>
    <w:rsid w:val="00C14B91"/>
    <w:rsid w:val="00C3279E"/>
    <w:rsid w:val="00C34857"/>
    <w:rsid w:val="00CA2E26"/>
    <w:rsid w:val="00D00918"/>
    <w:rsid w:val="00D14326"/>
    <w:rsid w:val="00D772CC"/>
    <w:rsid w:val="00D84F30"/>
    <w:rsid w:val="00D878A6"/>
    <w:rsid w:val="00DE74BD"/>
    <w:rsid w:val="00DE7D07"/>
    <w:rsid w:val="00EB60B2"/>
    <w:rsid w:val="00EB7822"/>
    <w:rsid w:val="00EC50A9"/>
    <w:rsid w:val="00ED04DB"/>
    <w:rsid w:val="00F21455"/>
    <w:rsid w:val="00F5354B"/>
    <w:rsid w:val="00F95135"/>
    <w:rsid w:val="00F9658C"/>
    <w:rsid w:val="00F978FD"/>
    <w:rsid w:val="00FA738E"/>
    <w:rsid w:val="00FC438B"/>
    <w:rsid w:val="01234E98"/>
    <w:rsid w:val="012B25CB"/>
    <w:rsid w:val="01311D17"/>
    <w:rsid w:val="015F1951"/>
    <w:rsid w:val="016C71F3"/>
    <w:rsid w:val="01817805"/>
    <w:rsid w:val="018207C5"/>
    <w:rsid w:val="018450A2"/>
    <w:rsid w:val="01907ADC"/>
    <w:rsid w:val="01A249C3"/>
    <w:rsid w:val="01C81F50"/>
    <w:rsid w:val="01CE3A0A"/>
    <w:rsid w:val="01F33470"/>
    <w:rsid w:val="020C171D"/>
    <w:rsid w:val="0216715F"/>
    <w:rsid w:val="02693733"/>
    <w:rsid w:val="028054AC"/>
    <w:rsid w:val="02B47744"/>
    <w:rsid w:val="02E0291A"/>
    <w:rsid w:val="02E903CF"/>
    <w:rsid w:val="03042F17"/>
    <w:rsid w:val="03433F84"/>
    <w:rsid w:val="034F100D"/>
    <w:rsid w:val="035241C7"/>
    <w:rsid w:val="03C36E72"/>
    <w:rsid w:val="045D1075"/>
    <w:rsid w:val="04993993"/>
    <w:rsid w:val="04B62533"/>
    <w:rsid w:val="04BA38D0"/>
    <w:rsid w:val="04E470A0"/>
    <w:rsid w:val="04E54546"/>
    <w:rsid w:val="04F75026"/>
    <w:rsid w:val="04FF212C"/>
    <w:rsid w:val="05143E2A"/>
    <w:rsid w:val="05243941"/>
    <w:rsid w:val="053C6EDC"/>
    <w:rsid w:val="05527330"/>
    <w:rsid w:val="059856D1"/>
    <w:rsid w:val="05992762"/>
    <w:rsid w:val="05A86320"/>
    <w:rsid w:val="05D709B3"/>
    <w:rsid w:val="05E51322"/>
    <w:rsid w:val="05F652DD"/>
    <w:rsid w:val="066161B9"/>
    <w:rsid w:val="068376C5"/>
    <w:rsid w:val="069A3EBB"/>
    <w:rsid w:val="06BD41A6"/>
    <w:rsid w:val="06C30126"/>
    <w:rsid w:val="072C376E"/>
    <w:rsid w:val="0764271A"/>
    <w:rsid w:val="07882927"/>
    <w:rsid w:val="07B0770E"/>
    <w:rsid w:val="07B74F40"/>
    <w:rsid w:val="07B92A66"/>
    <w:rsid w:val="07C840A0"/>
    <w:rsid w:val="07CD206E"/>
    <w:rsid w:val="07D16002"/>
    <w:rsid w:val="082D6FB0"/>
    <w:rsid w:val="085207C5"/>
    <w:rsid w:val="085D0A47"/>
    <w:rsid w:val="087D7F38"/>
    <w:rsid w:val="0895702F"/>
    <w:rsid w:val="08BF40AC"/>
    <w:rsid w:val="08D315E7"/>
    <w:rsid w:val="08E25FED"/>
    <w:rsid w:val="08E27D9B"/>
    <w:rsid w:val="09151F1E"/>
    <w:rsid w:val="09297778"/>
    <w:rsid w:val="092D54BA"/>
    <w:rsid w:val="0942143F"/>
    <w:rsid w:val="095764B1"/>
    <w:rsid w:val="09664528"/>
    <w:rsid w:val="096802A0"/>
    <w:rsid w:val="098826F0"/>
    <w:rsid w:val="09A3577C"/>
    <w:rsid w:val="09BC4A90"/>
    <w:rsid w:val="0A2D5046"/>
    <w:rsid w:val="0A3E7253"/>
    <w:rsid w:val="0A464179"/>
    <w:rsid w:val="0A570314"/>
    <w:rsid w:val="0A5F209B"/>
    <w:rsid w:val="0A7E1D45"/>
    <w:rsid w:val="0AA74DF8"/>
    <w:rsid w:val="0B3D39AE"/>
    <w:rsid w:val="0B3E2E4A"/>
    <w:rsid w:val="0B41524D"/>
    <w:rsid w:val="0B5036E2"/>
    <w:rsid w:val="0B5C2086"/>
    <w:rsid w:val="0B7373D0"/>
    <w:rsid w:val="0B7B600C"/>
    <w:rsid w:val="0B9E444D"/>
    <w:rsid w:val="0BA31A63"/>
    <w:rsid w:val="0BBA6DAD"/>
    <w:rsid w:val="0BD356CC"/>
    <w:rsid w:val="0BFC5617"/>
    <w:rsid w:val="0C061FF2"/>
    <w:rsid w:val="0C214592"/>
    <w:rsid w:val="0C2A3F33"/>
    <w:rsid w:val="0C30706F"/>
    <w:rsid w:val="0C5965C6"/>
    <w:rsid w:val="0CAA6B80"/>
    <w:rsid w:val="0CD8398F"/>
    <w:rsid w:val="0CDB347F"/>
    <w:rsid w:val="0D100297"/>
    <w:rsid w:val="0D183D8B"/>
    <w:rsid w:val="0D202B45"/>
    <w:rsid w:val="0D5C031F"/>
    <w:rsid w:val="0D674D12"/>
    <w:rsid w:val="0D896A37"/>
    <w:rsid w:val="0D921D8F"/>
    <w:rsid w:val="0D9D24E2"/>
    <w:rsid w:val="0DF76096"/>
    <w:rsid w:val="0E19425F"/>
    <w:rsid w:val="0E2A646C"/>
    <w:rsid w:val="0E303356"/>
    <w:rsid w:val="0E883192"/>
    <w:rsid w:val="0E8F4521"/>
    <w:rsid w:val="0E92287A"/>
    <w:rsid w:val="0F2B1065"/>
    <w:rsid w:val="0F2C7B80"/>
    <w:rsid w:val="0F36499C"/>
    <w:rsid w:val="0F4C41C0"/>
    <w:rsid w:val="0F580DB7"/>
    <w:rsid w:val="0F803EDF"/>
    <w:rsid w:val="0F8D4C87"/>
    <w:rsid w:val="0FC41FA8"/>
    <w:rsid w:val="10280789"/>
    <w:rsid w:val="10505FAA"/>
    <w:rsid w:val="105F7E7E"/>
    <w:rsid w:val="10947BCD"/>
    <w:rsid w:val="10A36062"/>
    <w:rsid w:val="10AB3168"/>
    <w:rsid w:val="10E741A0"/>
    <w:rsid w:val="10FE773C"/>
    <w:rsid w:val="11E56B5B"/>
    <w:rsid w:val="11EA3F49"/>
    <w:rsid w:val="122E4051"/>
    <w:rsid w:val="12301B77"/>
    <w:rsid w:val="123553DF"/>
    <w:rsid w:val="124D097B"/>
    <w:rsid w:val="125C77AB"/>
    <w:rsid w:val="127C300E"/>
    <w:rsid w:val="12982F18"/>
    <w:rsid w:val="12D20E80"/>
    <w:rsid w:val="12D60970"/>
    <w:rsid w:val="132E255A"/>
    <w:rsid w:val="136B61FA"/>
    <w:rsid w:val="13A445CA"/>
    <w:rsid w:val="13C20EF5"/>
    <w:rsid w:val="14CB726E"/>
    <w:rsid w:val="14D013EF"/>
    <w:rsid w:val="14E60C13"/>
    <w:rsid w:val="14FB2910"/>
    <w:rsid w:val="15094E83"/>
    <w:rsid w:val="15367054"/>
    <w:rsid w:val="1546345F"/>
    <w:rsid w:val="15C72C05"/>
    <w:rsid w:val="15CA5E3E"/>
    <w:rsid w:val="16117F11"/>
    <w:rsid w:val="161517B0"/>
    <w:rsid w:val="161A6DC6"/>
    <w:rsid w:val="16442095"/>
    <w:rsid w:val="16443E43"/>
    <w:rsid w:val="16683605"/>
    <w:rsid w:val="16917C74"/>
    <w:rsid w:val="169576DE"/>
    <w:rsid w:val="16BE2A62"/>
    <w:rsid w:val="16E15B36"/>
    <w:rsid w:val="16ED44DA"/>
    <w:rsid w:val="17035AAC"/>
    <w:rsid w:val="17372CF8"/>
    <w:rsid w:val="1768590F"/>
    <w:rsid w:val="176E136D"/>
    <w:rsid w:val="17C90AA4"/>
    <w:rsid w:val="17CE7E68"/>
    <w:rsid w:val="17D5720D"/>
    <w:rsid w:val="17DF410D"/>
    <w:rsid w:val="17E92249"/>
    <w:rsid w:val="18115FA7"/>
    <w:rsid w:val="18185A05"/>
    <w:rsid w:val="185D2923"/>
    <w:rsid w:val="1869193F"/>
    <w:rsid w:val="18822A00"/>
    <w:rsid w:val="188B3FAB"/>
    <w:rsid w:val="188E5849"/>
    <w:rsid w:val="18CE3E98"/>
    <w:rsid w:val="18D304F1"/>
    <w:rsid w:val="18DA45EA"/>
    <w:rsid w:val="18FC7F4B"/>
    <w:rsid w:val="190E33B2"/>
    <w:rsid w:val="1934019F"/>
    <w:rsid w:val="19466124"/>
    <w:rsid w:val="19670574"/>
    <w:rsid w:val="19893B5F"/>
    <w:rsid w:val="199E386A"/>
    <w:rsid w:val="19A111C7"/>
    <w:rsid w:val="19B72B7E"/>
    <w:rsid w:val="19D41982"/>
    <w:rsid w:val="19E00326"/>
    <w:rsid w:val="19F32577"/>
    <w:rsid w:val="19F45B80"/>
    <w:rsid w:val="1A2024D1"/>
    <w:rsid w:val="1A3505F7"/>
    <w:rsid w:val="1A7A6085"/>
    <w:rsid w:val="1A7D7923"/>
    <w:rsid w:val="1A937147"/>
    <w:rsid w:val="1AC5064D"/>
    <w:rsid w:val="1AE43B4E"/>
    <w:rsid w:val="1AFF47DC"/>
    <w:rsid w:val="1B0C078D"/>
    <w:rsid w:val="1B1C713C"/>
    <w:rsid w:val="1B2B31E2"/>
    <w:rsid w:val="1B397CEE"/>
    <w:rsid w:val="1B4C295A"/>
    <w:rsid w:val="1B574618"/>
    <w:rsid w:val="1B6F3710"/>
    <w:rsid w:val="1B973C63"/>
    <w:rsid w:val="1BA1001E"/>
    <w:rsid w:val="1BAF4FC1"/>
    <w:rsid w:val="1BDB0DA5"/>
    <w:rsid w:val="1BFB31F6"/>
    <w:rsid w:val="1C093B64"/>
    <w:rsid w:val="1C0E2F29"/>
    <w:rsid w:val="1C316C17"/>
    <w:rsid w:val="1C556EED"/>
    <w:rsid w:val="1C62609F"/>
    <w:rsid w:val="1CB02232"/>
    <w:rsid w:val="1CD221A8"/>
    <w:rsid w:val="1CE913FB"/>
    <w:rsid w:val="1D1C4FB7"/>
    <w:rsid w:val="1D317259"/>
    <w:rsid w:val="1DA8115B"/>
    <w:rsid w:val="1E333FBD"/>
    <w:rsid w:val="1E652BA8"/>
    <w:rsid w:val="1E664F5B"/>
    <w:rsid w:val="1E731769"/>
    <w:rsid w:val="1E870D71"/>
    <w:rsid w:val="1E9D3BAA"/>
    <w:rsid w:val="1EB34BE1"/>
    <w:rsid w:val="1EC04283"/>
    <w:rsid w:val="1EC71AB5"/>
    <w:rsid w:val="1F9A0F77"/>
    <w:rsid w:val="1FD53D5E"/>
    <w:rsid w:val="20261BF6"/>
    <w:rsid w:val="202A5E57"/>
    <w:rsid w:val="202C7E22"/>
    <w:rsid w:val="202D76F6"/>
    <w:rsid w:val="203942EC"/>
    <w:rsid w:val="20765541"/>
    <w:rsid w:val="20DA787E"/>
    <w:rsid w:val="21472E5C"/>
    <w:rsid w:val="215E639F"/>
    <w:rsid w:val="216B497A"/>
    <w:rsid w:val="21771570"/>
    <w:rsid w:val="21B24356"/>
    <w:rsid w:val="21B64E39"/>
    <w:rsid w:val="21EC3183"/>
    <w:rsid w:val="21F91F85"/>
    <w:rsid w:val="222A0391"/>
    <w:rsid w:val="223E208E"/>
    <w:rsid w:val="22573150"/>
    <w:rsid w:val="225E72CD"/>
    <w:rsid w:val="228026A7"/>
    <w:rsid w:val="22812619"/>
    <w:rsid w:val="22A243CB"/>
    <w:rsid w:val="22CE3412"/>
    <w:rsid w:val="22DF73CD"/>
    <w:rsid w:val="22E36792"/>
    <w:rsid w:val="22FB1D2D"/>
    <w:rsid w:val="22FD5AA5"/>
    <w:rsid w:val="2329689A"/>
    <w:rsid w:val="234E00AF"/>
    <w:rsid w:val="235975E1"/>
    <w:rsid w:val="23612324"/>
    <w:rsid w:val="23757D31"/>
    <w:rsid w:val="23A805E2"/>
    <w:rsid w:val="23BA1BE8"/>
    <w:rsid w:val="23C2284B"/>
    <w:rsid w:val="23D031BA"/>
    <w:rsid w:val="23D902C0"/>
    <w:rsid w:val="23ED78C8"/>
    <w:rsid w:val="23EF1892"/>
    <w:rsid w:val="242552B4"/>
    <w:rsid w:val="242D5F16"/>
    <w:rsid w:val="246E2F77"/>
    <w:rsid w:val="24743B45"/>
    <w:rsid w:val="24AA7567"/>
    <w:rsid w:val="24C26FA6"/>
    <w:rsid w:val="24D6035C"/>
    <w:rsid w:val="251610A0"/>
    <w:rsid w:val="254B4E2B"/>
    <w:rsid w:val="254E4396"/>
    <w:rsid w:val="25526E4B"/>
    <w:rsid w:val="256013F3"/>
    <w:rsid w:val="25733DFD"/>
    <w:rsid w:val="25B753DF"/>
    <w:rsid w:val="25CE54D7"/>
    <w:rsid w:val="25D56865"/>
    <w:rsid w:val="25E22D30"/>
    <w:rsid w:val="25F92D0A"/>
    <w:rsid w:val="262D044F"/>
    <w:rsid w:val="26435EC5"/>
    <w:rsid w:val="268D5392"/>
    <w:rsid w:val="26B50445"/>
    <w:rsid w:val="26EB3E67"/>
    <w:rsid w:val="27693709"/>
    <w:rsid w:val="27702CEA"/>
    <w:rsid w:val="278422F1"/>
    <w:rsid w:val="279F712B"/>
    <w:rsid w:val="27BF3F2A"/>
    <w:rsid w:val="27C2106B"/>
    <w:rsid w:val="27D17C04"/>
    <w:rsid w:val="28327F9F"/>
    <w:rsid w:val="28397580"/>
    <w:rsid w:val="283D7C94"/>
    <w:rsid w:val="28616AD6"/>
    <w:rsid w:val="288527C5"/>
    <w:rsid w:val="28F90DC3"/>
    <w:rsid w:val="290D4568"/>
    <w:rsid w:val="29283150"/>
    <w:rsid w:val="29293E76"/>
    <w:rsid w:val="29345F99"/>
    <w:rsid w:val="29480E03"/>
    <w:rsid w:val="29581C87"/>
    <w:rsid w:val="29693E94"/>
    <w:rsid w:val="2983572B"/>
    <w:rsid w:val="2983634D"/>
    <w:rsid w:val="29BF3AB4"/>
    <w:rsid w:val="29E74DB9"/>
    <w:rsid w:val="2A005E7B"/>
    <w:rsid w:val="2A500BB0"/>
    <w:rsid w:val="2A5F7045"/>
    <w:rsid w:val="2A9071FF"/>
    <w:rsid w:val="2A9E13F0"/>
    <w:rsid w:val="2B035C23"/>
    <w:rsid w:val="2B5841C1"/>
    <w:rsid w:val="2BA016C4"/>
    <w:rsid w:val="2BB02055"/>
    <w:rsid w:val="2BC2163A"/>
    <w:rsid w:val="2BD85A0F"/>
    <w:rsid w:val="2BF437BD"/>
    <w:rsid w:val="2C575A56"/>
    <w:rsid w:val="2C5E75D9"/>
    <w:rsid w:val="2C6941AB"/>
    <w:rsid w:val="2C83526D"/>
    <w:rsid w:val="2C923702"/>
    <w:rsid w:val="2C92725E"/>
    <w:rsid w:val="2CF33A75"/>
    <w:rsid w:val="2D1F6E84"/>
    <w:rsid w:val="2D236108"/>
    <w:rsid w:val="2DCA0C7A"/>
    <w:rsid w:val="2E1343CF"/>
    <w:rsid w:val="2E1819E5"/>
    <w:rsid w:val="2E20199F"/>
    <w:rsid w:val="2E2C723F"/>
    <w:rsid w:val="2ED753FC"/>
    <w:rsid w:val="2F0E4B96"/>
    <w:rsid w:val="2F1F6DA3"/>
    <w:rsid w:val="2F257714"/>
    <w:rsid w:val="2F3275E5"/>
    <w:rsid w:val="2F3960B7"/>
    <w:rsid w:val="2F3A3EF1"/>
    <w:rsid w:val="2F5073C2"/>
    <w:rsid w:val="2F5E5B1E"/>
    <w:rsid w:val="2F61116A"/>
    <w:rsid w:val="2FAF6379"/>
    <w:rsid w:val="30705B08"/>
    <w:rsid w:val="30773B1E"/>
    <w:rsid w:val="308570DA"/>
    <w:rsid w:val="309D08C8"/>
    <w:rsid w:val="30AA08EF"/>
    <w:rsid w:val="30D23D1C"/>
    <w:rsid w:val="30FC25A1"/>
    <w:rsid w:val="31046251"/>
    <w:rsid w:val="31221CF5"/>
    <w:rsid w:val="31400178"/>
    <w:rsid w:val="31624D74"/>
    <w:rsid w:val="31657092"/>
    <w:rsid w:val="319B6BB5"/>
    <w:rsid w:val="31EA18EB"/>
    <w:rsid w:val="321E3342"/>
    <w:rsid w:val="327759C8"/>
    <w:rsid w:val="32AC3044"/>
    <w:rsid w:val="32CE32BE"/>
    <w:rsid w:val="32E316A5"/>
    <w:rsid w:val="32ED1692"/>
    <w:rsid w:val="33064502"/>
    <w:rsid w:val="33185FE3"/>
    <w:rsid w:val="33340073"/>
    <w:rsid w:val="335A484E"/>
    <w:rsid w:val="336056B3"/>
    <w:rsid w:val="33D75E9F"/>
    <w:rsid w:val="33D91C17"/>
    <w:rsid w:val="33ED56C2"/>
    <w:rsid w:val="34262821"/>
    <w:rsid w:val="342E014E"/>
    <w:rsid w:val="34B85CD0"/>
    <w:rsid w:val="34C74165"/>
    <w:rsid w:val="34E268A9"/>
    <w:rsid w:val="34EE2E36"/>
    <w:rsid w:val="350F7963"/>
    <w:rsid w:val="35225BD7"/>
    <w:rsid w:val="35A65B28"/>
    <w:rsid w:val="35AF70D3"/>
    <w:rsid w:val="35F24F62"/>
    <w:rsid w:val="35FC1BEC"/>
    <w:rsid w:val="360D5BA8"/>
    <w:rsid w:val="36777241"/>
    <w:rsid w:val="368636C2"/>
    <w:rsid w:val="36BF3346"/>
    <w:rsid w:val="36F668C1"/>
    <w:rsid w:val="370A20E7"/>
    <w:rsid w:val="371E78D5"/>
    <w:rsid w:val="3753243F"/>
    <w:rsid w:val="37863E63"/>
    <w:rsid w:val="379E73FF"/>
    <w:rsid w:val="382219A2"/>
    <w:rsid w:val="382F0057"/>
    <w:rsid w:val="38314B9F"/>
    <w:rsid w:val="385C4BC4"/>
    <w:rsid w:val="38710670"/>
    <w:rsid w:val="38871C41"/>
    <w:rsid w:val="38A951DB"/>
    <w:rsid w:val="38B31605"/>
    <w:rsid w:val="39003F4F"/>
    <w:rsid w:val="39050DB8"/>
    <w:rsid w:val="398E34A3"/>
    <w:rsid w:val="399778C9"/>
    <w:rsid w:val="39A040DE"/>
    <w:rsid w:val="39BF540B"/>
    <w:rsid w:val="39DF5AAD"/>
    <w:rsid w:val="3A444BF6"/>
    <w:rsid w:val="3A695377"/>
    <w:rsid w:val="3A6F6E31"/>
    <w:rsid w:val="3A7601BF"/>
    <w:rsid w:val="3AA27206"/>
    <w:rsid w:val="3AB962FE"/>
    <w:rsid w:val="3AFE1F63"/>
    <w:rsid w:val="3B1654FE"/>
    <w:rsid w:val="3B27770B"/>
    <w:rsid w:val="3B862684"/>
    <w:rsid w:val="3BAF3257"/>
    <w:rsid w:val="3BFF2436"/>
    <w:rsid w:val="3C07002B"/>
    <w:rsid w:val="3C1001A0"/>
    <w:rsid w:val="3C812E4B"/>
    <w:rsid w:val="3C942B7F"/>
    <w:rsid w:val="3CA21C38"/>
    <w:rsid w:val="3CCC763D"/>
    <w:rsid w:val="3CD236A7"/>
    <w:rsid w:val="3CFA56B4"/>
    <w:rsid w:val="3D095684"/>
    <w:rsid w:val="3D0A2E41"/>
    <w:rsid w:val="3D0D152A"/>
    <w:rsid w:val="3D0D3E49"/>
    <w:rsid w:val="3D136199"/>
    <w:rsid w:val="3D3D6D72"/>
    <w:rsid w:val="3D50689F"/>
    <w:rsid w:val="3D93326E"/>
    <w:rsid w:val="3DA52B6A"/>
    <w:rsid w:val="3DC15BF5"/>
    <w:rsid w:val="3DE73182"/>
    <w:rsid w:val="3DF62756"/>
    <w:rsid w:val="3E865668"/>
    <w:rsid w:val="3E8A248B"/>
    <w:rsid w:val="3F1B7587"/>
    <w:rsid w:val="3F2D2E17"/>
    <w:rsid w:val="3F487C50"/>
    <w:rsid w:val="3F5B5BD6"/>
    <w:rsid w:val="3F9F1F66"/>
    <w:rsid w:val="3FBF43B6"/>
    <w:rsid w:val="3FC217B1"/>
    <w:rsid w:val="3FE94F8F"/>
    <w:rsid w:val="3FF102E8"/>
    <w:rsid w:val="3FFD0A3B"/>
    <w:rsid w:val="40095632"/>
    <w:rsid w:val="400C0C7E"/>
    <w:rsid w:val="40322DDA"/>
    <w:rsid w:val="40352509"/>
    <w:rsid w:val="406665E0"/>
    <w:rsid w:val="408B4299"/>
    <w:rsid w:val="40C31C84"/>
    <w:rsid w:val="412F10C8"/>
    <w:rsid w:val="41670862"/>
    <w:rsid w:val="41A5138A"/>
    <w:rsid w:val="41BA3087"/>
    <w:rsid w:val="41E57B4F"/>
    <w:rsid w:val="41EC0D67"/>
    <w:rsid w:val="422624CB"/>
    <w:rsid w:val="42470693"/>
    <w:rsid w:val="42864D18"/>
    <w:rsid w:val="42BA70B7"/>
    <w:rsid w:val="42FE51F6"/>
    <w:rsid w:val="432F26F6"/>
    <w:rsid w:val="43880F63"/>
    <w:rsid w:val="438C2802"/>
    <w:rsid w:val="43BD0082"/>
    <w:rsid w:val="43C57AC2"/>
    <w:rsid w:val="43E50164"/>
    <w:rsid w:val="441C5A6F"/>
    <w:rsid w:val="447119F7"/>
    <w:rsid w:val="44882FDB"/>
    <w:rsid w:val="44B02520"/>
    <w:rsid w:val="44BF09B5"/>
    <w:rsid w:val="44C44FCC"/>
    <w:rsid w:val="44CC7369"/>
    <w:rsid w:val="44DF2E05"/>
    <w:rsid w:val="454943D7"/>
    <w:rsid w:val="4571330C"/>
    <w:rsid w:val="457F5108"/>
    <w:rsid w:val="45E5444B"/>
    <w:rsid w:val="45F83A10"/>
    <w:rsid w:val="462C5BD6"/>
    <w:rsid w:val="463158E2"/>
    <w:rsid w:val="46317690"/>
    <w:rsid w:val="4654337F"/>
    <w:rsid w:val="466E2692"/>
    <w:rsid w:val="46951B6B"/>
    <w:rsid w:val="46C2653A"/>
    <w:rsid w:val="47046B53"/>
    <w:rsid w:val="470E1780"/>
    <w:rsid w:val="472A2E92"/>
    <w:rsid w:val="473236C0"/>
    <w:rsid w:val="47633879"/>
    <w:rsid w:val="47835CCA"/>
    <w:rsid w:val="47C562E2"/>
    <w:rsid w:val="486C78C6"/>
    <w:rsid w:val="48DD3AFF"/>
    <w:rsid w:val="48EC3D42"/>
    <w:rsid w:val="49184B37"/>
    <w:rsid w:val="491F355C"/>
    <w:rsid w:val="493556E9"/>
    <w:rsid w:val="49997A26"/>
    <w:rsid w:val="49A34401"/>
    <w:rsid w:val="49B874AF"/>
    <w:rsid w:val="49C24032"/>
    <w:rsid w:val="49C820BA"/>
    <w:rsid w:val="4A2B43F6"/>
    <w:rsid w:val="4A3E30AB"/>
    <w:rsid w:val="4A842484"/>
    <w:rsid w:val="4AA2290B"/>
    <w:rsid w:val="4AA93C99"/>
    <w:rsid w:val="4AC14DAC"/>
    <w:rsid w:val="4AC72922"/>
    <w:rsid w:val="4B223A4B"/>
    <w:rsid w:val="4B3A0D95"/>
    <w:rsid w:val="4B3A6FE7"/>
    <w:rsid w:val="4B4E2A92"/>
    <w:rsid w:val="4B533C05"/>
    <w:rsid w:val="4B9506C1"/>
    <w:rsid w:val="4BA97CC9"/>
    <w:rsid w:val="4BB1696A"/>
    <w:rsid w:val="4C0849EF"/>
    <w:rsid w:val="4C12586E"/>
    <w:rsid w:val="4C7E4CB1"/>
    <w:rsid w:val="4C991AEB"/>
    <w:rsid w:val="4C9935F7"/>
    <w:rsid w:val="4CC36B68"/>
    <w:rsid w:val="4D05056F"/>
    <w:rsid w:val="4D154C85"/>
    <w:rsid w:val="4D1A0E7E"/>
    <w:rsid w:val="4D622825"/>
    <w:rsid w:val="4D6C7200"/>
    <w:rsid w:val="4D9218E1"/>
    <w:rsid w:val="4DA644C0"/>
    <w:rsid w:val="4E770D22"/>
    <w:rsid w:val="4E865160"/>
    <w:rsid w:val="4EB35ECE"/>
    <w:rsid w:val="4ECD3EE9"/>
    <w:rsid w:val="4F2F57E4"/>
    <w:rsid w:val="4F366FC5"/>
    <w:rsid w:val="4F3D0E54"/>
    <w:rsid w:val="501415E9"/>
    <w:rsid w:val="50357D7D"/>
    <w:rsid w:val="504601DC"/>
    <w:rsid w:val="505C7A00"/>
    <w:rsid w:val="5082250C"/>
    <w:rsid w:val="508F4E24"/>
    <w:rsid w:val="50A9420A"/>
    <w:rsid w:val="50DC2FF2"/>
    <w:rsid w:val="50ED0658"/>
    <w:rsid w:val="510460CD"/>
    <w:rsid w:val="512247A5"/>
    <w:rsid w:val="51237B2B"/>
    <w:rsid w:val="51461E90"/>
    <w:rsid w:val="51463753"/>
    <w:rsid w:val="51CB229D"/>
    <w:rsid w:val="51DD06CC"/>
    <w:rsid w:val="522E2CD6"/>
    <w:rsid w:val="523D4871"/>
    <w:rsid w:val="52553A93"/>
    <w:rsid w:val="526F57C8"/>
    <w:rsid w:val="52951651"/>
    <w:rsid w:val="52965F87"/>
    <w:rsid w:val="52F1442F"/>
    <w:rsid w:val="52FE6B4C"/>
    <w:rsid w:val="53064346"/>
    <w:rsid w:val="53521F8B"/>
    <w:rsid w:val="535B7AFB"/>
    <w:rsid w:val="53E22F47"/>
    <w:rsid w:val="54522FF8"/>
    <w:rsid w:val="545C1D7C"/>
    <w:rsid w:val="5474356A"/>
    <w:rsid w:val="547A66A6"/>
    <w:rsid w:val="54837309"/>
    <w:rsid w:val="54846AD5"/>
    <w:rsid w:val="54AD25D8"/>
    <w:rsid w:val="54B27BEE"/>
    <w:rsid w:val="54C518F3"/>
    <w:rsid w:val="553625CD"/>
    <w:rsid w:val="554250E6"/>
    <w:rsid w:val="55450629"/>
    <w:rsid w:val="556A04C9"/>
    <w:rsid w:val="557650C0"/>
    <w:rsid w:val="55AF2380"/>
    <w:rsid w:val="55B31E70"/>
    <w:rsid w:val="55CE2806"/>
    <w:rsid w:val="55DB4F23"/>
    <w:rsid w:val="56692963"/>
    <w:rsid w:val="568B0F48"/>
    <w:rsid w:val="569E5DC4"/>
    <w:rsid w:val="569F0646"/>
    <w:rsid w:val="570D55B0"/>
    <w:rsid w:val="576D42A0"/>
    <w:rsid w:val="5786217B"/>
    <w:rsid w:val="578810DA"/>
    <w:rsid w:val="57C93BCD"/>
    <w:rsid w:val="57CB52A4"/>
    <w:rsid w:val="57D367F9"/>
    <w:rsid w:val="57FF75EE"/>
    <w:rsid w:val="583A0894"/>
    <w:rsid w:val="583B361B"/>
    <w:rsid w:val="587358E6"/>
    <w:rsid w:val="58DA7713"/>
    <w:rsid w:val="58F509F1"/>
    <w:rsid w:val="592F07C9"/>
    <w:rsid w:val="593037D7"/>
    <w:rsid w:val="59337A15"/>
    <w:rsid w:val="596516D3"/>
    <w:rsid w:val="59810274"/>
    <w:rsid w:val="599C603C"/>
    <w:rsid w:val="59A56F85"/>
    <w:rsid w:val="59D10B16"/>
    <w:rsid w:val="59DF6954"/>
    <w:rsid w:val="59F111B9"/>
    <w:rsid w:val="5A36306F"/>
    <w:rsid w:val="5A5B1C29"/>
    <w:rsid w:val="5A7B0A82"/>
    <w:rsid w:val="5A957D96"/>
    <w:rsid w:val="5AA00798"/>
    <w:rsid w:val="5AAB75B9"/>
    <w:rsid w:val="5B0F5BA6"/>
    <w:rsid w:val="5B123195"/>
    <w:rsid w:val="5B280C0A"/>
    <w:rsid w:val="5B49125D"/>
    <w:rsid w:val="5B6B6D49"/>
    <w:rsid w:val="5B6D2AC1"/>
    <w:rsid w:val="5B990AD3"/>
    <w:rsid w:val="5BA30291"/>
    <w:rsid w:val="5BA364E3"/>
    <w:rsid w:val="5BF70F8E"/>
    <w:rsid w:val="5BFD7CDB"/>
    <w:rsid w:val="5C11169E"/>
    <w:rsid w:val="5C1949F7"/>
    <w:rsid w:val="5C470D42"/>
    <w:rsid w:val="5C7B120D"/>
    <w:rsid w:val="5C7B2FBB"/>
    <w:rsid w:val="5CA6628A"/>
    <w:rsid w:val="5CA96A00"/>
    <w:rsid w:val="5CAC13C7"/>
    <w:rsid w:val="5CCB5CF1"/>
    <w:rsid w:val="5CED3EB9"/>
    <w:rsid w:val="5CEE19DF"/>
    <w:rsid w:val="5CF3349A"/>
    <w:rsid w:val="5CF730BC"/>
    <w:rsid w:val="5D177188"/>
    <w:rsid w:val="5D1B4F89"/>
    <w:rsid w:val="5D2378DB"/>
    <w:rsid w:val="5D46181B"/>
    <w:rsid w:val="5D5F28DD"/>
    <w:rsid w:val="5D8F4F70"/>
    <w:rsid w:val="5D9C768D"/>
    <w:rsid w:val="5DA87DE0"/>
    <w:rsid w:val="5DB22597"/>
    <w:rsid w:val="5DBE5856"/>
    <w:rsid w:val="5DC32C8D"/>
    <w:rsid w:val="5DC77E06"/>
    <w:rsid w:val="5DE51034"/>
    <w:rsid w:val="5DE66B5A"/>
    <w:rsid w:val="5E025791"/>
    <w:rsid w:val="5E113BD7"/>
    <w:rsid w:val="5E27164D"/>
    <w:rsid w:val="5E5F0DCE"/>
    <w:rsid w:val="5E6D024E"/>
    <w:rsid w:val="5EBB7FE7"/>
    <w:rsid w:val="5F117C07"/>
    <w:rsid w:val="5F36141C"/>
    <w:rsid w:val="5F4B136B"/>
    <w:rsid w:val="5F4C0C3F"/>
    <w:rsid w:val="5F7C1524"/>
    <w:rsid w:val="5FA024CF"/>
    <w:rsid w:val="5FA40A7B"/>
    <w:rsid w:val="5FA97E40"/>
    <w:rsid w:val="5FCE5104"/>
    <w:rsid w:val="5FD56D29"/>
    <w:rsid w:val="5FEC7F3F"/>
    <w:rsid w:val="5FF46D36"/>
    <w:rsid w:val="60123C37"/>
    <w:rsid w:val="60566219"/>
    <w:rsid w:val="60B80DB8"/>
    <w:rsid w:val="60F74BC3"/>
    <w:rsid w:val="61016185"/>
    <w:rsid w:val="6151078F"/>
    <w:rsid w:val="61706E67"/>
    <w:rsid w:val="617C580C"/>
    <w:rsid w:val="617D3BF8"/>
    <w:rsid w:val="61841F6A"/>
    <w:rsid w:val="61B37CD9"/>
    <w:rsid w:val="61CB57E6"/>
    <w:rsid w:val="61E82EA1"/>
    <w:rsid w:val="61EE49A3"/>
    <w:rsid w:val="6200643D"/>
    <w:rsid w:val="62013F63"/>
    <w:rsid w:val="621E68C3"/>
    <w:rsid w:val="623007A9"/>
    <w:rsid w:val="623065F6"/>
    <w:rsid w:val="624D0F56"/>
    <w:rsid w:val="626A672E"/>
    <w:rsid w:val="62AE40EB"/>
    <w:rsid w:val="62B114E5"/>
    <w:rsid w:val="62DD052C"/>
    <w:rsid w:val="62DE3608"/>
    <w:rsid w:val="63690012"/>
    <w:rsid w:val="63737073"/>
    <w:rsid w:val="637846F9"/>
    <w:rsid w:val="637D7558"/>
    <w:rsid w:val="63A974FB"/>
    <w:rsid w:val="63B23767"/>
    <w:rsid w:val="63B533BB"/>
    <w:rsid w:val="63BD3EBA"/>
    <w:rsid w:val="63E678B4"/>
    <w:rsid w:val="643E149E"/>
    <w:rsid w:val="644F19AC"/>
    <w:rsid w:val="646A5DEF"/>
    <w:rsid w:val="64990483"/>
    <w:rsid w:val="64D07188"/>
    <w:rsid w:val="64E262CE"/>
    <w:rsid w:val="6511270F"/>
    <w:rsid w:val="65444892"/>
    <w:rsid w:val="659770C3"/>
    <w:rsid w:val="65AA4920"/>
    <w:rsid w:val="65D025CA"/>
    <w:rsid w:val="65E31D0B"/>
    <w:rsid w:val="66012783"/>
    <w:rsid w:val="66242E74"/>
    <w:rsid w:val="6635067F"/>
    <w:rsid w:val="66434B4A"/>
    <w:rsid w:val="66636F9A"/>
    <w:rsid w:val="667A530E"/>
    <w:rsid w:val="66B772E6"/>
    <w:rsid w:val="66F2031E"/>
    <w:rsid w:val="6723497B"/>
    <w:rsid w:val="67410D28"/>
    <w:rsid w:val="67513297"/>
    <w:rsid w:val="676175B2"/>
    <w:rsid w:val="67694F1E"/>
    <w:rsid w:val="67972404"/>
    <w:rsid w:val="67E91721"/>
    <w:rsid w:val="68210EBB"/>
    <w:rsid w:val="682B7F8C"/>
    <w:rsid w:val="682D3D04"/>
    <w:rsid w:val="686C320F"/>
    <w:rsid w:val="689F5992"/>
    <w:rsid w:val="68AB4C28"/>
    <w:rsid w:val="68CB7079"/>
    <w:rsid w:val="690D143F"/>
    <w:rsid w:val="69124CA8"/>
    <w:rsid w:val="69256789"/>
    <w:rsid w:val="69323A91"/>
    <w:rsid w:val="69597934"/>
    <w:rsid w:val="6984338D"/>
    <w:rsid w:val="69A51678"/>
    <w:rsid w:val="69C9180A"/>
    <w:rsid w:val="69E00902"/>
    <w:rsid w:val="69E4453A"/>
    <w:rsid w:val="6A136F29"/>
    <w:rsid w:val="6A4315BC"/>
    <w:rsid w:val="6A470981"/>
    <w:rsid w:val="6A507835"/>
    <w:rsid w:val="6B016D82"/>
    <w:rsid w:val="6B064398"/>
    <w:rsid w:val="6B1B4A57"/>
    <w:rsid w:val="6B4A24D7"/>
    <w:rsid w:val="6B52582F"/>
    <w:rsid w:val="6B8A6D77"/>
    <w:rsid w:val="6B964DDC"/>
    <w:rsid w:val="6BB169FA"/>
    <w:rsid w:val="6BB32772"/>
    <w:rsid w:val="6C1D408F"/>
    <w:rsid w:val="6C21592D"/>
    <w:rsid w:val="6C386F35"/>
    <w:rsid w:val="6C3A079D"/>
    <w:rsid w:val="6C3F7B62"/>
    <w:rsid w:val="6C783074"/>
    <w:rsid w:val="6C9D0D2C"/>
    <w:rsid w:val="6D277524"/>
    <w:rsid w:val="6D45564C"/>
    <w:rsid w:val="6D9D7236"/>
    <w:rsid w:val="6D9E65C6"/>
    <w:rsid w:val="6DA81947"/>
    <w:rsid w:val="6DAE63BF"/>
    <w:rsid w:val="6DD8026E"/>
    <w:rsid w:val="6DD864C0"/>
    <w:rsid w:val="6DFB2481"/>
    <w:rsid w:val="6E1A6AD8"/>
    <w:rsid w:val="6E361438"/>
    <w:rsid w:val="6E3F5F23"/>
    <w:rsid w:val="6E6B10E2"/>
    <w:rsid w:val="6EB66DE2"/>
    <w:rsid w:val="6EC72090"/>
    <w:rsid w:val="6ECE131C"/>
    <w:rsid w:val="6ED3075F"/>
    <w:rsid w:val="6EE3511C"/>
    <w:rsid w:val="6EF2535F"/>
    <w:rsid w:val="6EF410D7"/>
    <w:rsid w:val="6F064FA0"/>
    <w:rsid w:val="6F082A05"/>
    <w:rsid w:val="6F0926A9"/>
    <w:rsid w:val="6F1277AF"/>
    <w:rsid w:val="6F2A2D4B"/>
    <w:rsid w:val="6F655367"/>
    <w:rsid w:val="6F667AFB"/>
    <w:rsid w:val="6F8A0C1E"/>
    <w:rsid w:val="6F925F92"/>
    <w:rsid w:val="6F955253"/>
    <w:rsid w:val="6FA53B98"/>
    <w:rsid w:val="6FC767EC"/>
    <w:rsid w:val="70372B54"/>
    <w:rsid w:val="703F45D4"/>
    <w:rsid w:val="704774D5"/>
    <w:rsid w:val="70612CB7"/>
    <w:rsid w:val="70883B9D"/>
    <w:rsid w:val="70A1528F"/>
    <w:rsid w:val="71107D1F"/>
    <w:rsid w:val="71125845"/>
    <w:rsid w:val="71214843"/>
    <w:rsid w:val="713C4FB8"/>
    <w:rsid w:val="71500A63"/>
    <w:rsid w:val="715D6546"/>
    <w:rsid w:val="717464FF"/>
    <w:rsid w:val="71BE069E"/>
    <w:rsid w:val="71D21478"/>
    <w:rsid w:val="721245BB"/>
    <w:rsid w:val="72473C14"/>
    <w:rsid w:val="726C367A"/>
    <w:rsid w:val="72EE5E3E"/>
    <w:rsid w:val="72FD2525"/>
    <w:rsid w:val="730D09BA"/>
    <w:rsid w:val="732301DD"/>
    <w:rsid w:val="7346211D"/>
    <w:rsid w:val="73797DFD"/>
    <w:rsid w:val="737C5B3F"/>
    <w:rsid w:val="73942E89"/>
    <w:rsid w:val="73953409"/>
    <w:rsid w:val="73B57981"/>
    <w:rsid w:val="73B70925"/>
    <w:rsid w:val="73BE1CB4"/>
    <w:rsid w:val="73C82B32"/>
    <w:rsid w:val="73E069A3"/>
    <w:rsid w:val="73FC458A"/>
    <w:rsid w:val="740F0761"/>
    <w:rsid w:val="741B0EB4"/>
    <w:rsid w:val="74251D33"/>
    <w:rsid w:val="74525137"/>
    <w:rsid w:val="74626AE3"/>
    <w:rsid w:val="746C1710"/>
    <w:rsid w:val="748E78D8"/>
    <w:rsid w:val="74CA4688"/>
    <w:rsid w:val="74D80B53"/>
    <w:rsid w:val="74F160B9"/>
    <w:rsid w:val="75296D4B"/>
    <w:rsid w:val="75422471"/>
    <w:rsid w:val="755F3023"/>
    <w:rsid w:val="75616D9B"/>
    <w:rsid w:val="7564688B"/>
    <w:rsid w:val="757F36C5"/>
    <w:rsid w:val="7610256F"/>
    <w:rsid w:val="76143E0D"/>
    <w:rsid w:val="7625426C"/>
    <w:rsid w:val="767E397C"/>
    <w:rsid w:val="76AC04E9"/>
    <w:rsid w:val="76D55E4D"/>
    <w:rsid w:val="76DE4A7D"/>
    <w:rsid w:val="77471FC0"/>
    <w:rsid w:val="77EE068E"/>
    <w:rsid w:val="78104AA8"/>
    <w:rsid w:val="78564BB1"/>
    <w:rsid w:val="7860158C"/>
    <w:rsid w:val="786372CE"/>
    <w:rsid w:val="786C7F30"/>
    <w:rsid w:val="78CD2873"/>
    <w:rsid w:val="78D635FC"/>
    <w:rsid w:val="78E257C5"/>
    <w:rsid w:val="79167E9C"/>
    <w:rsid w:val="79246A5D"/>
    <w:rsid w:val="79261D55"/>
    <w:rsid w:val="792720A9"/>
    <w:rsid w:val="794619F6"/>
    <w:rsid w:val="794B35BE"/>
    <w:rsid w:val="799A0ACD"/>
    <w:rsid w:val="79BD47BC"/>
    <w:rsid w:val="7A4F18B8"/>
    <w:rsid w:val="7A747570"/>
    <w:rsid w:val="7A822A1F"/>
    <w:rsid w:val="7A8C2B0C"/>
    <w:rsid w:val="7AFB78D5"/>
    <w:rsid w:val="7B074BD9"/>
    <w:rsid w:val="7B0A3A31"/>
    <w:rsid w:val="7B0F54EB"/>
    <w:rsid w:val="7B3360ED"/>
    <w:rsid w:val="7B354F51"/>
    <w:rsid w:val="7B445194"/>
    <w:rsid w:val="7B656EB9"/>
    <w:rsid w:val="7BBA5457"/>
    <w:rsid w:val="7BCE2CB0"/>
    <w:rsid w:val="7BD302C6"/>
    <w:rsid w:val="7BD83B2F"/>
    <w:rsid w:val="7BDF037E"/>
    <w:rsid w:val="7BDF310F"/>
    <w:rsid w:val="7BDF77F4"/>
    <w:rsid w:val="7BF50948"/>
    <w:rsid w:val="7C7B2E38"/>
    <w:rsid w:val="7C9537CE"/>
    <w:rsid w:val="7C9A0DE4"/>
    <w:rsid w:val="7CD75C23"/>
    <w:rsid w:val="7CE66A78"/>
    <w:rsid w:val="7D0A7D18"/>
    <w:rsid w:val="7D23564C"/>
    <w:rsid w:val="7D2E4E92"/>
    <w:rsid w:val="7D3038A0"/>
    <w:rsid w:val="7D5E062D"/>
    <w:rsid w:val="7D9E439E"/>
    <w:rsid w:val="7DC91981"/>
    <w:rsid w:val="7DF76CD8"/>
    <w:rsid w:val="7DFF35F5"/>
    <w:rsid w:val="7E061175"/>
    <w:rsid w:val="7E220E0F"/>
    <w:rsid w:val="7E5C27F5"/>
    <w:rsid w:val="7E5F4018"/>
    <w:rsid w:val="7E6F077A"/>
    <w:rsid w:val="7E810D4D"/>
    <w:rsid w:val="7E9A331D"/>
    <w:rsid w:val="7EA5419C"/>
    <w:rsid w:val="7ED93E46"/>
    <w:rsid w:val="7EE2719E"/>
    <w:rsid w:val="7EFB0260"/>
    <w:rsid w:val="7F0F1615"/>
    <w:rsid w:val="7F1906E6"/>
    <w:rsid w:val="7F280929"/>
    <w:rsid w:val="7F3948E4"/>
    <w:rsid w:val="7F5B65D2"/>
    <w:rsid w:val="7F69453E"/>
    <w:rsid w:val="7F695C26"/>
    <w:rsid w:val="7FCF6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next w:val="3"/>
    <w:qFormat/>
    <w:uiPriority w:val="0"/>
    <w:pPr>
      <w:spacing w:line="360" w:lineRule="auto"/>
      <w:ind w:firstLine="560" w:firstLineChars="200"/>
      <w:jc w:val="left"/>
    </w:pPr>
    <w:rPr>
      <w:rFonts w:ascii="宋体" w:hAnsi="宋体" w:eastAsia="宋体"/>
      <w:sz w:val="28"/>
      <w:szCs w:val="20"/>
    </w:rPr>
  </w:style>
  <w:style w:type="paragraph" w:styleId="3">
    <w:name w:val="Body Text Indent"/>
    <w:basedOn w:val="1"/>
    <w:qFormat/>
    <w:uiPriority w:val="0"/>
    <w:pPr>
      <w:spacing w:after="120"/>
      <w:ind w:left="420" w:leftChars="200" w:firstLine="560" w:firstLineChars="200"/>
    </w:pPr>
    <w:rPr>
      <w:sz w:val="28"/>
    </w:r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Emphasis"/>
    <w:basedOn w:val="9"/>
    <w:qFormat/>
    <w:uiPriority w:val="0"/>
    <w:rPr>
      <w:i/>
    </w:rPr>
  </w:style>
  <w:style w:type="character" w:customStyle="1" w:styleId="11">
    <w:name w:val="页眉 Char"/>
    <w:basedOn w:val="9"/>
    <w:link w:val="6"/>
    <w:qFormat/>
    <w:uiPriority w:val="0"/>
    <w:rPr>
      <w:rFonts w:asciiTheme="minorHAnsi" w:hAnsiTheme="minorHAnsi" w:eastAsiaTheme="minorEastAsia" w:cstheme="minorBidi"/>
      <w:kern w:val="2"/>
      <w:sz w:val="18"/>
      <w:szCs w:val="18"/>
    </w:rPr>
  </w:style>
  <w:style w:type="character" w:customStyle="1" w:styleId="12">
    <w:name w:val="页脚 Char"/>
    <w:basedOn w:val="9"/>
    <w:link w:val="5"/>
    <w:qFormat/>
    <w:uiPriority w:val="0"/>
    <w:rPr>
      <w:rFonts w:asciiTheme="minorHAnsi" w:hAnsiTheme="minorHAnsi" w:eastAsiaTheme="minorEastAsia" w:cstheme="minorBidi"/>
      <w:kern w:val="2"/>
      <w:sz w:val="18"/>
      <w:szCs w:val="18"/>
    </w:rPr>
  </w:style>
  <w:style w:type="paragraph"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customXml" Target="../customXml/item1.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hart" Target="charts/chart14.xml"/><Relationship Id="rId18" Type="http://schemas.openxmlformats.org/officeDocument/2006/relationships/chart" Target="charts/chart13.xml"/><Relationship Id="rId17" Type="http://schemas.openxmlformats.org/officeDocument/2006/relationships/chart" Target="charts/chart12.xml"/><Relationship Id="rId16" Type="http://schemas.openxmlformats.org/officeDocument/2006/relationships/chart" Target="charts/chart11.xml"/><Relationship Id="rId15" Type="http://schemas.openxmlformats.org/officeDocument/2006/relationships/chart" Target="charts/chart10.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7.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13.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Workbook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Workbook14.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Workbook10.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6.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9.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8.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决算收入支出图表</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Sheet1!$A$2:$A$3</c:f>
              <c:strCache>
                <c:ptCount val="2"/>
                <c:pt idx="0">
                  <c:v>一般公共预算财政拨款收入</c:v>
                </c:pt>
                <c:pt idx="1">
                  <c:v>政府性基金预算财政拨款收入</c:v>
                </c:pt>
              </c:strCache>
            </c:strRef>
          </c:cat>
          <c:val>
            <c:numRef>
              <c:f>Sheet1!$B$2:$B$3</c:f>
              <c:numCache>
                <c:formatCode>General</c:formatCode>
                <c:ptCount val="2"/>
                <c:pt idx="0">
                  <c:v>13753.17</c:v>
                </c:pt>
                <c:pt idx="1">
                  <c:v>6137.12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商品和服务支出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Sheet1!$A$2:$A$28</c:f>
              <c:numCache>
                <c:formatCode>General</c:formatCode>
                <c:ptCount val="27"/>
                <c:pt idx="0">
                  <c:v>30201</c:v>
                </c:pt>
                <c:pt idx="1">
                  <c:v>30202</c:v>
                </c:pt>
                <c:pt idx="2">
                  <c:v>30203</c:v>
                </c:pt>
                <c:pt idx="3">
                  <c:v>30204</c:v>
                </c:pt>
                <c:pt idx="4">
                  <c:v>30205</c:v>
                </c:pt>
                <c:pt idx="5">
                  <c:v>30206</c:v>
                </c:pt>
                <c:pt idx="6">
                  <c:v>30207</c:v>
                </c:pt>
                <c:pt idx="7">
                  <c:v>30208</c:v>
                </c:pt>
                <c:pt idx="8">
                  <c:v>30209</c:v>
                </c:pt>
                <c:pt idx="9">
                  <c:v>30211</c:v>
                </c:pt>
                <c:pt idx="10">
                  <c:v>30212</c:v>
                </c:pt>
                <c:pt idx="11">
                  <c:v>30213</c:v>
                </c:pt>
                <c:pt idx="12">
                  <c:v>30214</c:v>
                </c:pt>
                <c:pt idx="13">
                  <c:v>30215</c:v>
                </c:pt>
                <c:pt idx="14">
                  <c:v>30216</c:v>
                </c:pt>
                <c:pt idx="15">
                  <c:v>30217</c:v>
                </c:pt>
                <c:pt idx="16">
                  <c:v>30218</c:v>
                </c:pt>
                <c:pt idx="17">
                  <c:v>30224</c:v>
                </c:pt>
                <c:pt idx="18">
                  <c:v>30225</c:v>
                </c:pt>
                <c:pt idx="19">
                  <c:v>30226</c:v>
                </c:pt>
                <c:pt idx="20">
                  <c:v>30227</c:v>
                </c:pt>
                <c:pt idx="21">
                  <c:v>30228</c:v>
                </c:pt>
                <c:pt idx="22">
                  <c:v>30229</c:v>
                </c:pt>
                <c:pt idx="23">
                  <c:v>30231</c:v>
                </c:pt>
                <c:pt idx="24">
                  <c:v>30239</c:v>
                </c:pt>
                <c:pt idx="25">
                  <c:v>30240</c:v>
                </c:pt>
                <c:pt idx="26">
                  <c:v>30299</c:v>
                </c:pt>
              </c:numCache>
            </c:numRef>
          </c:cat>
          <c:val>
            <c:numRef>
              <c:f>Sheet1!$B$2:$B$28</c:f>
              <c:numCache>
                <c:formatCode>General</c:formatCode>
                <c:ptCount val="27"/>
                <c:pt idx="0">
                  <c:v>4.64</c:v>
                </c:pt>
                <c:pt idx="1">
                  <c:v>0</c:v>
                </c:pt>
                <c:pt idx="2">
                  <c:v>0</c:v>
                </c:pt>
                <c:pt idx="3">
                  <c:v>0</c:v>
                </c:pt>
                <c:pt idx="4">
                  <c:v>0.02</c:v>
                </c:pt>
                <c:pt idx="5">
                  <c:v>0.21</c:v>
                </c:pt>
                <c:pt idx="6">
                  <c:v>2.97</c:v>
                </c:pt>
                <c:pt idx="7">
                  <c:v>0</c:v>
                </c:pt>
                <c:pt idx="8">
                  <c:v>0</c:v>
                </c:pt>
                <c:pt idx="9">
                  <c:v>0.63</c:v>
                </c:pt>
                <c:pt idx="10">
                  <c:v>0</c:v>
                </c:pt>
                <c:pt idx="11">
                  <c:v>0</c:v>
                </c:pt>
                <c:pt idx="12">
                  <c:v>0</c:v>
                </c:pt>
                <c:pt idx="13">
                  <c:v>0</c:v>
                </c:pt>
                <c:pt idx="14">
                  <c:v>0</c:v>
                </c:pt>
                <c:pt idx="15">
                  <c:v>0</c:v>
                </c:pt>
                <c:pt idx="16">
                  <c:v>0</c:v>
                </c:pt>
                <c:pt idx="17">
                  <c:v>0</c:v>
                </c:pt>
                <c:pt idx="18">
                  <c:v>0</c:v>
                </c:pt>
                <c:pt idx="19">
                  <c:v>0</c:v>
                </c:pt>
                <c:pt idx="20">
                  <c:v>0</c:v>
                </c:pt>
                <c:pt idx="21">
                  <c:v>3.85</c:v>
                </c:pt>
                <c:pt idx="22">
                  <c:v>0</c:v>
                </c:pt>
                <c:pt idx="23">
                  <c:v>0</c:v>
                </c:pt>
                <c:pt idx="24">
                  <c:v>17.48</c:v>
                </c:pt>
                <c:pt idx="25">
                  <c:v>0</c:v>
                </c:pt>
                <c:pt idx="26">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对个人和家庭的补助</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Sheet1!$A$2:$A$13</c:f>
              <c:numCache>
                <c:formatCode>General</c:formatCode>
                <c:ptCount val="12"/>
                <c:pt idx="0">
                  <c:v>30301</c:v>
                </c:pt>
                <c:pt idx="1">
                  <c:v>30302</c:v>
                </c:pt>
                <c:pt idx="2">
                  <c:v>30303</c:v>
                </c:pt>
                <c:pt idx="3">
                  <c:v>30304</c:v>
                </c:pt>
                <c:pt idx="4">
                  <c:v>30305</c:v>
                </c:pt>
                <c:pt idx="5">
                  <c:v>30306</c:v>
                </c:pt>
                <c:pt idx="6">
                  <c:v>30307</c:v>
                </c:pt>
                <c:pt idx="7">
                  <c:v>30308</c:v>
                </c:pt>
                <c:pt idx="8">
                  <c:v>30309</c:v>
                </c:pt>
                <c:pt idx="9">
                  <c:v>30310</c:v>
                </c:pt>
                <c:pt idx="10">
                  <c:v>30311</c:v>
                </c:pt>
                <c:pt idx="11">
                  <c:v>30399</c:v>
                </c:pt>
              </c:numCache>
            </c:numRef>
          </c:cat>
          <c:val>
            <c:numRef>
              <c:f>Sheet1!$B$2:$B$13</c:f>
              <c:numCache>
                <c:formatCode>General</c:formatCode>
                <c:ptCount val="12"/>
                <c:pt idx="0">
                  <c:v>0</c:v>
                </c:pt>
                <c:pt idx="1">
                  <c:v>0</c:v>
                </c:pt>
                <c:pt idx="2">
                  <c:v>0</c:v>
                </c:pt>
                <c:pt idx="3">
                  <c:v>0</c:v>
                </c:pt>
                <c:pt idx="4">
                  <c:v>0.58</c:v>
                </c:pt>
                <c:pt idx="5">
                  <c:v>0</c:v>
                </c:pt>
                <c:pt idx="6">
                  <c:v>0</c:v>
                </c:pt>
                <c:pt idx="7">
                  <c:v>0</c:v>
                </c:pt>
                <c:pt idx="8">
                  <c:v>0</c:v>
                </c:pt>
                <c:pt idx="9">
                  <c:v>0</c:v>
                </c:pt>
                <c:pt idx="10">
                  <c:v>0</c:v>
                </c:pt>
                <c:pt idx="1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债务利息及费用支出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Sheet1!$A$2:$A$3</c:f>
              <c:numCache>
                <c:formatCode>General</c:formatCode>
                <c:ptCount val="2"/>
                <c:pt idx="0">
                  <c:v>30701</c:v>
                </c:pt>
                <c:pt idx="1">
                  <c:v>30702</c:v>
                </c:pt>
              </c:numCache>
            </c:numRef>
          </c:cat>
          <c:val>
            <c:numRef>
              <c:f>Sheet1!$B$2:$B$3</c:f>
              <c:numCache>
                <c:formatCode>General</c:formatCode>
                <c:ptCount val="2"/>
                <c:pt idx="0">
                  <c:v>0</c:v>
                </c:pt>
                <c:pt idx="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资本性支出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Sheet1!$A$2:$A$17</c:f>
              <c:numCache>
                <c:formatCode>General</c:formatCode>
                <c:ptCount val="16"/>
                <c:pt idx="0">
                  <c:v>31001</c:v>
                </c:pt>
                <c:pt idx="1">
                  <c:v>31002</c:v>
                </c:pt>
                <c:pt idx="2">
                  <c:v>31003</c:v>
                </c:pt>
                <c:pt idx="3">
                  <c:v>31005</c:v>
                </c:pt>
                <c:pt idx="4">
                  <c:v>31006</c:v>
                </c:pt>
                <c:pt idx="5">
                  <c:v>31007</c:v>
                </c:pt>
                <c:pt idx="6">
                  <c:v>31008</c:v>
                </c:pt>
                <c:pt idx="7">
                  <c:v>31009</c:v>
                </c:pt>
                <c:pt idx="8">
                  <c:v>31010</c:v>
                </c:pt>
                <c:pt idx="9">
                  <c:v>31011</c:v>
                </c:pt>
                <c:pt idx="10">
                  <c:v>31012</c:v>
                </c:pt>
                <c:pt idx="11">
                  <c:v>31013</c:v>
                </c:pt>
                <c:pt idx="12">
                  <c:v>31019</c:v>
                </c:pt>
                <c:pt idx="13">
                  <c:v>31021</c:v>
                </c:pt>
                <c:pt idx="14">
                  <c:v>31022</c:v>
                </c:pt>
                <c:pt idx="15">
                  <c:v>31099</c:v>
                </c:pt>
              </c:numCache>
            </c:numRef>
          </c:cat>
          <c:val>
            <c:numRef>
              <c:f>Sheet1!$B$2:$B$17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Sheet1!$A$2:$A$6</c:f>
              <c:numCache>
                <c:formatCode>General</c:formatCode>
                <c:ptCount val="5"/>
                <c:pt idx="0">
                  <c:v>39907</c:v>
                </c:pt>
                <c:pt idx="1">
                  <c:v>39908</c:v>
                </c:pt>
                <c:pt idx="2">
                  <c:v>39909</c:v>
                </c:pt>
                <c:pt idx="3">
                  <c:v>39910</c:v>
                </c:pt>
                <c:pt idx="4">
                  <c:v>39999</c:v>
                </c:pt>
              </c:numCache>
            </c:numRef>
          </c:cat>
          <c:val>
            <c:numRef>
              <c:f>Sheet1!$B$2:$B$6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支出决算图表</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Sheet1!$A$2:$A$8</c:f>
              <c:strCache>
                <c:ptCount val="7"/>
                <c:pt idx="0">
                  <c:v>一般公共服务支出</c:v>
                </c:pt>
                <c:pt idx="1">
                  <c:v>社会保障和就业支出</c:v>
                </c:pt>
                <c:pt idx="2">
                  <c:v>城乡社区支出</c:v>
                </c:pt>
                <c:pt idx="3">
                  <c:v>农林水支出</c:v>
                </c:pt>
                <c:pt idx="4">
                  <c:v>资源勘探工业信息等支出</c:v>
                </c:pt>
                <c:pt idx="5">
                  <c:v>住房保障支出</c:v>
                </c:pt>
                <c:pt idx="6">
                  <c:v>其他支出</c:v>
                </c:pt>
              </c:strCache>
            </c:strRef>
          </c:cat>
          <c:val>
            <c:numRef>
              <c:f>Sheet1!$B$2:$B$8</c:f>
              <c:numCache>
                <c:formatCode>General</c:formatCode>
                <c:ptCount val="7"/>
                <c:pt idx="0">
                  <c:v>3535.46</c:v>
                </c:pt>
                <c:pt idx="1">
                  <c:v>31.35</c:v>
                </c:pt>
                <c:pt idx="2">
                  <c:v>316.7</c:v>
                </c:pt>
                <c:pt idx="3">
                  <c:v>10736.93</c:v>
                </c:pt>
                <c:pt idx="4">
                  <c:v>0</c:v>
                </c:pt>
                <c:pt idx="5">
                  <c:v>23.52</c:v>
                </c:pt>
                <c:pt idx="6">
                  <c:v>6641.62</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Sheet1!$A$2:$A$8</c:f>
              <c:strCache>
                <c:ptCount val="7"/>
                <c:pt idx="0">
                  <c:v>一般公共服务支出</c:v>
                </c:pt>
                <c:pt idx="1">
                  <c:v>社会保障和就业支出</c:v>
                </c:pt>
                <c:pt idx="2">
                  <c:v>城乡社区支出</c:v>
                </c:pt>
                <c:pt idx="3">
                  <c:v>农林水支出</c:v>
                </c:pt>
                <c:pt idx="4">
                  <c:v>资源勘探工业信息等支出</c:v>
                </c:pt>
                <c:pt idx="5">
                  <c:v>住房保障支出</c:v>
                </c:pt>
                <c:pt idx="6">
                  <c:v>其他支出</c:v>
                </c:pt>
              </c:strCache>
            </c:strRef>
          </c:cat>
          <c:val>
            <c:numRef>
              <c:f>Sheet1!$C$2:$C$8</c:f>
              <c:numCache>
                <c:formatCode>General</c:formatCode>
                <c:ptCount val="7"/>
                <c:pt idx="0">
                  <c:v>5620.59</c:v>
                </c:pt>
                <c:pt idx="1">
                  <c:v>28.87</c:v>
                </c:pt>
                <c:pt idx="2">
                  <c:v>37.12</c:v>
                </c:pt>
                <c:pt idx="3">
                  <c:v>7300</c:v>
                </c:pt>
                <c:pt idx="4">
                  <c:v>700</c:v>
                </c:pt>
                <c:pt idx="5">
                  <c:v>21.66</c:v>
                </c:pt>
                <c:pt idx="6">
                  <c:v>6182.04</c:v>
                </c:pt>
              </c:numCache>
            </c:numRef>
          </c:val>
        </c:ser>
        <c:dLbls>
          <c:showLegendKey val="0"/>
          <c:showVal val="0"/>
          <c:showCatName val="0"/>
          <c:showSerName val="0"/>
          <c:showPercent val="0"/>
          <c:showBubbleSize val="0"/>
        </c:dLbls>
        <c:gapWidth val="219"/>
        <c:overlap val="-27"/>
        <c:axId val="-172443552"/>
        <c:axId val="-172442464"/>
      </c:barChart>
      <c:catAx>
        <c:axId val="-1724435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2464"/>
        <c:crosses val="autoZero"/>
        <c:auto val="1"/>
        <c:lblAlgn val="ctr"/>
        <c:lblOffset val="100"/>
        <c:noMultiLvlLbl val="0"/>
      </c:catAx>
      <c:valAx>
        <c:axId val="-17244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一般公共服务支出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Sheet1!$A$2:$A$6</c:f>
              <c:strCache>
                <c:ptCount val="5"/>
                <c:pt idx="0">
                  <c:v>2010399</c:v>
                </c:pt>
                <c:pt idx="1">
                  <c:v>2011308</c:v>
                </c:pt>
                <c:pt idx="2">
                  <c:v>2012999</c:v>
                </c:pt>
                <c:pt idx="3">
                  <c:v>2019999</c:v>
                </c:pt>
                <c:pt idx="4">
                  <c:v>201x</c:v>
                </c:pt>
              </c:strCache>
            </c:strRef>
          </c:cat>
          <c:val>
            <c:numRef>
              <c:f>Sheet1!$B$2:$B$6</c:f>
              <c:numCache>
                <c:formatCode>General</c:formatCode>
                <c:ptCount val="5"/>
                <c:pt idx="0">
                  <c:v>5461.22</c:v>
                </c:pt>
                <c:pt idx="1">
                  <c:v>10.52</c:v>
                </c:pt>
                <c:pt idx="2">
                  <c:v>3.85</c:v>
                </c:pt>
                <c:pt idx="3">
                  <c:v>145</c:v>
                </c:pt>
                <c:pt idx="4">
                  <c:v>5620.59</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社会保障和就业支出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2080505</c:v>
                </c:pt>
                <c:pt idx="1">
                  <c:v>208x</c:v>
                </c:pt>
              </c:strCache>
            </c:strRef>
          </c:cat>
          <c:val>
            <c:numRef>
              <c:f>Sheet1!$B$2:$B$3</c:f>
              <c:numCache>
                <c:formatCode>General</c:formatCode>
                <c:ptCount val="2"/>
                <c:pt idx="0">
                  <c:v>28.87</c:v>
                </c:pt>
                <c:pt idx="1">
                  <c:v>28.87</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农林水支出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Sheet1!$A$2:$A$4</c:f>
              <c:strCache>
                <c:ptCount val="3"/>
                <c:pt idx="0">
                  <c:v>2130504</c:v>
                </c:pt>
                <c:pt idx="1">
                  <c:v>2130505</c:v>
                </c:pt>
                <c:pt idx="2">
                  <c:v>213x</c:v>
                </c:pt>
              </c:strCache>
            </c:strRef>
          </c:cat>
          <c:val>
            <c:numRef>
              <c:f>Sheet1!$B$2:$B$4</c:f>
              <c:numCache>
                <c:formatCode>General</c:formatCode>
                <c:ptCount val="3"/>
                <c:pt idx="0">
                  <c:v>3400</c:v>
                </c:pt>
                <c:pt idx="1">
                  <c:v>3900</c:v>
                </c:pt>
                <c:pt idx="2">
                  <c:v>7300</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资源勘探工业信息等支出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Sheet1!$A$2:$A$4</c:f>
              <c:strCache>
                <c:ptCount val="3"/>
                <c:pt idx="0">
                  <c:v>2150899</c:v>
                </c:pt>
                <c:pt idx="1">
                  <c:v>2159999</c:v>
                </c:pt>
                <c:pt idx="2">
                  <c:v>215x</c:v>
                </c:pt>
              </c:strCache>
            </c:strRef>
          </c:cat>
          <c:val>
            <c:numRef>
              <c:f>Sheet1!$B$2:$B$4</c:f>
              <c:numCache>
                <c:formatCode>General</c:formatCode>
                <c:ptCount val="3"/>
                <c:pt idx="0">
                  <c:v>500</c:v>
                </c:pt>
                <c:pt idx="1">
                  <c:v>200</c:v>
                </c:pt>
                <c:pt idx="2">
                  <c:v>700</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住房保障支出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2210201</c:v>
                </c:pt>
                <c:pt idx="1">
                  <c:v>221x</c:v>
                </c:pt>
              </c:strCache>
            </c:strRef>
          </c:cat>
          <c:val>
            <c:numRef>
              <c:f>Sheet1!$B$2:$B$3</c:f>
              <c:numCache>
                <c:formatCode>General</c:formatCode>
                <c:ptCount val="2"/>
                <c:pt idx="0">
                  <c:v>21.66</c:v>
                </c:pt>
                <c:pt idx="1">
                  <c:v>21.66</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2299999</c:v>
                </c:pt>
                <c:pt idx="1">
                  <c:v>229x</c:v>
                </c:pt>
              </c:strCache>
            </c:strRef>
          </c:cat>
          <c:val>
            <c:numRef>
              <c:f>Sheet1!$B$2:$B$3</c:f>
              <c:numCache>
                <c:formatCode>General</c:formatCode>
                <c:ptCount val="2"/>
                <c:pt idx="0">
                  <c:v>82.04</c:v>
                </c:pt>
                <c:pt idx="1">
                  <c:v>82.04</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工资福利支出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Sheet1!$A$2:$A$14</c:f>
              <c:numCache>
                <c:formatCode>General</c:formatCode>
                <c:ptCount val="13"/>
                <c:pt idx="0">
                  <c:v>30101</c:v>
                </c:pt>
                <c:pt idx="1">
                  <c:v>30102</c:v>
                </c:pt>
                <c:pt idx="2">
                  <c:v>30103</c:v>
                </c:pt>
                <c:pt idx="3">
                  <c:v>30106</c:v>
                </c:pt>
                <c:pt idx="4">
                  <c:v>30107</c:v>
                </c:pt>
                <c:pt idx="5">
                  <c:v>30108</c:v>
                </c:pt>
                <c:pt idx="6">
                  <c:v>30109</c:v>
                </c:pt>
                <c:pt idx="7">
                  <c:v>30110</c:v>
                </c:pt>
                <c:pt idx="8">
                  <c:v>30111</c:v>
                </c:pt>
                <c:pt idx="9">
                  <c:v>30112</c:v>
                </c:pt>
                <c:pt idx="10">
                  <c:v>30113</c:v>
                </c:pt>
                <c:pt idx="11">
                  <c:v>30114</c:v>
                </c:pt>
                <c:pt idx="12">
                  <c:v>30199</c:v>
                </c:pt>
              </c:numCache>
            </c:numRef>
          </c:cat>
          <c:val>
            <c:numRef>
              <c:f>Sheet1!$B$2:$B$14</c:f>
              <c:numCache>
                <c:formatCode>General</c:formatCode>
                <c:ptCount val="13"/>
                <c:pt idx="0">
                  <c:v>81.3</c:v>
                </c:pt>
                <c:pt idx="1">
                  <c:v>45.95</c:v>
                </c:pt>
                <c:pt idx="2">
                  <c:v>82.51</c:v>
                </c:pt>
                <c:pt idx="3">
                  <c:v>7.12</c:v>
                </c:pt>
                <c:pt idx="4">
                  <c:v>0</c:v>
                </c:pt>
                <c:pt idx="5">
                  <c:v>28.87</c:v>
                </c:pt>
                <c:pt idx="6">
                  <c:v>0</c:v>
                </c:pt>
                <c:pt idx="7">
                  <c:v>11.8</c:v>
                </c:pt>
                <c:pt idx="8">
                  <c:v>0</c:v>
                </c:pt>
                <c:pt idx="9">
                  <c:v>3.56</c:v>
                </c:pt>
                <c:pt idx="10">
                  <c:v>21.66</c:v>
                </c:pt>
                <c:pt idx="11">
                  <c:v>0</c:v>
                </c:pt>
                <c:pt idx="12">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0CACF-E88F-4774-9588-59B2C8C8876C}">
  <ds:schemaRefs/>
</ds:datastoreItem>
</file>

<file path=docProps/app.xml><?xml version="1.0" encoding="utf-8"?>
<Properties xmlns="http://schemas.openxmlformats.org/officeDocument/2006/extended-properties" xmlns:vt="http://schemas.openxmlformats.org/officeDocument/2006/docPropsVTypes">
  <Template>Normal.dotm</Template>
  <Pages>30</Pages>
  <Words>6615</Words>
  <Characters>13844</Characters>
  <Lines>90</Lines>
  <Paragraphs>25</Paragraphs>
  <TotalTime>58</TotalTime>
  <ScaleCrop>false</ScaleCrop>
  <LinksUpToDate>false</LinksUpToDate>
  <CharactersWithSpaces>13937</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2023-08-17T02:06:00Z</dcterms:created>
  <dc:creator>C D D</dc:creator>
  <cp:lastModifiedBy>Administrator</cp:lastModifiedBy>
  <dcterms:modified xsi:type="dcterms:W3CDTF">2023-11-23T09:11:08Z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1A996FCF35664BF18F4AD0A1927FEF96_13</vt:lpwstr>
  </property>
</Properties>
</file>