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rPr>
        <w:t>环江毛南族自治县糖业发展中心2022年度部门决算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ascii="黑体" w:hAnsi="黑体" w:eastAsia="黑体" w:cs="黑体"/>
          <w:sz w:val="32"/>
          <w:u w:color="auto"/>
        </w:rPr>
        <w:t>环江毛南族自治县糖业发展中心</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环江毛南族自治县糖业发展中心</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表九：财政拨款“三公”经费支出决算表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环江毛南族自治县糖业发展中心</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六、财政拨款“三公”经费支出决算情况说明。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ascii="黑体" w:hAnsi="黑体" w:eastAsia="黑体" w:cs="黑体"/>
          <w:b/>
          <w:sz w:val="32"/>
          <w:u w:color="auto"/>
        </w:rPr>
        <w:t>环江毛南族自治县糖业发展中心</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widowControl/>
        <w:spacing w:before="100" w:beforeAutospacing="1" w:after="100" w:afterAutospacing="1" w:line="360" w:lineRule="auto"/>
        <w:jc w:val="left"/>
        <w:rPr>
          <w:rFonts w:ascii="仿宋" w:hAnsi="仿宋" w:eastAsia="仿宋" w:cs="仿宋"/>
          <w:color w:val="333333"/>
          <w:kern w:val="1"/>
          <w:sz w:val="28"/>
          <w:szCs w:val="28"/>
        </w:rPr>
      </w:pPr>
      <w:r>
        <w:rPr>
          <w:rFonts w:ascii="仿宋" w:hAnsi="仿宋" w:eastAsia="仿宋" w:cs="仿宋"/>
          <w:color w:val="333333"/>
          <w:kern w:val="1"/>
          <w:sz w:val="28"/>
          <w:szCs w:val="28"/>
        </w:rPr>
        <w:t>（一）贯彻执行国家、自治区、市和自治县有关糖蔗（糖料蔗）生产发展的法律、法规、规章和方针政策，加强蔗区管理，认真履行自治县人民政府赋予糖业生产发展的管理职能。</w:t>
      </w:r>
      <w:r>
        <w:rPr>
          <w:rFonts w:ascii="仿宋" w:hAnsi="仿宋" w:eastAsia="仿宋" w:cs="仿宋"/>
          <w:color w:val="333333"/>
          <w:kern w:val="1"/>
          <w:sz w:val="28"/>
          <w:szCs w:val="28"/>
        </w:rPr>
        <w:br w:type="textWrapping"/>
      </w:r>
      <w:r>
        <w:rPr>
          <w:rFonts w:ascii="仿宋" w:hAnsi="仿宋" w:eastAsia="仿宋" w:cs="仿宋"/>
          <w:color w:val="333333"/>
          <w:kern w:val="1"/>
          <w:sz w:val="28"/>
          <w:szCs w:val="28"/>
        </w:rPr>
        <w:t xml:space="preserve"> （二）负责编制全县糖业发展规划和制定相关政策，科学规划糖业发展布局。</w:t>
      </w:r>
      <w:r>
        <w:rPr>
          <w:rFonts w:ascii="仿宋" w:hAnsi="仿宋" w:eastAsia="仿宋" w:cs="仿宋"/>
          <w:color w:val="333333"/>
          <w:kern w:val="1"/>
          <w:sz w:val="28"/>
          <w:szCs w:val="28"/>
        </w:rPr>
        <w:br w:type="textWrapping"/>
      </w:r>
      <w:r>
        <w:rPr>
          <w:rFonts w:ascii="仿宋" w:hAnsi="仿宋" w:eastAsia="仿宋" w:cs="仿宋"/>
          <w:color w:val="333333"/>
          <w:kern w:val="1"/>
          <w:sz w:val="28"/>
          <w:szCs w:val="28"/>
        </w:rPr>
        <w:t xml:space="preserve"> （三</w:t>
      </w:r>
      <w:r>
        <w:rPr>
          <w:rFonts w:hint="eastAsia" w:ascii="仿宋" w:hAnsi="仿宋" w:eastAsia="仿宋" w:cs="仿宋"/>
          <w:color w:val="333333"/>
          <w:kern w:val="1"/>
          <w:sz w:val="28"/>
          <w:szCs w:val="28"/>
          <w:lang w:val="en-US" w:eastAsia="zh-CN"/>
        </w:rPr>
        <w:t>)</w:t>
      </w:r>
      <w:r>
        <w:rPr>
          <w:rFonts w:ascii="仿宋" w:hAnsi="仿宋" w:eastAsia="仿宋" w:cs="仿宋"/>
          <w:color w:val="333333"/>
          <w:kern w:val="1"/>
          <w:sz w:val="28"/>
          <w:szCs w:val="28"/>
        </w:rPr>
        <w:t>负责蔗区糖蔗生产种植、涉蔗农资、原料蔗的砍运榨销、蔗款兑现、蔗区路维修等方面的监督管理，做好协调服务工作。</w:t>
      </w:r>
      <w:r>
        <w:rPr>
          <w:rFonts w:ascii="仿宋" w:hAnsi="仿宋" w:eastAsia="仿宋" w:cs="仿宋"/>
          <w:color w:val="333333"/>
          <w:kern w:val="1"/>
          <w:sz w:val="28"/>
          <w:szCs w:val="28"/>
        </w:rPr>
        <w:br w:type="textWrapping"/>
      </w:r>
      <w:r>
        <w:rPr>
          <w:rFonts w:ascii="仿宋" w:hAnsi="仿宋" w:eastAsia="仿宋" w:cs="仿宋"/>
          <w:color w:val="333333"/>
          <w:kern w:val="1"/>
          <w:sz w:val="28"/>
          <w:szCs w:val="28"/>
        </w:rPr>
        <w:t xml:space="preserve"> （四）负责糖蔗种子鉴定、检疫及管理；负责种苗调运和调剂；负责糖蔗新品种的引进及其对比试验；负责品种改良和结构调整，切实做好适应当地种植糖蔗品种的繁育推广和"双高"栽培技术的推广普及工作。</w:t>
      </w:r>
      <w:r>
        <w:rPr>
          <w:rFonts w:ascii="仿宋" w:hAnsi="仿宋" w:eastAsia="仿宋" w:cs="仿宋"/>
          <w:color w:val="333333"/>
          <w:kern w:val="1"/>
          <w:sz w:val="28"/>
          <w:szCs w:val="28"/>
        </w:rPr>
        <w:br w:type="textWrapping"/>
      </w:r>
      <w:r>
        <w:rPr>
          <w:rFonts w:ascii="仿宋" w:hAnsi="仿宋" w:eastAsia="仿宋" w:cs="仿宋"/>
          <w:color w:val="333333"/>
          <w:kern w:val="1"/>
          <w:sz w:val="28"/>
          <w:szCs w:val="28"/>
        </w:rPr>
        <w:t xml:space="preserve"> （五）负责全县糖蔗生产种植技术培训和技术指导工作；负责对各乡镇甘蔗站进行业务指导。</w:t>
      </w:r>
      <w:r>
        <w:rPr>
          <w:rFonts w:ascii="仿宋" w:hAnsi="仿宋" w:eastAsia="仿宋" w:cs="仿宋"/>
          <w:color w:val="333333"/>
          <w:kern w:val="1"/>
          <w:sz w:val="28"/>
          <w:szCs w:val="28"/>
        </w:rPr>
        <w:br w:type="textWrapping"/>
      </w:r>
      <w:r>
        <w:rPr>
          <w:rFonts w:ascii="仿宋" w:hAnsi="仿宋" w:eastAsia="仿宋" w:cs="仿宋"/>
          <w:color w:val="333333"/>
          <w:kern w:val="1"/>
          <w:sz w:val="28"/>
          <w:szCs w:val="28"/>
        </w:rPr>
        <w:t xml:space="preserve"> （六）负责探究实施适合我县糖蔗生产的有效管理模式；配合有关部门共同做好糖蔗产业方面的招商引资工作。</w:t>
      </w:r>
      <w:r>
        <w:rPr>
          <w:rFonts w:ascii="仿宋" w:hAnsi="仿宋" w:eastAsia="仿宋" w:cs="仿宋"/>
          <w:color w:val="333333"/>
          <w:kern w:val="1"/>
          <w:sz w:val="28"/>
          <w:szCs w:val="28"/>
        </w:rPr>
        <w:br w:type="textWrapping"/>
      </w:r>
      <w:r>
        <w:rPr>
          <w:rFonts w:ascii="仿宋" w:hAnsi="仿宋" w:eastAsia="仿宋" w:cs="仿宋"/>
          <w:color w:val="333333"/>
          <w:kern w:val="1"/>
          <w:sz w:val="28"/>
          <w:szCs w:val="28"/>
        </w:rPr>
        <w:t>（七）负责与上级业务主管部门或先进糖蔗产区开展多层次的技术交流与合作；负责糖业发展项目的组织实施。</w:t>
      </w:r>
      <w:r>
        <w:rPr>
          <w:rFonts w:ascii="仿宋" w:hAnsi="仿宋" w:eastAsia="仿宋" w:cs="仿宋"/>
          <w:color w:val="333333"/>
          <w:kern w:val="1"/>
          <w:sz w:val="28"/>
          <w:szCs w:val="28"/>
        </w:rPr>
        <w:br w:type="textWrapping"/>
      </w:r>
      <w:r>
        <w:rPr>
          <w:rFonts w:ascii="仿宋" w:hAnsi="仿宋" w:eastAsia="仿宋" w:cs="仿宋"/>
          <w:color w:val="333333"/>
          <w:kern w:val="1"/>
          <w:sz w:val="28"/>
          <w:szCs w:val="28"/>
        </w:rPr>
        <w:t xml:space="preserve"> （八）负责协调和处理制糖企业与蔗区乡镇、村、蔗农的关系，维护企业和群众的合法权益。</w:t>
      </w:r>
      <w:r>
        <w:rPr>
          <w:rFonts w:ascii="仿宋" w:hAnsi="仿宋" w:eastAsia="仿宋" w:cs="仿宋"/>
          <w:color w:val="333333"/>
          <w:kern w:val="1"/>
          <w:sz w:val="28"/>
          <w:szCs w:val="28"/>
        </w:rPr>
        <w:br w:type="textWrapping"/>
      </w:r>
      <w:r>
        <w:rPr>
          <w:rFonts w:ascii="仿宋" w:hAnsi="仿宋" w:eastAsia="仿宋" w:cs="仿宋"/>
          <w:color w:val="333333"/>
          <w:kern w:val="1"/>
          <w:sz w:val="28"/>
          <w:szCs w:val="28"/>
        </w:rPr>
        <w:t>（九）会同自治县人民政府有关部门做好原料蔗收购价格的测定工作，并督促检查制糖企业在原料蔗收购价格上的执行情况。</w:t>
      </w:r>
      <w:r>
        <w:rPr>
          <w:rFonts w:ascii="仿宋" w:hAnsi="仿宋" w:eastAsia="仿宋" w:cs="仿宋"/>
          <w:color w:val="333333"/>
          <w:kern w:val="1"/>
          <w:sz w:val="28"/>
          <w:szCs w:val="28"/>
        </w:rPr>
        <w:br w:type="textWrapping"/>
      </w:r>
      <w:r>
        <w:rPr>
          <w:rFonts w:ascii="仿宋" w:hAnsi="仿宋" w:eastAsia="仿宋" w:cs="仿宋"/>
          <w:color w:val="333333"/>
          <w:kern w:val="1"/>
          <w:sz w:val="28"/>
          <w:szCs w:val="28"/>
        </w:rPr>
        <w:t xml:space="preserve"> </w:t>
      </w:r>
      <w:r>
        <w:rPr>
          <w:rFonts w:hint="eastAsia" w:ascii="仿宋" w:hAnsi="仿宋" w:eastAsia="仿宋" w:cs="仿宋"/>
          <w:color w:val="333333"/>
          <w:kern w:val="1"/>
          <w:sz w:val="28"/>
          <w:szCs w:val="28"/>
          <w:lang w:val="en-US" w:eastAsia="zh-CN"/>
        </w:rPr>
        <w:t>(</w:t>
      </w:r>
      <w:r>
        <w:rPr>
          <w:rFonts w:ascii="仿宋" w:hAnsi="仿宋" w:eastAsia="仿宋" w:cs="仿宋"/>
          <w:color w:val="333333"/>
          <w:kern w:val="1"/>
          <w:sz w:val="28"/>
          <w:szCs w:val="28"/>
        </w:rPr>
        <w:t>十）负责完成全县高产高糖糖料蔗基地建设的相关工作。</w:t>
      </w:r>
      <w:r>
        <w:rPr>
          <w:rFonts w:hint="eastAsia" w:ascii="仿宋" w:hAnsi="仿宋" w:eastAsia="仿宋" w:cs="仿宋"/>
          <w:color w:val="333333"/>
          <w:kern w:val="1"/>
          <w:sz w:val="28"/>
          <w:szCs w:val="28"/>
          <w:lang w:val="en-US" w:eastAsia="zh-CN"/>
        </w:rPr>
        <w:t xml:space="preserve">         </w:t>
      </w:r>
      <w:r>
        <w:rPr>
          <w:rFonts w:ascii="仿宋" w:hAnsi="仿宋" w:eastAsia="仿宋" w:cs="仿宋"/>
          <w:color w:val="333333"/>
          <w:kern w:val="1"/>
          <w:sz w:val="28"/>
          <w:szCs w:val="28"/>
        </w:rPr>
        <w:t>（十一）承办自治县人民政府交办的其他事项。</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tbl>
      <w:tblPr>
        <w:tblStyle w:val="6"/>
        <w:tblW w:w="869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1"/>
        <w:gridCol w:w="3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52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0" w:beforeAutospacing="0" w:after="0" w:afterAutospacing="0" w:line="520" w:lineRule="exact"/>
              <w:ind w:left="0" w:right="0"/>
              <w:jc w:val="left"/>
              <w:rPr>
                <w:rFonts w:hint="eastAsia" w:ascii="仿宋" w:hAnsi="仿宋" w:eastAsia="仿宋" w:cs="仿宋"/>
                <w:b/>
                <w:color w:val="auto"/>
                <w:kern w:val="0"/>
                <w:sz w:val="32"/>
                <w:szCs w:val="32"/>
              </w:rPr>
            </w:pPr>
            <w:bookmarkStart w:id="0" w:name="_Hlk109379180"/>
            <w:r>
              <w:rPr>
                <w:rFonts w:hint="eastAsia" w:ascii="仿宋" w:hAnsi="仿宋" w:eastAsia="仿宋" w:cs="仿宋"/>
                <w:b/>
                <w:color w:val="auto"/>
                <w:kern w:val="0"/>
                <w:sz w:val="32"/>
                <w:szCs w:val="32"/>
              </w:rPr>
              <w:t>单位名称</w:t>
            </w:r>
          </w:p>
        </w:tc>
        <w:tc>
          <w:tcPr>
            <w:tcW w:w="3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0" w:beforeAutospacing="0" w:after="0" w:afterAutospacing="0" w:line="520" w:lineRule="exact"/>
              <w:ind w:left="0" w:right="0"/>
              <w:jc w:val="left"/>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525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left"/>
              <w:rPr>
                <w:rFonts w:hint="eastAsia" w:ascii="仿宋" w:hAnsi="仿宋" w:eastAsia="仿宋" w:cs="仿宋"/>
                <w:sz w:val="32"/>
                <w:szCs w:val="32"/>
              </w:rPr>
            </w:pPr>
            <w:r>
              <w:rPr>
                <w:rFonts w:hint="eastAsia" w:ascii="仿宋" w:hAnsi="仿宋" w:eastAsia="仿宋" w:cs="仿宋"/>
                <w:b w:val="0"/>
                <w:bCs w:val="0"/>
                <w:sz w:val="30"/>
                <w:szCs w:val="30"/>
                <w:highlight w:val="none"/>
                <w:lang w:val="en-US" w:eastAsia="zh-CN"/>
              </w:rPr>
              <w:t>环江毛南族自治县糖业发展中心</w:t>
            </w:r>
          </w:p>
        </w:tc>
        <w:tc>
          <w:tcPr>
            <w:tcW w:w="344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left"/>
              <w:rPr>
                <w:rFonts w:hint="eastAsia" w:ascii="仿宋" w:hAnsi="仿宋" w:eastAsia="仿宋" w:cs="仿宋"/>
                <w:sz w:val="32"/>
                <w:szCs w:val="32"/>
              </w:rPr>
            </w:pPr>
            <w:r>
              <w:rPr>
                <w:rFonts w:hint="eastAsia" w:ascii="仿宋" w:hAnsi="仿宋" w:eastAsia="仿宋" w:cs="仿宋"/>
                <w:sz w:val="32"/>
                <w:szCs w:val="32"/>
                <w:lang w:val="en-US" w:eastAsia="zh-CN"/>
              </w:rPr>
              <w:t>公益一类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52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sz w:val="32"/>
                <w:szCs w:val="32"/>
              </w:rPr>
            </w:pPr>
          </w:p>
        </w:tc>
        <w:tc>
          <w:tcPr>
            <w:tcW w:w="3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sz w:val="32"/>
                <w:szCs w:val="32"/>
              </w:rPr>
            </w:pPr>
          </w:p>
        </w:tc>
      </w:tr>
      <w:bookmarkEnd w:id="0"/>
    </w:tbl>
    <w:p>
      <w:pPr>
        <w:ind w:firstLine="640" w:firstLineChars="200"/>
        <w:jc w:val="left"/>
        <w:rPr>
          <w:rFonts w:hint="eastAsia" w:ascii="仿宋" w:hAnsi="仿宋" w:eastAsia="仿宋" w:cs="仿宋"/>
          <w:sz w:val="32"/>
          <w:szCs w:val="32"/>
        </w:rPr>
      </w:pPr>
    </w:p>
    <w:p>
      <w:pPr>
        <w:jc w:val="center"/>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jc w:val="both"/>
        <w:rPr>
          <w:rFonts w:hint="default" w:ascii="黑体" w:hAnsi="黑体" w:eastAsia="黑体" w:cs="黑体"/>
          <w:sz w:val="32"/>
          <w:szCs w:val="32"/>
          <w:highlight w:val="none"/>
          <w:lang w:val="en-US" w:eastAsia="zh-CN"/>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环江毛南族自治县糖业发展中心</w:t>
      </w:r>
      <w:bookmarkStart w:id="7" w:name="_GoBack"/>
      <w:bookmarkEnd w:id="7"/>
      <w:r>
        <w:rPr>
          <w:rFonts w:hint="eastAsia" w:ascii="黑体" w:hAnsi="黑体" w:eastAsia="黑体" w:cs="黑体"/>
          <w:sz w:val="32"/>
          <w:szCs w:val="32"/>
          <w:highlight w:val="none"/>
        </w:rPr>
        <w:t>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广西河池市环江毛南族自治县糖业发展中心</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219.23</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2.83</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18.60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147.66</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15.21</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34.94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219.23</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219.23</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219.23</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219.23</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广西河池市环江毛南族自治县糖业发展中心</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219.23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219.23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18.60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18.60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18.60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18.60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18.60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18.60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农林水支出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147.66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147.66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农业农村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147.66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147.66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2130104</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事业运行</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147.66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147.66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15.21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15.21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15.21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15.21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15.21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15.21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34.94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34.94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34.94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34.94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34.94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34.94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广西河池市环江毛南族自治县糖业发展中心</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219.23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212.88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6.36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18.60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18.60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18.60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18.60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18.60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18.60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农林水支出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147.66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141.30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6.36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农业农村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147.66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141.30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6.36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2130104</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事业运行</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147.66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141.30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6.36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15.21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15.21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15.21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15.21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15.21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15.21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34.94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34.94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34.94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34.94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34.94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34.94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广西河池市环江毛南族自治县糖业发展中心</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219.23</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2.83</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18.60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18.60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147.66</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147.66</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15.21</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15.21</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34.94</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34.94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219.23</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219.23</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219.23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219.23</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219.23</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219.23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广西河池市环江毛南族自治县糖业发展中心</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219.23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212.88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6.36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2.83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2.83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2.83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2.83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2.83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2.83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18.60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18.60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18.60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18.60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18.60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18.60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农林水支出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147.66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141.30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6.36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21301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农业农村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147.66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141.30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6.36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2130104</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事业运行</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147.66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141.30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6.36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15.21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15.21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15.21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15.21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15.21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15.21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34.94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34.94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34.94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34.94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34.94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34.94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广西河池市环江毛南族自治县糖业发展中心</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1" w:name="OLE_LINK4"/>
            <w:bookmarkStart w:id="2" w:name="OLE_LINK3"/>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189.25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12.62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58.58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23.72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51.26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9.89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0.18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18.60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0.16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4.95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15.21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2.88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11.01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11.01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2.83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6.10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1"/>
          <w:bookmarkEnd w:id="2"/>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200.26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12.62</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广西河池市环江毛南族自治县糖业发展中心</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本部门</w:t>
            </w:r>
            <w:r>
              <w:rPr>
                <w:rFonts w:hint="default" w:ascii="宋体" w:hAnsi="宋体" w:eastAsia="宋体" w:cs="宋体"/>
                <w:color w:val="000000"/>
                <w:kern w:val="0"/>
                <w:sz w:val="22"/>
                <w:szCs w:val="22"/>
                <w:highlight w:val="none"/>
                <w:lang w:val="en-US" w:eastAsia="zh-CN" w:bidi="ar"/>
              </w:rPr>
              <w:t>2022</w:t>
            </w:r>
            <w:r>
              <w:rPr>
                <w:rFonts w:hint="eastAsia" w:ascii="宋体" w:hAnsi="宋体" w:eastAsia="宋体" w:cs="宋体"/>
                <w:color w:val="000000"/>
                <w:kern w:val="0"/>
                <w:sz w:val="22"/>
                <w:szCs w:val="22"/>
                <w:highlight w:val="none"/>
                <w:lang w:val="en-US" w:eastAsia="zh-CN" w:bidi="ar"/>
              </w:rPr>
              <w:t>年度没有政府性基金预算财政拨款收入，也没有政府性基金预算财政拨款安排的支出，故本表无数据。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广西河池市环江毛南族自治县糖业发展中心</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本部门</w:t>
      </w:r>
      <w:r>
        <w:rPr>
          <w:rFonts w:hint="default" w:ascii="宋体" w:hAnsi="宋体" w:eastAsia="宋体" w:cs="宋体"/>
          <w:color w:val="000000"/>
          <w:kern w:val="0"/>
          <w:sz w:val="22"/>
          <w:szCs w:val="22"/>
          <w:highlight w:val="none"/>
          <w:lang w:val="en-US" w:eastAsia="zh-CN" w:bidi="ar"/>
        </w:rPr>
        <w:t>2022</w:t>
      </w:r>
      <w:r>
        <w:rPr>
          <w:rFonts w:hint="eastAsia" w:ascii="宋体" w:hAnsi="宋体" w:eastAsia="宋体" w:cs="宋体"/>
          <w:color w:val="000000"/>
          <w:kern w:val="0"/>
          <w:sz w:val="22"/>
          <w:szCs w:val="22"/>
          <w:highlight w:val="none"/>
          <w:lang w:val="en-US" w:eastAsia="zh-CN" w:bidi="ar"/>
        </w:rPr>
        <w:t>年度没有国有资本经营预算财政拨款收入，也没有国有资本经营预算财政拨款安排的支出，故本表无数据。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广西河池市环江毛南族自治县糖业发展中心</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default"/>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本部门</w:t>
            </w:r>
            <w:r>
              <w:rPr>
                <w:rFonts w:hint="default" w:ascii="宋体" w:hAnsi="宋体" w:eastAsia="宋体" w:cs="宋体"/>
                <w:color w:val="000000"/>
                <w:kern w:val="0"/>
                <w:sz w:val="22"/>
                <w:szCs w:val="22"/>
                <w:highlight w:val="none"/>
                <w:lang w:val="en-US" w:eastAsia="zh-CN" w:bidi="ar"/>
              </w:rPr>
              <w:t>2022</w:t>
            </w:r>
            <w:r>
              <w:rPr>
                <w:rFonts w:hint="eastAsia" w:ascii="宋体" w:hAnsi="宋体" w:eastAsia="宋体" w:cs="宋体"/>
                <w:color w:val="000000"/>
                <w:kern w:val="0"/>
                <w:sz w:val="22"/>
                <w:szCs w:val="22"/>
                <w:highlight w:val="none"/>
                <w:lang w:val="en-US" w:eastAsia="zh-CN" w:bidi="ar"/>
              </w:rPr>
              <w:t>年度没有财政拨款“三公”经费收入，也没有财政拨款“三公”经费安排的支出，故本表无数据。</w:t>
            </w: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环江毛南族自治县糖业发展中心</w:t>
      </w:r>
      <w:r>
        <w:rPr>
          <w:rFonts w:hint="eastAsia" w:ascii="黑体" w:hAnsi="黑体" w:eastAsia="黑体" w:cs="黑体"/>
          <w:sz w:val="32"/>
          <w:szCs w:val="32"/>
          <w:highlight w:val="none"/>
        </w:rPr>
        <w:t>2022年度</w:t>
      </w: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ascii="仿宋" w:hAnsi="仿宋" w:eastAsia="仿宋" w:cs="仿宋"/>
          <w:sz w:val="32"/>
          <w:u w:color="auto"/>
        </w:rPr>
        <w:t>219.23</w:t>
      </w:r>
      <w:r>
        <w:rPr>
          <w:rFonts w:hint="eastAsia" w:ascii="仿宋" w:hAnsi="仿宋" w:eastAsia="仿宋" w:cs="仿宋"/>
          <w:sz w:val="32"/>
          <w:szCs w:val="32"/>
          <w:highlight w:val="none"/>
        </w:rPr>
        <w:t>万元，较2021年度决算数</w:t>
      </w:r>
      <w:r>
        <w:rPr>
          <w:rFonts w:ascii="仿宋" w:hAnsi="仿宋" w:eastAsia="仿宋" w:cs="仿宋"/>
          <w:sz w:val="32"/>
          <w:u w:color="auto"/>
        </w:rPr>
        <w:t>减少58.23</w:t>
      </w:r>
      <w:r>
        <w:rPr>
          <w:rFonts w:hint="eastAsia" w:ascii="仿宋" w:hAnsi="仿宋" w:eastAsia="仿宋" w:cs="仿宋"/>
          <w:sz w:val="32"/>
          <w:szCs w:val="32"/>
          <w:highlight w:val="none"/>
        </w:rPr>
        <w:t>万元，</w:t>
      </w:r>
      <w:r>
        <w:rPr>
          <w:rFonts w:ascii="仿宋" w:hAnsi="仿宋" w:eastAsia="仿宋" w:cs="仿宋"/>
          <w:sz w:val="32"/>
          <w:u w:color="auto"/>
        </w:rPr>
        <w:t>下降20.99%</w:t>
      </w:r>
      <w:r>
        <w:rPr>
          <w:rFonts w:hint="eastAsia" w:ascii="仿宋" w:hAnsi="仿宋" w:eastAsia="仿宋" w:cs="仿宋"/>
          <w:sz w:val="32"/>
          <w:szCs w:val="32"/>
          <w:highlight w:val="none"/>
        </w:rPr>
        <w:t>，其中本年收入</w:t>
      </w:r>
      <w:r>
        <w:rPr>
          <w:rFonts w:ascii="仿宋" w:hAnsi="仿宋" w:eastAsia="仿宋" w:cs="仿宋"/>
          <w:sz w:val="32"/>
          <w:u w:color="auto"/>
        </w:rPr>
        <w:t>219.23</w:t>
      </w:r>
      <w:r>
        <w:rPr>
          <w:rFonts w:hint="eastAsia" w:ascii="仿宋" w:hAnsi="仿宋" w:eastAsia="仿宋" w:cs="仿宋"/>
          <w:sz w:val="32"/>
          <w:szCs w:val="32"/>
          <w:highlight w:val="none"/>
        </w:rPr>
        <w:t>万元。收入具体情况如下。</w:t>
      </w:r>
    </w:p>
    <w:p>
      <w:pPr>
        <w:autoSpaceDE w:val="0"/>
        <w:autoSpaceDN w:val="0"/>
        <w:adjustRightInd w:val="0"/>
        <w:spacing w:line="560" w:lineRule="exact"/>
        <w:ind w:firstLine="627" w:firstLineChars="196"/>
        <w:jc w:val="left"/>
        <w:rPr>
          <w:rFonts w:hint="eastAsia" w:ascii="仿宋_GB2312" w:hAnsi="黑体" w:eastAsia="仿宋_GB2312" w:cs="仿宋_GB2312"/>
          <w:kern w:val="0"/>
          <w:sz w:val="32"/>
          <w:szCs w:val="32"/>
        </w:rPr>
      </w:pPr>
      <w:r>
        <w:rPr>
          <w:rFonts w:hint="eastAsia" w:ascii="仿宋" w:hAnsi="仿宋" w:eastAsia="仿宋" w:cs="仿宋"/>
          <w:kern w:val="2"/>
          <w:sz w:val="32"/>
          <w:szCs w:val="32"/>
          <w:highlight w:val="none"/>
          <w:lang w:val="en-US" w:eastAsia="zh-CN" w:bidi="ar"/>
        </w:rPr>
        <w:t>1.一般公共预算财政拨款收入</w:t>
      </w:r>
      <w:r>
        <w:rPr>
          <w:rFonts w:ascii="仿宋" w:hAnsi="仿宋" w:eastAsia="仿宋" w:cs="仿宋"/>
          <w:sz w:val="32"/>
          <w:u w:color="auto"/>
        </w:rPr>
        <w:t>219.23</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减少38.25</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下降14.86%</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_GB2312" w:hAnsi="黑体" w:eastAsia="仿宋_GB2312" w:cs="仿宋_GB2312"/>
          <w:kern w:val="0"/>
          <w:sz w:val="32"/>
          <w:szCs w:val="32"/>
        </w:rPr>
        <w:t>主要原因是</w:t>
      </w:r>
      <w:r>
        <w:rPr>
          <w:rFonts w:hint="eastAsia" w:ascii="仿宋_GB2312" w:hAnsi="仿宋_GB2312" w:eastAsia="仿宋_GB2312" w:cs="仿宋_GB2312"/>
          <w:kern w:val="0"/>
          <w:sz w:val="32"/>
          <w:szCs w:val="32"/>
          <w:highlight w:val="none"/>
          <w:lang w:eastAsia="zh-CN"/>
        </w:rPr>
        <w:t>项目有所减少</w:t>
      </w:r>
      <w:r>
        <w:rPr>
          <w:rFonts w:hint="eastAsia" w:ascii="仿宋_GB2312" w:hAnsi="黑体" w:eastAsia="仿宋_GB2312" w:cs="仿宋_GB2312"/>
          <w:kern w:val="0"/>
          <w:sz w:val="32"/>
          <w:szCs w:val="32"/>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w:t>
      </w:r>
      <w:r>
        <w:rPr>
          <w:rFonts w:ascii="仿宋" w:hAnsi="仿宋" w:eastAsia="仿宋" w:cs="仿宋"/>
          <w:color w:val="auto"/>
          <w:sz w:val="32"/>
          <w:u w:color="auto"/>
        </w:rPr>
        <w:t>0%</w:t>
      </w:r>
      <w:r>
        <w:rPr>
          <w:rFonts w:hint="eastAsia" w:ascii="仿宋" w:hAnsi="仿宋" w:eastAsia="仿宋" w:cs="仿宋"/>
          <w:color w:val="auto"/>
          <w:kern w:val="2"/>
          <w:sz w:val="32"/>
          <w:szCs w:val="32"/>
          <w:highlight w:val="none"/>
          <w:lang w:val="en-US" w:eastAsia="zh-CN" w:bidi="ar"/>
        </w:rPr>
        <w:t>，主要原因：无。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w:t>
      </w:r>
      <w:r>
        <w:rPr>
          <w:rFonts w:hint="eastAsia" w:ascii="仿宋" w:hAnsi="仿宋" w:eastAsia="仿宋" w:cs="仿宋"/>
          <w:color w:val="auto"/>
          <w:kern w:val="2"/>
          <w:sz w:val="32"/>
          <w:szCs w:val="32"/>
          <w:highlight w:val="none"/>
          <w:lang w:val="en-US" w:eastAsia="zh-CN" w:bidi="ar"/>
        </w:rPr>
        <w:t>年拨付的资金。较2021年度决算数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4.上级补助收入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万元，为上级部门当年拨付的资金。</w:t>
      </w:r>
      <w:r>
        <w:rPr>
          <w:rFonts w:hint="eastAsia" w:ascii="仿宋" w:hAnsi="仿宋" w:eastAsia="仿宋" w:cs="仿宋"/>
          <w:color w:val="auto"/>
          <w:kern w:val="2"/>
          <w:sz w:val="32"/>
          <w:szCs w:val="32"/>
          <w:highlight w:val="none"/>
          <w:lang w:val="en-US" w:eastAsia="zh-CN" w:bidi="ar"/>
        </w:rPr>
        <w:t>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，主要原因是：本单位没有上级补助收入。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5.事业收入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万元，为事业单位开展业务活动取得的收入。较2021年度决算数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，主要原因是：本单位没有事业收入。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6.经营收入0.00万,为事业单位在业务活动之外开展非独立核算经营活动取得的收入。较2021年度决算数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，主要原因是：本单位没有经营性收入。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7.附属单位上缴收入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8.其他收入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，主要原因是：本单位没有其他收入。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w:t>
      </w:r>
      <w:r>
        <w:rPr>
          <w:rFonts w:hint="eastAsia" w:ascii="仿宋" w:hAnsi="仿宋" w:eastAsia="仿宋" w:cs="仿宋"/>
          <w:color w:val="auto"/>
          <w:kern w:val="2"/>
          <w:sz w:val="32"/>
          <w:szCs w:val="32"/>
          <w:highlight w:val="none"/>
          <w:lang w:val="en-US" w:eastAsia="zh-CN" w:bidi="ar"/>
        </w:rPr>
        <w:t>资金。较2021年度决算数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10.上年结转和结余</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color w:val="auto"/>
          <w:sz w:val="32"/>
          <w:u w:color="auto"/>
        </w:rPr>
        <w:t>减少19.98</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下降100.00%</w:t>
      </w:r>
      <w:r>
        <w:rPr>
          <w:rFonts w:hint="eastAsia" w:ascii="仿宋" w:hAnsi="仿宋" w:eastAsia="仿宋" w:cs="仿宋"/>
          <w:color w:val="auto"/>
          <w:kern w:val="2"/>
          <w:sz w:val="32"/>
          <w:szCs w:val="32"/>
          <w:highlight w:val="none"/>
          <w:lang w:val="en-US" w:eastAsia="zh-CN" w:bidi="ar"/>
        </w:rPr>
        <w:t>，主要原因：部分项目已在本年执行完毕，不需要结转至下年继续执行。</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537710" cy="2896870"/>
            <wp:effectExtent l="4445" t="4445" r="10795" b="1333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ascii="仿宋" w:hAnsi="仿宋" w:eastAsia="仿宋" w:cs="仿宋"/>
          <w:sz w:val="32"/>
          <w:u w:color="auto"/>
        </w:rPr>
        <w:t>219.23</w:t>
      </w:r>
      <w:r>
        <w:rPr>
          <w:rFonts w:hint="eastAsia" w:ascii="仿宋" w:hAnsi="仿宋" w:eastAsia="仿宋" w:cs="仿宋"/>
          <w:sz w:val="32"/>
          <w:szCs w:val="32"/>
          <w:highlight w:val="none"/>
        </w:rPr>
        <w:t>万元，其中本年支出</w:t>
      </w:r>
      <w:r>
        <w:rPr>
          <w:rFonts w:ascii="仿宋" w:hAnsi="仿宋" w:eastAsia="仿宋" w:cs="仿宋"/>
          <w:sz w:val="32"/>
          <w:u w:color="auto"/>
        </w:rPr>
        <w:t>219.23</w:t>
      </w:r>
      <w:r>
        <w:rPr>
          <w:rFonts w:hint="eastAsia" w:ascii="仿宋" w:hAnsi="仿宋" w:eastAsia="仿宋" w:cs="仿宋"/>
          <w:sz w:val="32"/>
          <w:szCs w:val="32"/>
          <w:highlight w:val="none"/>
        </w:rPr>
        <w:t>万元，较2021年度决算数</w:t>
      </w:r>
      <w:r>
        <w:rPr>
          <w:rFonts w:ascii="仿宋" w:hAnsi="仿宋" w:eastAsia="仿宋" w:cs="仿宋"/>
          <w:sz w:val="32"/>
          <w:u w:color="auto"/>
        </w:rPr>
        <w:t>减少58.23</w:t>
      </w:r>
      <w:r>
        <w:rPr>
          <w:rFonts w:hint="eastAsia" w:ascii="仿宋" w:hAnsi="仿宋" w:eastAsia="仿宋" w:cs="仿宋"/>
          <w:sz w:val="32"/>
          <w:szCs w:val="32"/>
          <w:highlight w:val="none"/>
        </w:rPr>
        <w:t>万元，</w:t>
      </w:r>
      <w:r>
        <w:rPr>
          <w:rFonts w:ascii="仿宋" w:hAnsi="仿宋" w:eastAsia="仿宋" w:cs="仿宋"/>
          <w:sz w:val="32"/>
          <w:u w:color="auto"/>
        </w:rPr>
        <w:t>下降20.99%</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bidi="ar"/>
        </w:rPr>
        <w:t>一般公共服务支出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2.83</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单位转入总工会经费</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增加2.83</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增长100%</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主要原因是：2021年工会经费未列入公共服务费。</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sz w:val="32"/>
          <w:szCs w:val="32"/>
          <w:highlight w:val="none"/>
        </w:rPr>
        <w:t>2</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社会保障和就业支出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208</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18.60</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rPr>
        <w:t>干部职工养老保险、医疗保险和工伤保险等社会保障资金</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减少0.29</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下降1.54%</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主要原因是：有人员退休。</w:t>
      </w:r>
    </w:p>
    <w:p>
      <w:pPr>
        <w:spacing w:line="560" w:lineRule="exact"/>
        <w:ind w:firstLine="640"/>
        <w:jc w:val="left"/>
        <w:rPr>
          <w:rFonts w:hint="eastAsia" w:ascii="仿宋" w:hAnsi="仿宋" w:eastAsia="仿宋" w:cs="仿宋"/>
          <w:sz w:val="32"/>
          <w:szCs w:val="32"/>
        </w:rPr>
      </w:pPr>
      <w:r>
        <w:rPr>
          <w:rFonts w:hint="eastAsia" w:ascii="仿宋" w:hAnsi="仿宋" w:eastAsia="仿宋" w:cs="仿宋"/>
          <w:color w:val="auto"/>
          <w:sz w:val="32"/>
          <w:szCs w:val="32"/>
          <w:highlight w:val="none"/>
        </w:rPr>
        <w:t>3</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农林水支出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213</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147.66</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rPr>
        <w:t>干部职工的基本工资、各项津贴补贴和绩</w:t>
      </w:r>
      <w:r>
        <w:rPr>
          <w:rFonts w:hint="eastAsia" w:ascii="仿宋" w:hAnsi="仿宋" w:eastAsia="仿宋" w:cs="仿宋"/>
          <w:sz w:val="32"/>
          <w:szCs w:val="32"/>
        </w:rPr>
        <w:t>效工资；开展糖蔗产业生产工作发生的各项经费</w:t>
      </w:r>
      <w:r>
        <w:rPr>
          <w:rFonts w:hint="eastAsia" w:ascii="仿宋" w:hAnsi="仿宋" w:eastAsia="仿宋" w:cs="仿宋"/>
          <w:sz w:val="32"/>
          <w:szCs w:val="32"/>
          <w:lang w:eastAsia="zh-CN"/>
        </w:rPr>
        <w:t>等</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减少33.17</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下降18.34%</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sz w:val="32"/>
          <w:szCs w:val="32"/>
        </w:rPr>
        <w:t>高产高糖糖料蔗基地建设项目有所减少。</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sz w:val="32"/>
          <w:szCs w:val="32"/>
          <w:highlight w:val="none"/>
        </w:rPr>
        <w:t>4</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15.21</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default" w:ascii="仿宋_GB2312" w:hAnsi="微软雅黑" w:eastAsia="仿宋_GB2312" w:cs="仿宋_GB2312"/>
          <w:i w:val="0"/>
          <w:iCs w:val="0"/>
          <w:caps w:val="0"/>
          <w:color w:val="333333"/>
          <w:spacing w:val="0"/>
          <w:sz w:val="30"/>
          <w:szCs w:val="30"/>
        </w:rPr>
        <w:t>本部门及所属</w:t>
      </w:r>
      <w:r>
        <w:rPr>
          <w:rFonts w:hint="default" w:ascii="仿宋_GB2312" w:hAnsi="微软雅黑" w:eastAsia="仿宋_GB2312" w:cs="仿宋_GB2312"/>
          <w:i w:val="0"/>
          <w:iCs w:val="0"/>
          <w:caps w:val="0"/>
          <w:color w:val="auto"/>
          <w:spacing w:val="0"/>
          <w:sz w:val="30"/>
          <w:szCs w:val="30"/>
        </w:rPr>
        <w:t>事业单位按规定的比例计缴的住房公积金</w:t>
      </w:r>
      <w:r>
        <w:rPr>
          <w:rFonts w:hint="eastAsia" w:ascii="仿宋" w:hAnsi="仿宋" w:eastAsia="仿宋" w:cs="仿宋"/>
          <w:color w:val="auto"/>
          <w:sz w:val="30"/>
          <w:szCs w:val="30"/>
          <w:highlight w:val="none"/>
        </w:rPr>
        <w:t>。</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增加0.16</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增长1.06%</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主要原因是：公积金基数有所增加。</w:t>
      </w:r>
    </w:p>
    <w:p>
      <w:pPr>
        <w:spacing w:line="560" w:lineRule="exact"/>
        <w:ind w:firstLine="640"/>
        <w:jc w:val="left"/>
        <w:rPr>
          <w:rFonts w:hint="eastAsia" w:ascii="仿宋" w:hAnsi="仿宋" w:eastAsia="仿宋" w:cs="仿宋"/>
          <w:color w:val="auto"/>
          <w:sz w:val="32"/>
          <w:szCs w:val="32"/>
          <w:highlight w:val="none"/>
          <w:lang w:val="en-US"/>
        </w:rPr>
      </w:pPr>
      <w:r>
        <w:rPr>
          <w:rFonts w:hint="eastAsia" w:ascii="仿宋" w:hAnsi="仿宋" w:eastAsia="仿宋" w:cs="仿宋"/>
          <w:color w:val="auto"/>
          <w:sz w:val="32"/>
          <w:szCs w:val="32"/>
          <w:highlight w:val="none"/>
        </w:rPr>
        <w:t>5</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其他支出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229</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34.94</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rPr>
        <w:t>发放干部年终绩效奖金和农林水事务的其他支出</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减少7.77</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下降18.19%</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w:t>
      </w:r>
      <w:r>
        <w:rPr>
          <w:rFonts w:hint="eastAsia" w:ascii="仿宋" w:hAnsi="仿宋" w:eastAsia="仿宋" w:cs="仿宋"/>
          <w:color w:val="auto"/>
          <w:sz w:val="32"/>
          <w:szCs w:val="32"/>
          <w:lang w:eastAsia="zh-CN"/>
        </w:rPr>
        <w:t>职工</w:t>
      </w:r>
      <w:r>
        <w:rPr>
          <w:rFonts w:hint="eastAsia" w:ascii="仿宋" w:hAnsi="仿宋" w:eastAsia="仿宋" w:cs="仿宋"/>
          <w:color w:val="auto"/>
          <w:sz w:val="32"/>
          <w:szCs w:val="32"/>
        </w:rPr>
        <w:t>发的绩效奖金有所</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rPr>
        <w:t>。</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_GB2312" w:cs="仿宋"/>
          <w:color w:val="auto"/>
          <w:sz w:val="32"/>
          <w:szCs w:val="32"/>
          <w:highlight w:val="none"/>
          <w:lang w:eastAsia="zh-CN" w:bidi="ar"/>
        </w:rPr>
      </w:pPr>
      <w:r>
        <w:rPr>
          <w:rFonts w:hint="default" w:ascii="仿宋_GB2312" w:hAnsi="微软雅黑" w:eastAsia="仿宋_GB2312" w:cs="仿宋_GB2312"/>
          <w:i w:val="0"/>
          <w:iCs w:val="0"/>
          <w:caps w:val="0"/>
          <w:color w:val="auto"/>
          <w:spacing w:val="0"/>
          <w:sz w:val="31"/>
          <w:szCs w:val="31"/>
          <w:highlight w:val="none"/>
          <w:shd w:val="clear" w:color="auto" w:fill="FFFFFF"/>
        </w:rPr>
        <w:t>结余分配</w:t>
      </w:r>
      <w:r>
        <w:rPr>
          <w:rFonts w:hint="eastAsia" w:ascii="仿宋_GB2312" w:hAnsi="微软雅黑" w:eastAsia="仿宋_GB2312" w:cs="仿宋_GB2312"/>
          <w:color w:val="auto"/>
          <w:sz w:val="31"/>
          <w:szCs w:val="31"/>
          <w:highlight w:val="none"/>
          <w:shd w:val="clear" w:color="auto" w:fill="FFFFFF"/>
        </w:rPr>
        <w:t>0.00</w:t>
      </w:r>
      <w:r>
        <w:rPr>
          <w:rFonts w:hint="default" w:ascii="仿宋_GB2312" w:hAnsi="微软雅黑" w:eastAsia="仿宋_GB2312" w:cs="仿宋_GB2312"/>
          <w:i w:val="0"/>
          <w:iCs w:val="0"/>
          <w:caps w:val="0"/>
          <w:color w:val="auto"/>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auto"/>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auto"/>
          <w:spacing w:val="0"/>
          <w:sz w:val="31"/>
          <w:szCs w:val="31"/>
          <w:highlight w:val="none"/>
          <w:shd w:val="clear" w:color="auto" w:fill="FFFFFF"/>
        </w:rPr>
        <w:t>年决算</w:t>
      </w:r>
      <w:r>
        <w:rPr>
          <w:rFonts w:hint="eastAsia" w:ascii="仿宋_GB2312" w:hAnsi="微软雅黑" w:eastAsia="仿宋_GB2312" w:cs="仿宋_GB2312"/>
          <w:color w:val="auto"/>
          <w:sz w:val="31"/>
          <w:szCs w:val="31"/>
          <w:highlight w:val="none"/>
          <w:shd w:val="clear" w:color="auto" w:fill="FFFFFF"/>
        </w:rPr>
        <w:t>0.00</w:t>
      </w:r>
      <w:r>
        <w:rPr>
          <w:rFonts w:hint="default" w:ascii="仿宋_GB2312" w:hAnsi="微软雅黑" w:eastAsia="仿宋_GB2312" w:cs="仿宋_GB2312"/>
          <w:i w:val="0"/>
          <w:iCs w:val="0"/>
          <w:caps w:val="0"/>
          <w:color w:val="auto"/>
          <w:spacing w:val="0"/>
          <w:sz w:val="31"/>
          <w:szCs w:val="31"/>
          <w:highlight w:val="none"/>
          <w:shd w:val="clear" w:color="auto" w:fill="FFFFFF"/>
        </w:rPr>
        <w:t>万元</w:t>
      </w:r>
      <w:r>
        <w:rPr>
          <w:rFonts w:hint="eastAsia" w:ascii="仿宋_GB2312" w:hAnsi="微软雅黑" w:eastAsia="仿宋_GB2312" w:cs="仿宋_GB2312"/>
          <w:i w:val="0"/>
          <w:iCs w:val="0"/>
          <w:caps w:val="0"/>
          <w:color w:val="auto"/>
          <w:spacing w:val="0"/>
          <w:sz w:val="31"/>
          <w:szCs w:val="31"/>
          <w:highlight w:val="none"/>
          <w:shd w:val="clear" w:color="auto" w:fill="FFFFFF"/>
          <w:lang w:val="en-US" w:eastAsia="zh-CN"/>
        </w:rPr>
        <w:t>,</w:t>
      </w:r>
      <w:r>
        <w:rPr>
          <w:rFonts w:hint="eastAsia" w:ascii="仿宋_GB2312" w:hAnsi="微软雅黑" w:eastAsia="仿宋_GB2312" w:cs="仿宋_GB2312"/>
          <w:color w:val="auto"/>
          <w:sz w:val="31"/>
          <w:szCs w:val="31"/>
          <w:highlight w:val="none"/>
          <w:shd w:val="clear" w:color="auto" w:fill="FFFFFF"/>
        </w:rPr>
        <w:t>增加0.00</w:t>
      </w:r>
      <w:r>
        <w:rPr>
          <w:rFonts w:hint="default" w:ascii="仿宋_GB2312" w:hAnsi="微软雅黑" w:eastAsia="仿宋_GB2312" w:cs="仿宋_GB2312"/>
          <w:i w:val="0"/>
          <w:iCs w:val="0"/>
          <w:caps w:val="0"/>
          <w:color w:val="auto"/>
          <w:spacing w:val="0"/>
          <w:sz w:val="31"/>
          <w:szCs w:val="31"/>
          <w:highlight w:val="none"/>
          <w:shd w:val="clear" w:color="auto" w:fill="FFFFFF"/>
        </w:rPr>
        <w:t>万元，</w:t>
      </w:r>
      <w:r>
        <w:rPr>
          <w:rFonts w:hint="eastAsia" w:ascii="仿宋_GB2312" w:hAnsi="微软雅黑" w:eastAsia="仿宋_GB2312" w:cs="仿宋_GB2312"/>
          <w:color w:val="auto"/>
          <w:sz w:val="31"/>
          <w:szCs w:val="31"/>
          <w:highlight w:val="none"/>
          <w:shd w:val="clear" w:color="auto" w:fill="FFFFFF"/>
        </w:rPr>
        <w:t>增长0%</w:t>
      </w:r>
      <w:r>
        <w:rPr>
          <w:rFonts w:hint="default" w:ascii="仿宋_GB2312" w:hAnsi="微软雅黑" w:eastAsia="仿宋_GB2312" w:cs="仿宋_GB2312"/>
          <w:i w:val="0"/>
          <w:iCs w:val="0"/>
          <w:caps w:val="0"/>
          <w:color w:val="auto"/>
          <w:spacing w:val="0"/>
          <w:sz w:val="31"/>
          <w:szCs w:val="31"/>
          <w:highlight w:val="none"/>
          <w:shd w:val="clear" w:color="auto" w:fill="FFFFFF"/>
        </w:rPr>
        <w:t>，主要原因是</w:t>
      </w:r>
      <w:r>
        <w:rPr>
          <w:rFonts w:hint="eastAsia" w:ascii="仿宋" w:hAnsi="仿宋" w:eastAsia="仿宋" w:cs="仿宋"/>
          <w:color w:val="auto"/>
          <w:kern w:val="2"/>
          <w:sz w:val="32"/>
          <w:szCs w:val="32"/>
          <w:highlight w:val="none"/>
          <w:lang w:val="en-US" w:eastAsia="zh-CN" w:bidi="ar"/>
        </w:rPr>
        <w:t>：无。</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年末结转和结余</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万元，为本年度或以前年度预算安排、因客观条件发生变化无法按原计划实施，需要延迟到以后年度按有关规定继续使用的资金。较2021年度决算数</w:t>
      </w:r>
      <w:r>
        <w:rPr>
          <w:rFonts w:ascii="仿宋" w:hAnsi="仿宋" w:eastAsia="仿宋" w:cs="仿宋"/>
          <w:color w:val="auto"/>
          <w:sz w:val="32"/>
          <w:u w:color="auto"/>
        </w:rPr>
        <w:t>增加0.00</w:t>
      </w:r>
      <w:r>
        <w:rPr>
          <w:rFonts w:hint="eastAsia" w:ascii="仿宋" w:hAnsi="仿宋" w:eastAsia="仿宋" w:cs="仿宋"/>
          <w:color w:val="auto"/>
          <w:sz w:val="32"/>
          <w:szCs w:val="32"/>
          <w:highlight w:val="none"/>
        </w:rPr>
        <w:t>万元，</w:t>
      </w:r>
      <w:r>
        <w:rPr>
          <w:rFonts w:ascii="仿宋" w:hAnsi="仿宋" w:eastAsia="仿宋" w:cs="仿宋"/>
          <w:color w:val="auto"/>
          <w:sz w:val="32"/>
          <w:u w:color="auto"/>
        </w:rPr>
        <w:t>增长0%</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主要原因是：无。</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642485" cy="2584450"/>
            <wp:effectExtent l="4445" t="4445" r="20320" b="2095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3" w:name="OLE_LINK1"/>
      <w:r>
        <w:rPr>
          <w:rFonts w:hint="eastAsia" w:ascii="黑体" w:hAnsi="黑体" w:eastAsia="黑体" w:cs="黑体"/>
          <w:sz w:val="32"/>
          <w:szCs w:val="32"/>
          <w:highlight w:val="none"/>
        </w:rPr>
        <w:t>一般公共预算财政拨款支出决算情况</w:t>
      </w:r>
      <w:bookmarkEnd w:id="3"/>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环江毛南族自治县糖业发展中心2022年度一般公共预算财政拨款支出</w:t>
      </w:r>
      <w:r>
        <w:rPr>
          <w:rFonts w:ascii="仿宋" w:hAnsi="仿宋" w:eastAsia="仿宋" w:cs="仿宋"/>
          <w:sz w:val="32"/>
          <w:u w:color="auto"/>
        </w:rPr>
        <w:t>219.23</w:t>
      </w:r>
      <w:r>
        <w:rPr>
          <w:rFonts w:hint="eastAsia" w:ascii="仿宋" w:hAnsi="仿宋" w:eastAsia="仿宋" w:cs="仿宋"/>
          <w:sz w:val="32"/>
          <w:szCs w:val="32"/>
          <w:highlight w:val="none"/>
        </w:rPr>
        <w:t>万元，较2021年度决算数</w:t>
      </w:r>
      <w:r>
        <w:rPr>
          <w:rFonts w:ascii="仿宋" w:hAnsi="仿宋" w:eastAsia="仿宋" w:cs="仿宋"/>
          <w:sz w:val="32"/>
          <w:u w:color="auto"/>
        </w:rPr>
        <w:t>减少58.23</w:t>
      </w:r>
      <w:r>
        <w:rPr>
          <w:rFonts w:hint="eastAsia" w:ascii="仿宋" w:hAnsi="仿宋" w:eastAsia="仿宋" w:cs="仿宋"/>
          <w:sz w:val="32"/>
          <w:szCs w:val="32"/>
          <w:highlight w:val="none"/>
        </w:rPr>
        <w:t>万元，</w:t>
      </w:r>
      <w:r>
        <w:rPr>
          <w:rFonts w:ascii="仿宋" w:hAnsi="仿宋" w:eastAsia="仿宋" w:cs="仿宋"/>
          <w:sz w:val="32"/>
          <w:u w:color="auto"/>
        </w:rPr>
        <w:t>下降20.99%</w:t>
      </w:r>
      <w:r>
        <w:rPr>
          <w:rFonts w:hint="eastAsia" w:ascii="仿宋" w:hAnsi="仿宋" w:eastAsia="仿宋" w:cs="仿宋"/>
          <w:sz w:val="32"/>
          <w:szCs w:val="32"/>
          <w:highlight w:val="none"/>
        </w:rPr>
        <w:t>。其中：基本支出</w:t>
      </w:r>
      <w:r>
        <w:rPr>
          <w:rFonts w:ascii="仿宋" w:hAnsi="仿宋" w:eastAsia="仿宋" w:cs="仿宋"/>
          <w:sz w:val="32"/>
          <w:u w:color="auto"/>
        </w:rPr>
        <w:t>212.88</w:t>
      </w:r>
      <w:r>
        <w:rPr>
          <w:rFonts w:hint="eastAsia" w:ascii="仿宋" w:hAnsi="仿宋" w:eastAsia="仿宋" w:cs="仿宋"/>
          <w:sz w:val="32"/>
          <w:szCs w:val="32"/>
          <w:highlight w:val="none"/>
        </w:rPr>
        <w:t>万元，项目支出</w:t>
      </w:r>
      <w:r>
        <w:rPr>
          <w:rFonts w:ascii="仿宋" w:hAnsi="仿宋" w:eastAsia="仿宋" w:cs="仿宋"/>
          <w:sz w:val="32"/>
          <w:u w:color="auto"/>
        </w:rPr>
        <w:t>6.36</w:t>
      </w:r>
      <w:r>
        <w:rPr>
          <w:rFonts w:hint="eastAsia" w:ascii="仿宋" w:hAnsi="仿宋" w:eastAsia="仿宋" w:cs="仿宋"/>
          <w:sz w:val="32"/>
          <w:szCs w:val="32"/>
          <w:highlight w:val="none"/>
        </w:rPr>
        <w:t>万元。</w:t>
      </w:r>
    </w:p>
    <w:p>
      <w:pPr>
        <w:ind w:firstLine="640" w:firstLineChars="200"/>
        <w:jc w:val="left"/>
        <w:rPr>
          <w:rFonts w:ascii="仿宋" w:hAnsi="仿宋" w:eastAsia="仿宋"/>
          <w:color w:val="auto"/>
          <w:sz w:val="32"/>
          <w:szCs w:val="32"/>
          <w:highlight w:val="none"/>
        </w:rPr>
      </w:pPr>
      <w:r>
        <w:rPr>
          <w:rFonts w:hint="eastAsia" w:ascii="仿宋" w:hAnsi="仿宋" w:eastAsia="仿宋" w:cs="仿宋"/>
          <w:sz w:val="32"/>
          <w:szCs w:val="32"/>
          <w:highlight w:val="none"/>
        </w:rPr>
        <w:t>环江毛南族自治县糖业发展中心2022 年度一般公共预算财政拨款支出年初预算为</w:t>
      </w:r>
      <w:r>
        <w:rPr>
          <w:rFonts w:ascii="仿宋" w:hAnsi="仿宋" w:eastAsia="仿宋" w:cs="仿宋"/>
          <w:sz w:val="32"/>
          <w:u w:color="auto"/>
        </w:rPr>
        <w:t>204.58</w:t>
      </w:r>
      <w:r>
        <w:rPr>
          <w:rFonts w:hint="eastAsia" w:ascii="仿宋" w:hAnsi="仿宋" w:eastAsia="仿宋" w:cs="仿宋"/>
          <w:sz w:val="32"/>
          <w:szCs w:val="32"/>
          <w:highlight w:val="none"/>
        </w:rPr>
        <w:t>万元，支出决算为</w:t>
      </w:r>
      <w:r>
        <w:rPr>
          <w:rFonts w:ascii="仿宋" w:hAnsi="仿宋" w:eastAsia="仿宋" w:cs="仿宋"/>
          <w:sz w:val="32"/>
          <w:u w:color="auto"/>
        </w:rPr>
        <w:t>219.23</w:t>
      </w:r>
      <w:r>
        <w:rPr>
          <w:rFonts w:hint="eastAsia" w:ascii="仿宋" w:hAnsi="仿宋" w:eastAsia="仿宋" w:cs="仿宋"/>
          <w:sz w:val="32"/>
          <w:szCs w:val="32"/>
          <w:highlight w:val="none"/>
        </w:rPr>
        <w:t>万元，完成年初预</w:t>
      </w:r>
      <w:r>
        <w:rPr>
          <w:rFonts w:hint="eastAsia" w:ascii="仿宋" w:hAnsi="仿宋" w:eastAsia="仿宋" w:cs="仿宋"/>
          <w:color w:val="auto"/>
          <w:sz w:val="32"/>
          <w:szCs w:val="32"/>
          <w:highlight w:val="none"/>
        </w:rPr>
        <w:t>算的</w:t>
      </w:r>
      <w:r>
        <w:rPr>
          <w:rFonts w:ascii="仿宋" w:hAnsi="仿宋" w:eastAsia="仿宋" w:cs="仿宋"/>
          <w:color w:val="auto"/>
          <w:sz w:val="32"/>
          <w:u w:color="auto"/>
        </w:rPr>
        <w:t>107.16%</w:t>
      </w:r>
      <w:r>
        <w:rPr>
          <w:rFonts w:hint="eastAsia" w:ascii="仿宋" w:hAnsi="仿宋" w:eastAsia="仿宋" w:cs="仿宋"/>
          <w:color w:val="auto"/>
          <w:sz w:val="32"/>
          <w:szCs w:val="32"/>
          <w:highlight w:val="none"/>
        </w:rPr>
        <w:t>。</w:t>
      </w:r>
      <w:bookmarkStart w:id="4" w:name="OLE_LINK2"/>
      <w:bookmarkEnd w:id="4"/>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color w:val="auto"/>
          <w:sz w:val="32"/>
          <w:szCs w:val="32"/>
          <w:highlight w:val="none"/>
        </w:rPr>
        <w:t>一般公共服务支出</w:t>
      </w:r>
      <w:r>
        <w:rPr>
          <w:rFonts w:ascii="仿宋" w:hAnsi="仿宋" w:eastAsia="仿宋"/>
          <w:color w:val="auto"/>
          <w:sz w:val="32"/>
          <w:u w:color="auto"/>
        </w:rPr>
        <w:t>（201</w:t>
      </w:r>
      <w:r>
        <w:rPr>
          <w:rFonts w:hint="eastAsia" w:ascii="仿宋" w:hAnsi="仿宋" w:eastAsia="仿宋"/>
          <w:color w:val="auto"/>
          <w:sz w:val="32"/>
          <w:szCs w:val="32"/>
          <w:highlight w:val="none"/>
        </w:rPr>
        <w:t>类）年初预算为</w:t>
      </w:r>
      <w:r>
        <w:rPr>
          <w:rFonts w:ascii="仿宋" w:hAnsi="仿宋" w:eastAsia="仿宋"/>
          <w:color w:val="auto"/>
          <w:sz w:val="32"/>
          <w:szCs w:val="32"/>
          <w:highlight w:val="none"/>
        </w:rPr>
        <w:t>2.83</w:t>
      </w:r>
      <w:r>
        <w:rPr>
          <w:rFonts w:hint="eastAsia" w:ascii="仿宋" w:hAnsi="仿宋" w:eastAsia="仿宋"/>
          <w:color w:val="auto"/>
          <w:sz w:val="32"/>
          <w:szCs w:val="32"/>
          <w:highlight w:val="none"/>
        </w:rPr>
        <w:t>万元，支出决算为</w:t>
      </w:r>
      <w:r>
        <w:rPr>
          <w:rFonts w:ascii="仿宋" w:hAnsi="仿宋" w:eastAsia="仿宋"/>
          <w:color w:val="auto"/>
          <w:sz w:val="32"/>
          <w:szCs w:val="32"/>
          <w:highlight w:val="none"/>
        </w:rPr>
        <w:t>2.83</w:t>
      </w:r>
      <w:r>
        <w:rPr>
          <w:rFonts w:hint="eastAsia" w:ascii="仿宋" w:hAnsi="仿宋" w:eastAsia="仿宋"/>
          <w:color w:val="auto"/>
          <w:sz w:val="32"/>
          <w:szCs w:val="32"/>
          <w:highlight w:val="none"/>
        </w:rPr>
        <w:t>万元，完成年初预算的</w:t>
      </w:r>
      <w:r>
        <w:rPr>
          <w:rFonts w:ascii="仿宋" w:hAnsi="仿宋" w:eastAsia="仿宋"/>
          <w:color w:val="auto"/>
          <w:sz w:val="32"/>
          <w:szCs w:val="32"/>
          <w:highlight w:val="none"/>
        </w:rPr>
        <w:t>100.00%</w:t>
      </w:r>
      <w:r>
        <w:rPr>
          <w:rFonts w:hint="eastAsia" w:ascii="仿宋" w:hAnsi="仿宋" w:eastAsia="仿宋"/>
          <w:color w:val="auto"/>
          <w:sz w:val="32"/>
          <w:szCs w:val="32"/>
          <w:highlight w:val="none"/>
        </w:rPr>
        <w:t>。预决算</w:t>
      </w:r>
      <w:r>
        <w:rPr>
          <w:rFonts w:hint="eastAsia" w:ascii="仿宋" w:hAnsi="仿宋" w:eastAsia="仿宋"/>
          <w:color w:val="auto"/>
          <w:sz w:val="32"/>
          <w:szCs w:val="32"/>
          <w:highlight w:val="none"/>
          <w:lang w:val="en-US" w:eastAsia="zh-CN"/>
        </w:rPr>
        <w:t>存有</w:t>
      </w:r>
      <w:r>
        <w:rPr>
          <w:rFonts w:hint="eastAsia" w:ascii="仿宋" w:hAnsi="仿宋" w:eastAsia="仿宋"/>
          <w:color w:val="auto"/>
          <w:sz w:val="32"/>
          <w:szCs w:val="32"/>
          <w:highlight w:val="none"/>
        </w:rPr>
        <w:t>差异</w:t>
      </w:r>
      <w:r>
        <w:rPr>
          <w:rFonts w:hint="eastAsia" w:ascii="仿宋" w:hAnsi="仿宋" w:eastAsia="仿宋"/>
          <w:color w:val="auto"/>
          <w:sz w:val="32"/>
          <w:szCs w:val="32"/>
          <w:highlight w:val="none"/>
          <w:lang w:val="en-US" w:eastAsia="zh-CN"/>
        </w:rPr>
        <w:t>原因是：</w:t>
      </w:r>
      <w:r>
        <w:rPr>
          <w:rFonts w:hint="eastAsia" w:ascii="仿宋" w:hAnsi="仿宋" w:eastAsia="仿宋" w:cs="仿宋"/>
          <w:color w:val="auto"/>
          <w:kern w:val="2"/>
          <w:sz w:val="32"/>
          <w:szCs w:val="32"/>
          <w:highlight w:val="none"/>
          <w:lang w:val="en-US" w:eastAsia="zh-CN" w:bidi="ar"/>
        </w:rPr>
        <w:t>无。</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2.83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2.83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单位转入总工会经费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2.83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2.83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034540"/>
            <wp:effectExtent l="4445" t="4445" r="16510" b="184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ascii="仿宋" w:hAnsi="仿宋" w:eastAsia="仿宋"/>
          <w:sz w:val="32"/>
          <w:szCs w:val="32"/>
          <w:highlight w:val="none"/>
        </w:rPr>
        <w:t>22.62</w:t>
      </w:r>
      <w:r>
        <w:rPr>
          <w:rFonts w:hint="eastAsia" w:ascii="仿宋" w:hAnsi="仿宋" w:eastAsia="仿宋"/>
          <w:sz w:val="32"/>
          <w:szCs w:val="32"/>
          <w:highlight w:val="none"/>
        </w:rPr>
        <w:t>万元，支出决算为</w:t>
      </w:r>
      <w:r>
        <w:rPr>
          <w:rFonts w:ascii="仿宋" w:hAnsi="仿宋" w:eastAsia="仿宋"/>
          <w:sz w:val="32"/>
          <w:szCs w:val="32"/>
          <w:highlight w:val="none"/>
        </w:rPr>
        <w:t>18.60</w:t>
      </w:r>
      <w:r>
        <w:rPr>
          <w:rFonts w:hint="eastAsia" w:ascii="仿宋" w:hAnsi="仿宋" w:eastAsia="仿宋"/>
          <w:sz w:val="32"/>
          <w:szCs w:val="32"/>
          <w:highlight w:val="none"/>
        </w:rPr>
        <w:t>万元，完成年初预算的</w:t>
      </w:r>
      <w:r>
        <w:rPr>
          <w:rFonts w:ascii="仿宋" w:hAnsi="仿宋" w:eastAsia="仿宋"/>
          <w:sz w:val="32"/>
          <w:szCs w:val="32"/>
          <w:highlight w:val="none"/>
        </w:rPr>
        <w:t>82.23%</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auto"/>
          <w:sz w:val="30"/>
          <w:szCs w:val="30"/>
          <w:highlight w:val="none"/>
          <w:lang w:val="en-US" w:eastAsia="zh-CN"/>
        </w:rPr>
        <w:t>原因是</w:t>
      </w:r>
      <w:r>
        <w:rPr>
          <w:rFonts w:hint="eastAsia" w:ascii="仿宋" w:hAnsi="仿宋" w:eastAsia="仿宋" w:cs="仿宋"/>
          <w:color w:val="auto"/>
          <w:kern w:val="2"/>
          <w:sz w:val="30"/>
          <w:szCs w:val="30"/>
          <w:highlight w:val="none"/>
          <w:lang w:val="en-US" w:eastAsia="zh-CN" w:bidi="ar"/>
        </w:rPr>
        <w:t>有人员退休</w:t>
      </w:r>
      <w:r>
        <w:rPr>
          <w:rFonts w:hint="eastAsia" w:ascii="仿宋" w:hAnsi="仿宋" w:eastAsia="仿宋"/>
          <w:color w:val="auto"/>
          <w:sz w:val="30"/>
          <w:szCs w:val="30"/>
          <w:highlight w:val="none"/>
          <w:lang w:val="en-US" w:eastAsia="zh-CN"/>
        </w:rPr>
        <w:t>：</w:t>
      </w:r>
      <w:r>
        <w:rPr>
          <w:rFonts w:hint="eastAsia" w:ascii="仿宋" w:hAnsi="仿宋" w:eastAsia="仿宋" w:cs="仿宋"/>
          <w:color w:val="auto"/>
          <w:kern w:val="2"/>
          <w:sz w:val="30"/>
          <w:szCs w:val="30"/>
          <w:highlight w:val="none"/>
          <w:lang w:val="en-US" w:eastAsia="zh-CN" w:bidi="ar"/>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22.62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18.60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82.23%</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sz w:val="21"/>
                <w:szCs w:val="21"/>
              </w:rPr>
              <w:t>干部职工养老保险、医疗保险和工伤保险等社会保障资金</w:t>
            </w:r>
            <w:r>
              <w:rPr>
                <w:rFonts w:hint="eastAsia" w:ascii="仿宋" w:hAnsi="仿宋" w:eastAsia="仿宋" w:cs="仿宋"/>
                <w:sz w:val="32"/>
                <w:szCs w:val="32"/>
                <w:highlight w:val="none"/>
              </w:rPr>
              <w:t>。</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仿宋" w:hAnsi="仿宋" w:eastAsia="仿宋" w:cs="仿宋"/>
                <w:color w:val="auto"/>
                <w:kern w:val="2"/>
                <w:sz w:val="21"/>
                <w:szCs w:val="21"/>
                <w:highlight w:val="none"/>
                <w:lang w:val="en-US" w:eastAsia="zh-CN" w:bidi="ar"/>
              </w:rPr>
              <w:t>有人员退休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22.62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18.60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农林水支出</w:t>
      </w:r>
      <w:r>
        <w:rPr>
          <w:rFonts w:ascii="仿宋" w:hAnsi="仿宋" w:eastAsia="仿宋"/>
          <w:sz w:val="32"/>
          <w:u w:color="auto"/>
        </w:rPr>
        <w:t>（213</w:t>
      </w:r>
      <w:r>
        <w:rPr>
          <w:rFonts w:hint="eastAsia" w:ascii="仿宋" w:hAnsi="仿宋" w:eastAsia="仿宋"/>
          <w:sz w:val="32"/>
          <w:szCs w:val="32"/>
          <w:highlight w:val="none"/>
        </w:rPr>
        <w:t>类）年初预算为</w:t>
      </w:r>
      <w:r>
        <w:rPr>
          <w:rFonts w:ascii="仿宋" w:hAnsi="仿宋" w:eastAsia="仿宋"/>
          <w:sz w:val="32"/>
          <w:szCs w:val="32"/>
          <w:highlight w:val="none"/>
        </w:rPr>
        <w:t>162.17</w:t>
      </w:r>
      <w:r>
        <w:rPr>
          <w:rFonts w:hint="eastAsia" w:ascii="仿宋" w:hAnsi="仿宋" w:eastAsia="仿宋"/>
          <w:sz w:val="32"/>
          <w:szCs w:val="32"/>
          <w:highlight w:val="none"/>
        </w:rPr>
        <w:t>万元，支出决算为</w:t>
      </w:r>
      <w:r>
        <w:rPr>
          <w:rFonts w:ascii="仿宋" w:hAnsi="仿宋" w:eastAsia="仿宋"/>
          <w:sz w:val="32"/>
          <w:szCs w:val="32"/>
          <w:highlight w:val="none"/>
        </w:rPr>
        <w:t>147.66</w:t>
      </w:r>
      <w:r>
        <w:rPr>
          <w:rFonts w:hint="eastAsia" w:ascii="仿宋" w:hAnsi="仿宋" w:eastAsia="仿宋"/>
          <w:sz w:val="32"/>
          <w:szCs w:val="32"/>
          <w:highlight w:val="none"/>
        </w:rPr>
        <w:t>万元，完成年初预算的</w:t>
      </w:r>
      <w:r>
        <w:rPr>
          <w:rFonts w:ascii="仿宋" w:hAnsi="仿宋" w:eastAsia="仿宋"/>
          <w:sz w:val="32"/>
          <w:szCs w:val="32"/>
          <w:highlight w:val="none"/>
        </w:rPr>
        <w:t>91.05%</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原因是：项目有所减少</w:t>
      </w:r>
      <w:r>
        <w:rPr>
          <w:rFonts w:hint="eastAsia" w:ascii="仿宋" w:hAnsi="仿宋" w:eastAsia="仿宋" w:cs="仿宋"/>
          <w:color w:val="FF0000"/>
          <w:kern w:val="2"/>
          <w:sz w:val="32"/>
          <w:szCs w:val="32"/>
          <w:highlight w:val="none"/>
          <w:lang w:val="en-US" w:eastAsia="zh-CN" w:bidi="ar"/>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2"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2130104</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事业运行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162.17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147.66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91.05%</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sz w:val="21"/>
                <w:szCs w:val="21"/>
              </w:rPr>
              <w:t>干部职工的基本工资、各项津贴补贴和绩效工资；开展糖蔗产业生产工作发生的各项经费</w:t>
            </w:r>
            <w:r>
              <w:rPr>
                <w:rFonts w:hint="eastAsia" w:ascii="仿宋" w:hAnsi="仿宋" w:eastAsia="仿宋" w:cs="仿宋"/>
                <w:sz w:val="21"/>
                <w:szCs w:val="21"/>
                <w:lang w:eastAsia="zh-CN"/>
              </w:rPr>
              <w:t>等</w:t>
            </w:r>
            <w:r>
              <w:rPr>
                <w:rFonts w:hint="eastAsia" w:ascii="仿宋" w:hAnsi="仿宋" w:eastAsia="仿宋" w:cs="仿宋"/>
                <w:sz w:val="21"/>
                <w:szCs w:val="21"/>
                <w:highlight w:val="none"/>
              </w:rPr>
              <w:t>。</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项目减少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162.17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147.66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ascii="仿宋" w:hAnsi="仿宋" w:eastAsia="仿宋"/>
          <w:sz w:val="32"/>
          <w:szCs w:val="32"/>
          <w:highlight w:val="none"/>
        </w:rPr>
        <w:t>16.96</w:t>
      </w:r>
      <w:r>
        <w:rPr>
          <w:rFonts w:hint="eastAsia" w:ascii="仿宋" w:hAnsi="仿宋" w:eastAsia="仿宋"/>
          <w:sz w:val="32"/>
          <w:szCs w:val="32"/>
          <w:highlight w:val="none"/>
        </w:rPr>
        <w:t>万元，支出决算为</w:t>
      </w:r>
      <w:r>
        <w:rPr>
          <w:rFonts w:ascii="仿宋" w:hAnsi="仿宋" w:eastAsia="仿宋"/>
          <w:sz w:val="32"/>
          <w:szCs w:val="32"/>
          <w:highlight w:val="none"/>
        </w:rPr>
        <w:t>15.21</w:t>
      </w:r>
      <w:r>
        <w:rPr>
          <w:rFonts w:hint="eastAsia" w:ascii="仿宋" w:hAnsi="仿宋" w:eastAsia="仿宋"/>
          <w:sz w:val="32"/>
          <w:szCs w:val="32"/>
          <w:highlight w:val="none"/>
        </w:rPr>
        <w:t>万元，完成年初预算的</w:t>
      </w:r>
      <w:r>
        <w:rPr>
          <w:rFonts w:ascii="仿宋" w:hAnsi="仿宋" w:eastAsia="仿宋"/>
          <w:sz w:val="32"/>
          <w:szCs w:val="32"/>
          <w:highlight w:val="none"/>
        </w:rPr>
        <w:t>89.68%</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_GB2312" w:hAnsi="微软雅黑" w:eastAsia="仿宋_GB2312" w:cs="仿宋_GB2312"/>
          <w:i w:val="0"/>
          <w:iCs w:val="0"/>
          <w:caps w:val="0"/>
          <w:color w:val="333333"/>
          <w:spacing w:val="0"/>
          <w:sz w:val="30"/>
          <w:szCs w:val="30"/>
          <w:lang w:val="en-US" w:eastAsia="zh-CN"/>
        </w:rPr>
        <w:t>有人员</w:t>
      </w:r>
      <w:r>
        <w:rPr>
          <w:rFonts w:hint="eastAsia" w:ascii="仿宋_GB2312" w:hAnsi="微软雅黑" w:eastAsia="仿宋_GB2312" w:cs="仿宋_GB2312"/>
          <w:i w:val="0"/>
          <w:iCs w:val="0"/>
          <w:caps w:val="0"/>
          <w:color w:val="auto"/>
          <w:spacing w:val="0"/>
          <w:sz w:val="30"/>
          <w:szCs w:val="30"/>
          <w:lang w:val="en-US" w:eastAsia="zh-CN"/>
        </w:rPr>
        <w:t>退休</w:t>
      </w:r>
      <w:r>
        <w:rPr>
          <w:rFonts w:hint="eastAsia" w:ascii="仿宋" w:hAnsi="仿宋" w:eastAsia="仿宋" w:cs="仿宋"/>
          <w:color w:val="auto"/>
          <w:kern w:val="2"/>
          <w:sz w:val="32"/>
          <w:szCs w:val="32"/>
          <w:highlight w:val="none"/>
          <w:lang w:val="en-US" w:eastAsia="zh-CN" w:bidi="ar"/>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16.96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15.21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89.68%</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default" w:ascii="仿宋_GB2312" w:hAnsi="微软雅黑" w:eastAsia="仿宋_GB2312" w:cs="仿宋_GB2312"/>
                <w:i w:val="0"/>
                <w:iCs w:val="0"/>
                <w:caps w:val="0"/>
                <w:color w:val="333333"/>
                <w:spacing w:val="0"/>
                <w:sz w:val="21"/>
                <w:szCs w:val="21"/>
              </w:rPr>
              <w:t>本部门及所属事业单位按规定的比例计缴的住房公积金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有人员退休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16.96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15.21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color w:val="auto"/>
          <w:sz w:val="32"/>
          <w:szCs w:val="32"/>
          <w:highlight w:val="none"/>
        </w:rPr>
        <w:t>其他支出</w:t>
      </w:r>
      <w:r>
        <w:rPr>
          <w:rFonts w:ascii="仿宋" w:hAnsi="仿宋" w:eastAsia="仿宋"/>
          <w:color w:val="auto"/>
          <w:sz w:val="32"/>
          <w:u w:color="auto"/>
        </w:rPr>
        <w:t>（229</w:t>
      </w:r>
      <w:r>
        <w:rPr>
          <w:rFonts w:hint="eastAsia" w:ascii="仿宋" w:hAnsi="仿宋" w:eastAsia="仿宋"/>
          <w:color w:val="auto"/>
          <w:sz w:val="32"/>
          <w:szCs w:val="32"/>
          <w:highlight w:val="none"/>
        </w:rPr>
        <w:t>类）年初预算为</w:t>
      </w:r>
      <w:r>
        <w:rPr>
          <w:rFonts w:ascii="仿宋" w:hAnsi="仿宋" w:eastAsia="仿宋"/>
          <w:color w:val="auto"/>
          <w:sz w:val="32"/>
          <w:szCs w:val="32"/>
          <w:highlight w:val="none"/>
        </w:rPr>
        <w:t>0.00</w:t>
      </w:r>
      <w:r>
        <w:rPr>
          <w:rFonts w:hint="eastAsia" w:ascii="仿宋" w:hAnsi="仿宋" w:eastAsia="仿宋"/>
          <w:color w:val="auto"/>
          <w:sz w:val="32"/>
          <w:szCs w:val="32"/>
          <w:highlight w:val="none"/>
        </w:rPr>
        <w:t>万元，支出决算为</w:t>
      </w:r>
      <w:r>
        <w:rPr>
          <w:rFonts w:ascii="仿宋" w:hAnsi="仿宋" w:eastAsia="仿宋"/>
          <w:color w:val="auto"/>
          <w:sz w:val="32"/>
          <w:szCs w:val="32"/>
          <w:highlight w:val="none"/>
        </w:rPr>
        <w:t>34.94</w:t>
      </w:r>
      <w:r>
        <w:rPr>
          <w:rFonts w:hint="eastAsia" w:ascii="仿宋" w:hAnsi="仿宋" w:eastAsia="仿宋"/>
          <w:color w:val="auto"/>
          <w:sz w:val="32"/>
          <w:szCs w:val="32"/>
          <w:highlight w:val="none"/>
        </w:rPr>
        <w:t>万元，完成年初预算的</w:t>
      </w:r>
      <w:r>
        <w:rPr>
          <w:rFonts w:ascii="仿宋" w:hAnsi="仿宋" w:eastAsia="仿宋"/>
          <w:color w:val="auto"/>
          <w:sz w:val="32"/>
          <w:szCs w:val="32"/>
          <w:highlight w:val="none"/>
        </w:rPr>
        <w:t>100.00%</w:t>
      </w:r>
      <w:r>
        <w:rPr>
          <w:rFonts w:hint="eastAsia" w:ascii="仿宋" w:hAnsi="仿宋" w:eastAsia="仿宋"/>
          <w:color w:val="auto"/>
          <w:sz w:val="32"/>
          <w:szCs w:val="32"/>
          <w:highlight w:val="none"/>
        </w:rPr>
        <w:t>。预决算</w:t>
      </w:r>
      <w:r>
        <w:rPr>
          <w:rFonts w:hint="eastAsia" w:ascii="仿宋" w:hAnsi="仿宋" w:eastAsia="仿宋"/>
          <w:color w:val="auto"/>
          <w:sz w:val="32"/>
          <w:szCs w:val="32"/>
          <w:highlight w:val="none"/>
          <w:lang w:val="en-US" w:eastAsia="zh-CN"/>
        </w:rPr>
        <w:t>存有</w:t>
      </w:r>
      <w:r>
        <w:rPr>
          <w:rFonts w:hint="eastAsia" w:ascii="仿宋" w:hAnsi="仿宋" w:eastAsia="仿宋"/>
          <w:color w:val="auto"/>
          <w:sz w:val="32"/>
          <w:szCs w:val="32"/>
          <w:highlight w:val="none"/>
        </w:rPr>
        <w:t>差异</w:t>
      </w:r>
      <w:r>
        <w:rPr>
          <w:rFonts w:hint="eastAsia" w:ascii="仿宋" w:hAnsi="仿宋" w:eastAsia="仿宋"/>
          <w:color w:val="auto"/>
          <w:sz w:val="32"/>
          <w:szCs w:val="32"/>
          <w:highlight w:val="none"/>
          <w:lang w:val="en-US" w:eastAsia="zh-CN"/>
        </w:rPr>
        <w:t>原因是：</w:t>
      </w:r>
      <w:r>
        <w:rPr>
          <w:rFonts w:hint="eastAsia" w:ascii="仿宋" w:hAnsi="仿宋" w:eastAsia="仿宋" w:cs="仿宋"/>
          <w:color w:val="auto"/>
          <w:kern w:val="2"/>
          <w:sz w:val="32"/>
          <w:szCs w:val="32"/>
          <w:highlight w:val="none"/>
          <w:lang w:val="en-US" w:eastAsia="zh-CN" w:bidi="ar"/>
        </w:rPr>
        <w:t>其它支出没有列入年初预算。</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34.94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auto"/>
                <w:sz w:val="21"/>
                <w:szCs w:val="21"/>
                <w:highlight w:val="none"/>
                <w:u w:val="none"/>
                <w:lang w:val="en-US" w:eastAsia="zh-CN"/>
              </w:rPr>
            </w:pPr>
            <w:r>
              <w:rPr>
                <w:rFonts w:hint="eastAsia" w:ascii="仿宋" w:hAnsi="仿宋" w:eastAsia="仿宋" w:cs="仿宋"/>
                <w:color w:val="auto"/>
                <w:sz w:val="21"/>
                <w:szCs w:val="21"/>
              </w:rPr>
              <w:t>发放干部年终绩效奖金和农林水事务的其他支出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仿宋" w:hAnsi="仿宋" w:eastAsia="仿宋" w:cs="仿宋"/>
                <w:color w:val="auto"/>
                <w:kern w:val="2"/>
                <w:sz w:val="21"/>
                <w:szCs w:val="21"/>
                <w:highlight w:val="none"/>
                <w:lang w:val="en-US" w:eastAsia="zh-CN" w:bidi="ar"/>
              </w:rPr>
              <w:t>其它支出没有列入年初预算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34.94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环江毛南族自治县糖业发展中心2022年度一般公共预算财政拨款基本支出</w:t>
      </w:r>
      <w:r>
        <w:rPr>
          <w:rFonts w:ascii="仿宋" w:hAnsi="仿宋" w:eastAsia="仿宋" w:cs="仿宋"/>
          <w:sz w:val="32"/>
          <w:u w:color="auto"/>
        </w:rPr>
        <w:t>212.88</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rPr>
        <w:t>200.26</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rPr>
        <w:t>12.62</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工资福利支出</w:t>
      </w:r>
      <w:r>
        <w:rPr>
          <w:rFonts w:ascii="仿宋" w:hAnsi="仿宋" w:eastAsia="仿宋" w:cs="仿宋"/>
          <w:sz w:val="32"/>
          <w:u w:color="auto"/>
        </w:rPr>
        <w:t>189.25万元，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111.62%</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主要原因是：年终绩效奖金未列入年初预算。</w:t>
      </w: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58.58万元，30102津贴补贴23.72万元，30103奖金51.26万元，30106伙食补助费2.40万元，30107绩效工资9.89万元，30108机关事业单位基本养老保险缴费18.60万元，30110职工基本医疗保险缴费4.95万元，30112其他社会保障缴费1.77万元，30113住房公积金15.21万元，30199其他工资福利支出2.88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商品和服务支出</w:t>
      </w:r>
      <w:r>
        <w:rPr>
          <w:rFonts w:ascii="仿宋" w:hAnsi="仿宋" w:eastAsia="仿宋" w:cs="仿宋"/>
          <w:sz w:val="32"/>
          <w:u w:color="auto"/>
        </w:rPr>
        <w:t>12.62万元，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82.7%</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：有部分资金未支付。</w:t>
      </w:r>
      <w:r>
        <w:rPr>
          <w:rFonts w:hint="eastAsia" w:ascii="仿宋" w:hAnsi="仿宋" w:eastAsia="仿宋"/>
          <w:color w:val="auto"/>
          <w:sz w:val="32"/>
          <w:szCs w:val="32"/>
          <w:highlight w:val="none"/>
          <w:lang w:val="en-US" w:eastAsia="zh-CN"/>
        </w:rPr>
        <w:t>支</w:t>
      </w:r>
      <w:r>
        <w:rPr>
          <w:rFonts w:hint="eastAsia" w:ascii="仿宋" w:hAnsi="仿宋" w:eastAsia="仿宋"/>
          <w:sz w:val="32"/>
          <w:szCs w:val="32"/>
          <w:highlight w:val="none"/>
          <w:lang w:val="en-US" w:eastAsia="zh-CN"/>
        </w:rPr>
        <w:t>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30201办公费2.23万元，30205水费0.18万元，30206电费0.16万元，30207邮电费1.12万元，30228工会经费2.83万元，30239其他交通费用6.10万元。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对个人和家庭的补助</w:t>
      </w:r>
      <w:r>
        <w:rPr>
          <w:rFonts w:ascii="仿宋" w:hAnsi="仿宋" w:eastAsia="仿宋" w:cs="仿宋"/>
          <w:sz w:val="32"/>
          <w:u w:color="auto"/>
        </w:rPr>
        <w:t>11.01万元，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108.58%</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主要原因是：退休人员有所增</w:t>
      </w:r>
      <w:r>
        <w:rPr>
          <w:rFonts w:hint="eastAsia" w:ascii="仿宋" w:hAnsi="仿宋" w:eastAsia="仿宋" w:cs="仿宋"/>
          <w:color w:val="auto"/>
          <w:kern w:val="2"/>
          <w:sz w:val="32"/>
          <w:szCs w:val="32"/>
          <w:highlight w:val="none"/>
          <w:lang w:val="en-US" w:eastAsia="zh-CN" w:bidi="ar"/>
        </w:rPr>
        <w:t>加。</w:t>
      </w:r>
      <w:r>
        <w:rPr>
          <w:rFonts w:hint="eastAsia" w:ascii="仿宋" w:hAnsi="仿宋" w:eastAsia="仿宋"/>
          <w:color w:val="auto"/>
          <w:sz w:val="32"/>
          <w:szCs w:val="32"/>
          <w:highlight w:val="none"/>
          <w:lang w:val="en-US" w:eastAsia="zh-CN"/>
        </w:rPr>
        <w:t>支出具体情</w:t>
      </w:r>
      <w:r>
        <w:rPr>
          <w:rFonts w:hint="eastAsia" w:ascii="仿宋" w:hAnsi="仿宋" w:eastAsia="仿宋"/>
          <w:sz w:val="32"/>
          <w:szCs w:val="32"/>
          <w:highlight w:val="none"/>
          <w:lang w:val="en-US" w:eastAsia="zh-CN"/>
        </w:rPr>
        <w:t>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30305生活补助11.01万元，30399其他对个人和家庭的补助0.01万元。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072765"/>
            <wp:effectExtent l="4445" t="4445" r="16510" b="8890"/>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是：无。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825115"/>
            <wp:effectExtent l="4445" t="4445" r="16510" b="8890"/>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w:t>
      </w:r>
      <w:r>
        <w:rPr>
          <w:rFonts w:hint="eastAsia" w:ascii="仿宋" w:hAnsi="仿宋" w:eastAsia="仿宋" w:cs="仿宋"/>
          <w:color w:val="auto"/>
          <w:kern w:val="2"/>
          <w:sz w:val="32"/>
          <w:szCs w:val="32"/>
          <w:highlight w:val="none"/>
          <w:lang w:val="en-US" w:eastAsia="zh-CN" w:bidi="ar"/>
        </w:rPr>
        <w:t>因是：无。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748915"/>
            <wp:effectExtent l="4445" t="4445" r="16510" b="8890"/>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无。</w:t>
      </w:r>
    </w:p>
    <w:p>
      <w:pPr>
        <w:jc w:val="left"/>
        <w:rPr>
          <w:rFonts w:hint="default" w:ascii="仿宋" w:hAnsi="仿宋" w:eastAsia="仿宋" w:cs="仿宋"/>
          <w:color w:val="auto"/>
          <w:sz w:val="32"/>
          <w:szCs w:val="32"/>
          <w:highlight w:val="none"/>
          <w:lang w:val="en-US" w:eastAsia="zh-CN"/>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s="仿宋"/>
          <w:color w:val="auto"/>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jc w:val="left"/>
        <w:rPr>
          <w:rFonts w:ascii="仿宋" w:hAnsi="仿宋" w:eastAsia="仿宋" w:cs="仿宋"/>
          <w:sz w:val="32"/>
          <w:szCs w:val="32"/>
          <w:highlight w:val="none"/>
        </w:rPr>
      </w:pP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环江毛南族自治县糖业发展中心2022年度政府性基金支出</w:t>
      </w:r>
      <w:r>
        <w:rPr>
          <w:rFonts w:ascii="仿宋" w:hAnsi="仿宋" w:eastAsia="仿宋" w:cs="仿宋"/>
          <w:sz w:val="32"/>
          <w:szCs w:val="32"/>
          <w:highlight w:val="none"/>
        </w:rPr>
        <w:t>0.00</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sz w:val="32"/>
          <w:szCs w:val="32"/>
          <w:highlight w:val="none"/>
        </w:rPr>
        <w:t>环江毛南族自治县糖业发展中心2022年度政府性基金支出年初预算为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w:t>
      </w:r>
      <w:r>
        <w:rPr>
          <w:rFonts w:hint="eastAsia" w:ascii="仿宋" w:hAnsi="仿宋" w:eastAsia="仿宋" w:cs="仿宋"/>
          <w:color w:val="auto"/>
          <w:sz w:val="32"/>
          <w:szCs w:val="32"/>
          <w:highlight w:val="none"/>
        </w:rPr>
        <w:t>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w:t>
      </w:r>
    </w:p>
    <w:p>
      <w:pPr>
        <w:ind w:firstLine="640" w:firstLineChars="200"/>
        <w:jc w:val="left"/>
        <w:rPr>
          <w:rFonts w:hint="default" w:ascii="仿宋" w:hAnsi="仿宋" w:eastAsia="仿宋" w:cs="仿宋"/>
          <w:color w:val="auto"/>
          <w:sz w:val="32"/>
          <w:szCs w:val="32"/>
          <w:highlight w:val="none"/>
          <w:lang w:val="en-US"/>
        </w:rPr>
      </w:pPr>
      <w:r>
        <w:rPr>
          <w:rFonts w:hint="eastAsia" w:ascii="仿宋_GB2312" w:hAnsi="Times New Roman" w:eastAsia="仿宋_GB2312" w:cs="Times New Roman"/>
          <w:color w:val="auto"/>
          <w:sz w:val="32"/>
          <w:szCs w:val="32"/>
        </w:rPr>
        <w:t>环江毛南族自治县糖业发展中心</w:t>
      </w:r>
      <w:r>
        <w:rPr>
          <w:rFonts w:ascii="仿宋_GB2312" w:hAnsi="仿宋_GB2312" w:eastAsia="仿宋_GB2312" w:cs="仿宋_GB2312"/>
          <w:color w:val="auto"/>
          <w:sz w:val="32"/>
          <w:u w:color="auto"/>
        </w:rPr>
        <w:t>没有政府性基金收入，也没有政府性基金收入安排的支出</w:t>
      </w: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 xml:space="preserve"> </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环江毛南族自治县糖业发展中心2022年度国有资本经营预算支出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sz w:val="32"/>
          <w:szCs w:val="32"/>
          <w:highlight w:val="none"/>
        </w:rPr>
        <w:t>环江毛南族自治县糖业发展中心2022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r>
        <w:rPr>
          <w:rFonts w:hint="eastAsia" w:ascii="仿宋" w:hAnsi="仿宋" w:eastAsia="仿宋" w:cs="仿宋"/>
          <w:color w:val="auto"/>
          <w:sz w:val="32"/>
          <w:szCs w:val="32"/>
          <w:highlight w:val="none"/>
        </w:rPr>
        <w:t>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w:t>
      </w:r>
    </w:p>
    <w:p>
      <w:pPr>
        <w:ind w:firstLine="640" w:firstLineChars="200"/>
        <w:jc w:val="left"/>
        <w:rPr>
          <w:rFonts w:hint="eastAsia" w:ascii="仿宋" w:hAnsi="仿宋" w:eastAsia="仿宋_GB2312" w:cs="仿宋"/>
          <w:color w:val="auto"/>
          <w:sz w:val="32"/>
          <w:szCs w:val="32"/>
          <w:highlight w:val="none"/>
          <w:lang w:val="en-US" w:eastAsia="zh-CN"/>
        </w:rPr>
      </w:pPr>
      <w:bookmarkStart w:id="5" w:name="PO_part3A5B1C1DiffReason1"/>
      <w:r>
        <w:rPr>
          <w:rFonts w:hint="eastAsia" w:ascii="仿宋_GB2312" w:hAnsi="Times New Roman" w:eastAsia="仿宋_GB2312" w:cs="Times New Roman"/>
          <w:color w:val="auto"/>
          <w:sz w:val="32"/>
          <w:szCs w:val="32"/>
        </w:rPr>
        <w:t>环江毛南族自治县糖业发展中心</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Times New Roman" w:eastAsia="仿宋_GB2312" w:cs="Times New Roman"/>
          <w:color w:val="auto"/>
          <w:sz w:val="32"/>
          <w:szCs w:val="32"/>
        </w:rPr>
        <w:t>安排的支出</w:t>
      </w:r>
      <w:bookmarkEnd w:id="5"/>
      <w:r>
        <w:rPr>
          <w:rFonts w:hint="eastAsia" w:ascii="仿宋_GB2312" w:hAnsi="Times New Roman" w:eastAsia="仿宋_GB2312" w:cs="Times New Roman"/>
          <w:color w:val="auto"/>
          <w:sz w:val="32"/>
          <w:szCs w:val="32"/>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六、财政拨款“三公”经费支出决算情况说明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2022年预算财政拨款安排的“三公”经费支出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是：无。</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numPr>
          <w:ilvl w:val="0"/>
          <w:numId w:val="3"/>
        </w:num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r>
        <w:rPr>
          <w:rFonts w:hint="eastAsia" w:ascii="仿宋" w:hAnsi="仿宋" w:eastAsia="仿宋" w:cs="仿宋"/>
          <w:sz w:val="32"/>
          <w:szCs w:val="32"/>
          <w:highlight w:val="none"/>
          <w:lang w:val="en-US" w:eastAsia="zh-CN"/>
        </w:rPr>
        <w:t>本单位没有因公出国费用。</w:t>
      </w:r>
    </w:p>
    <w:p>
      <w:pPr>
        <w:numPr>
          <w:ilvl w:val="0"/>
          <w:numId w:val="0"/>
        </w:numPr>
        <w:ind w:firstLine="640" w:firstLineChars="200"/>
        <w:jc w:val="left"/>
        <w:rPr>
          <w:rFonts w:hint="eastAsia" w:ascii="仿宋" w:hAnsi="仿宋" w:eastAsia="仿宋" w:cs="仿宋"/>
          <w:color w:val="FF0000"/>
          <w:sz w:val="32"/>
          <w:szCs w:val="32"/>
        </w:rPr>
      </w:pPr>
      <w:r>
        <w:rPr>
          <w:rFonts w:hint="eastAsia" w:ascii="仿宋" w:hAnsi="仿宋" w:eastAsia="仿宋" w:cs="仿宋"/>
          <w:sz w:val="32"/>
          <w:szCs w:val="32"/>
          <w:highlight w:val="none"/>
        </w:rPr>
        <w:t>（二）公</w:t>
      </w:r>
      <w:r>
        <w:rPr>
          <w:rFonts w:hint="eastAsia" w:ascii="仿宋" w:hAnsi="仿宋" w:eastAsia="仿宋" w:cs="仿宋"/>
          <w:color w:val="auto"/>
          <w:sz w:val="32"/>
          <w:szCs w:val="32"/>
          <w:highlight w:val="none"/>
        </w:rPr>
        <w:t>务用车购置及运行维护费</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万元。其中：公务用车购置支出</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u w:color="auto"/>
        </w:rPr>
        <w:t>0%</w:t>
      </w:r>
      <w:r>
        <w:rPr>
          <w:rFonts w:hint="eastAsia" w:ascii="仿宋" w:hAnsi="仿宋" w:eastAsia="仿宋" w:cs="仿宋"/>
          <w:color w:val="auto"/>
          <w:sz w:val="32"/>
          <w:szCs w:val="32"/>
          <w:highlight w:val="none"/>
        </w:rPr>
        <w:t>，比上年</w:t>
      </w:r>
      <w:r>
        <w:rPr>
          <w:rFonts w:ascii="仿宋" w:hAnsi="仿宋" w:eastAsia="仿宋" w:cs="仿宋"/>
          <w:color w:val="auto"/>
          <w:sz w:val="32"/>
          <w:u w:color="auto"/>
        </w:rPr>
        <w:t>增加0.00</w:t>
      </w:r>
      <w:r>
        <w:rPr>
          <w:rFonts w:hint="eastAsia" w:ascii="仿宋" w:hAnsi="仿宋" w:eastAsia="仿宋" w:cs="仿宋"/>
          <w:color w:val="auto"/>
          <w:sz w:val="32"/>
          <w:szCs w:val="32"/>
          <w:highlight w:val="none"/>
        </w:rPr>
        <w:t xml:space="preserve"> 万元。</w:t>
      </w:r>
      <w:bookmarkStart w:id="6" w:name="PO_part3A6B2IncReason1"/>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rPr>
        <w:t>本部门无公务用车购置）</w:t>
      </w:r>
      <w:bookmarkEnd w:id="6"/>
    </w:p>
    <w:p>
      <w:pPr>
        <w:ind w:firstLine="640" w:firstLineChars="20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万元。2022年，</w:t>
      </w:r>
      <w:r>
        <w:rPr>
          <w:rFonts w:ascii="仿宋" w:hAnsi="仿宋" w:eastAsia="仿宋" w:cs="仿宋"/>
          <w:sz w:val="32"/>
          <w:u w:color="auto"/>
        </w:rPr>
        <w:t>环江毛南族自治县糖业发展中心</w:t>
      </w:r>
      <w:r>
        <w:rPr>
          <w:rFonts w:hint="eastAsia" w:ascii="仿宋" w:hAnsi="仿宋" w:eastAsia="仿宋" w:cs="仿宋"/>
          <w:sz w:val="32"/>
          <w:szCs w:val="32"/>
          <w:highlight w:val="none"/>
        </w:rPr>
        <w:t>开支财政拨款的公务用车保有量为</w:t>
      </w:r>
      <w:r>
        <w:rPr>
          <w:rFonts w:ascii="仿宋" w:hAnsi="仿宋" w:eastAsia="仿宋" w:cs="仿宋"/>
          <w:sz w:val="32"/>
          <w:u w:color="auto"/>
        </w:rPr>
        <w:t>0</w:t>
      </w:r>
      <w:r>
        <w:rPr>
          <w:rFonts w:hint="eastAsia" w:ascii="仿宋" w:hAnsi="仿宋" w:eastAsia="仿宋" w:cs="仿宋"/>
          <w:sz w:val="32"/>
          <w:szCs w:val="32"/>
          <w:highlight w:val="none"/>
        </w:rPr>
        <w:t>辆，全年运行费支出</w:t>
      </w:r>
      <w:r>
        <w:rPr>
          <w:rFonts w:ascii="仿宋" w:hAnsi="仿宋" w:eastAsia="仿宋" w:cs="仿宋"/>
          <w:sz w:val="32"/>
          <w:u w:color="auto"/>
        </w:rPr>
        <w:t>0.</w:t>
      </w:r>
      <w:r>
        <w:rPr>
          <w:rFonts w:ascii="仿宋" w:hAnsi="仿宋" w:eastAsia="仿宋" w:cs="仿宋"/>
          <w:color w:val="auto"/>
          <w:sz w:val="32"/>
          <w:u w:color="auto"/>
        </w:rPr>
        <w:t>00</w:t>
      </w:r>
      <w:r>
        <w:rPr>
          <w:rFonts w:hint="eastAsia" w:ascii="仿宋" w:hAnsi="仿宋" w:eastAsia="仿宋" w:cs="仿宋"/>
          <w:color w:val="auto"/>
          <w:sz w:val="32"/>
          <w:szCs w:val="32"/>
          <w:highlight w:val="none"/>
        </w:rPr>
        <w:t>万元。</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w:t>
      </w:r>
      <w:r>
        <w:rPr>
          <w:rFonts w:hint="eastAsia" w:ascii="仿宋" w:hAnsi="仿宋" w:eastAsia="仿宋" w:cs="仿宋"/>
          <w:color w:val="auto"/>
          <w:sz w:val="32"/>
          <w:szCs w:val="32"/>
          <w:highlight w:val="none"/>
        </w:rPr>
        <w:t>元</w:t>
      </w:r>
      <w:r>
        <w:rPr>
          <w:rFonts w:hint="eastAsia" w:ascii="仿宋" w:hAnsi="仿宋" w:eastAsia="仿宋" w:cs="仿宋"/>
          <w:color w:val="auto"/>
          <w:kern w:val="2"/>
          <w:sz w:val="32"/>
          <w:szCs w:val="32"/>
          <w:highlight w:val="none"/>
          <w:lang w:val="en-US" w:eastAsia="zh-CN" w:bidi="ar"/>
        </w:rPr>
        <w:t>。</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ind w:firstLine="640" w:firstLineChars="200"/>
        <w:jc w:val="left"/>
        <w:rPr>
          <w:rFonts w:hint="eastAsia" w:ascii="仿宋" w:hAnsi="仿宋" w:eastAsia="仿宋" w:cs="仿宋"/>
          <w:color w:val="FF0000"/>
          <w:sz w:val="32"/>
          <w:szCs w:val="32"/>
          <w:highlight w:val="none"/>
        </w:rPr>
      </w:pPr>
      <w:r>
        <w:rPr>
          <w:rFonts w:hint="eastAsia" w:ascii="仿宋" w:hAnsi="仿宋" w:eastAsia="仿宋" w:cs="仿宋"/>
          <w:sz w:val="32"/>
          <w:szCs w:val="32"/>
          <w:highlight w:val="none"/>
        </w:rPr>
        <w:t>本部门2022年度机关运行经费支出</w:t>
      </w:r>
      <w:r>
        <w:rPr>
          <w:rFonts w:ascii="仿宋" w:hAnsi="仿宋" w:eastAsia="仿宋" w:cs="仿宋"/>
          <w:sz w:val="32"/>
          <w:szCs w:val="32"/>
          <w:highlight w:val="none"/>
        </w:rPr>
        <w:t>12.62</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减少2.64</w:t>
      </w:r>
      <w:r>
        <w:rPr>
          <w:rFonts w:hint="eastAsia" w:ascii="仿宋" w:hAnsi="仿宋" w:eastAsia="仿宋" w:cs="仿宋"/>
          <w:sz w:val="32"/>
          <w:szCs w:val="32"/>
          <w:highlight w:val="none"/>
        </w:rPr>
        <w:t>万元，</w:t>
      </w:r>
      <w:r>
        <w:rPr>
          <w:rFonts w:ascii="仿宋" w:hAnsi="仿宋" w:eastAsia="仿宋" w:cs="仿宋"/>
          <w:sz w:val="32"/>
          <w:szCs w:val="32"/>
          <w:highlight w:val="none"/>
        </w:rPr>
        <w:t>下降17.3%</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增加9.92</w:t>
      </w:r>
      <w:r>
        <w:rPr>
          <w:rFonts w:hint="eastAsia" w:ascii="仿宋" w:hAnsi="仿宋" w:eastAsia="仿宋" w:cs="仿宋"/>
          <w:sz w:val="32"/>
          <w:szCs w:val="32"/>
          <w:highlight w:val="none"/>
        </w:rPr>
        <w:t>万元，</w:t>
      </w:r>
      <w:r>
        <w:rPr>
          <w:rFonts w:ascii="仿宋" w:hAnsi="仿宋" w:eastAsia="仿宋" w:cs="仿宋"/>
          <w:sz w:val="32"/>
          <w:szCs w:val="32"/>
          <w:highlight w:val="none"/>
        </w:rPr>
        <w:t>增长367.41%</w:t>
      </w:r>
      <w:r>
        <w:rPr>
          <w:rFonts w:hint="eastAsia" w:ascii="仿宋" w:hAnsi="仿宋" w:eastAsia="仿宋" w:cs="仿宋"/>
          <w:sz w:val="32"/>
          <w:szCs w:val="32"/>
          <w:highlight w:val="none"/>
        </w:rPr>
        <w:t>。</w:t>
      </w:r>
      <w:r>
        <w:rPr>
          <w:rFonts w:hint="eastAsia" w:ascii="仿宋_GB2312" w:eastAsia="仿宋_GB2312" w:cs="仿宋_GB2312"/>
          <w:kern w:val="0"/>
          <w:sz w:val="32"/>
          <w:szCs w:val="32"/>
        </w:rPr>
        <w:t>主要原因是</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lang w:val="en-US" w:eastAsia="zh-CN"/>
        </w:rPr>
        <w:t>比预算少的原因有部分办公费未支付；</w:t>
      </w:r>
      <w:r>
        <w:rPr>
          <w:rFonts w:hint="eastAsia" w:ascii="仿宋_GB2312" w:eastAsia="仿宋_GB2312" w:cs="仿宋_GB2312"/>
          <w:kern w:val="0"/>
          <w:sz w:val="32"/>
          <w:szCs w:val="32"/>
        </w:rPr>
        <w:t>比上年决算数增加原因是：</w:t>
      </w:r>
      <w:r>
        <w:rPr>
          <w:rFonts w:hint="eastAsia" w:ascii="仿宋_GB2312" w:hAnsi="仿宋_GB2312" w:eastAsia="仿宋_GB2312" w:cs="仿宋_GB2312"/>
          <w:kern w:val="0"/>
          <w:sz w:val="32"/>
          <w:szCs w:val="32"/>
          <w:highlight w:val="none"/>
          <w:lang w:val="en-US" w:eastAsia="zh-CN"/>
        </w:rPr>
        <w:t>2021年决算交通补贴未纳入机关运行费。</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ascii="仿宋" w:hAnsi="仿宋" w:eastAsia="仿宋" w:cs="仿宋"/>
          <w:sz w:val="32"/>
          <w:szCs w:val="32"/>
          <w:highlight w:val="none"/>
        </w:rPr>
        <w:t>1.96</w:t>
      </w:r>
      <w:r>
        <w:rPr>
          <w:rFonts w:hint="eastAsia" w:ascii="仿宋" w:hAnsi="仿宋" w:eastAsia="仿宋" w:cs="仿宋"/>
          <w:sz w:val="32"/>
          <w:szCs w:val="32"/>
          <w:highlight w:val="none"/>
        </w:rPr>
        <w:t>万元，其中：政府采购货物支出</w:t>
      </w:r>
      <w:r>
        <w:rPr>
          <w:rFonts w:ascii="仿宋" w:hAnsi="仿宋" w:eastAsia="仿宋" w:cs="仿宋"/>
          <w:sz w:val="32"/>
          <w:szCs w:val="32"/>
          <w:highlight w:val="none"/>
        </w:rPr>
        <w:t>1.96</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0.00%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ascii="仿宋" w:hAnsi="仿宋" w:eastAsia="仿宋" w:cs="仿宋"/>
          <w:color w:val="auto"/>
          <w:sz w:val="32"/>
          <w:szCs w:val="32"/>
          <w:u w:val="none"/>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kern w:val="0"/>
          <w:sz w:val="32"/>
          <w:szCs w:val="32"/>
          <w:lang w:eastAsia="zh-CN"/>
        </w:rPr>
        <w:t>“高糖糖料蔗栽培技术培训</w:t>
      </w:r>
      <w:r>
        <w:rPr>
          <w:rFonts w:hint="eastAsia" w:ascii="仿宋_GB2312" w:eastAsia="仿宋_GB2312" w:cs="仿宋_GB2312"/>
          <w:kern w:val="0"/>
          <w:sz w:val="32"/>
          <w:szCs w:val="32"/>
        </w:rPr>
        <w:t>”</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个项目支出全面开展绩效自评，涉及一般公共预算支出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2.5</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万元，国有资本经营预算支出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 w:hAnsi="仿宋" w:eastAsia="仿宋" w:cs="仿宋"/>
          <w:color w:val="auto"/>
          <w:kern w:val="0"/>
          <w:sz w:val="32"/>
          <w:szCs w:val="32"/>
          <w:u w:val="none"/>
        </w:rPr>
        <w:t>一年来，</w:t>
      </w:r>
      <w:r>
        <w:rPr>
          <w:rFonts w:hint="eastAsia" w:ascii="仿宋" w:hAnsi="仿宋" w:eastAsia="仿宋" w:cs="仿宋"/>
          <w:color w:val="auto"/>
          <w:sz w:val="32"/>
          <w:szCs w:val="32"/>
          <w:u w:val="none"/>
        </w:rPr>
        <w:t>本部门各单位能认真履行职责，做好统筹协调、各类重要工作</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工作经费及时落实到位，保证了各项工作的按时、有序开展；业务管理和财务管理制度比较健全，并能得到贯彻执行，</w:t>
      </w:r>
      <w:r>
        <w:rPr>
          <w:rFonts w:hint="eastAsia" w:ascii="仿宋" w:hAnsi="仿宋" w:eastAsia="仿宋" w:cs="仿宋"/>
          <w:color w:val="auto"/>
          <w:kern w:val="0"/>
          <w:sz w:val="32"/>
          <w:szCs w:val="32"/>
          <w:u w:val="none"/>
        </w:rPr>
        <w:t>整体支出绩效评价效果较好，达到了预期</w:t>
      </w:r>
      <w:r>
        <w:rPr>
          <w:rFonts w:hint="eastAsia" w:ascii="仿宋" w:hAnsi="仿宋" w:eastAsia="仿宋" w:cs="仿宋"/>
          <w:color w:val="auto"/>
          <w:sz w:val="32"/>
          <w:szCs w:val="32"/>
          <w:u w:val="none"/>
        </w:rPr>
        <w:t>目标。</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2.部门决算中项目绩效自评结果</w:t>
      </w:r>
      <w:r>
        <w:rPr>
          <w:rFonts w:hint="eastAsia" w:ascii="仿宋" w:hAnsi="仿宋" w:eastAsia="仿宋" w:cs="仿宋"/>
          <w:color w:val="FF0000"/>
          <w:sz w:val="32"/>
          <w:szCs w:val="32"/>
        </w:rPr>
        <w:t>。</w:t>
      </w:r>
    </w:p>
    <w:p>
      <w:pPr>
        <w:widowControl/>
        <w:spacing w:line="600" w:lineRule="exact"/>
        <w:ind w:firstLine="640"/>
        <w:rPr>
          <w:rFonts w:hint="eastAsia" w:ascii="仿宋" w:hAnsi="仿宋" w:eastAsia="仿宋" w:cs="仿宋"/>
          <w:color w:val="auto"/>
          <w:kern w:val="0"/>
          <w:sz w:val="32"/>
          <w:szCs w:val="32"/>
          <w:u w:val="none"/>
          <w:lang w:eastAsia="zh-CN"/>
        </w:rPr>
      </w:pPr>
      <w:r>
        <w:rPr>
          <w:rFonts w:hint="eastAsia" w:ascii="仿宋" w:hAnsi="仿宋" w:eastAsia="仿宋" w:cs="仿宋"/>
          <w:color w:val="000000" w:themeColor="text1"/>
          <w:sz w:val="32"/>
          <w:szCs w:val="32"/>
          <w14:textFill>
            <w14:solidFill>
              <w14:schemeClr w14:val="tx1"/>
            </w14:solidFill>
          </w14:textFill>
        </w:rPr>
        <w:t>我部门根据年初设定的绩效目标，</w:t>
      </w:r>
      <w:r>
        <w:rPr>
          <w:rFonts w:hint="eastAsia" w:ascii="仿宋" w:hAnsi="仿宋" w:eastAsia="仿宋" w:cs="仿宋"/>
          <w:kern w:val="0"/>
          <w:sz w:val="32"/>
          <w:szCs w:val="32"/>
          <w:lang w:eastAsia="zh-CN"/>
        </w:rPr>
        <w:t>“高糖糖料蔗栽培技术培训</w:t>
      </w:r>
      <w:r>
        <w:rPr>
          <w:rFonts w:hint="eastAsia" w:ascii="仿宋_GB2312" w:eastAsia="仿宋_GB2312" w:cs="仿宋_GB2312"/>
          <w:kern w:val="0"/>
          <w:sz w:val="32"/>
          <w:szCs w:val="32"/>
        </w:rPr>
        <w:t>”</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_GB2312" w:eastAsia="仿宋_GB2312" w:cs="仿宋_GB2312"/>
          <w:kern w:val="0"/>
          <w:sz w:val="32"/>
          <w:szCs w:val="32"/>
        </w:rPr>
        <w:t>项目绩效目标完成情况：</w:t>
      </w:r>
      <w:r>
        <w:rPr>
          <w:rFonts w:hint="eastAsia" w:ascii="仿宋" w:hAnsi="仿宋" w:eastAsia="仿宋" w:cs="仿宋"/>
          <w:kern w:val="0"/>
          <w:sz w:val="32"/>
          <w:szCs w:val="32"/>
          <w:lang w:eastAsia="zh-CN"/>
        </w:rPr>
        <w:t>已在全县主要蔗区举办糖蔗“双高”栽培技术培训班4期，培训2</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lang w:eastAsia="zh-CN"/>
        </w:rPr>
        <w:t>0人次，发放宣传学学习资料</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lang w:eastAsia="zh-CN"/>
        </w:rPr>
        <w:t>00份。</w:t>
      </w:r>
      <w:r>
        <w:rPr>
          <w:rFonts w:hint="eastAsia" w:ascii="仿宋" w:hAnsi="仿宋" w:eastAsia="仿宋" w:cs="仿宋"/>
          <w:kern w:val="0"/>
          <w:sz w:val="32"/>
          <w:szCs w:val="32"/>
        </w:rPr>
        <w:t>通过技术培训使蔗农掌握更多的糖蔗栽培生产技术，从而促进糖蔗生产整体效益</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提高蔗农生产收入</w:t>
      </w:r>
      <w:r>
        <w:rPr>
          <w:rFonts w:hint="eastAsia" w:ascii="仿宋" w:hAnsi="仿宋" w:eastAsia="仿宋" w:cs="仿宋"/>
          <w:kern w:val="0"/>
          <w:sz w:val="32"/>
          <w:szCs w:val="32"/>
          <w:lang w:val="en-US" w:eastAsia="zh-CN"/>
        </w:rPr>
        <w:t>18元/年.人,</w:t>
      </w:r>
      <w:r>
        <w:rPr>
          <w:rFonts w:hint="eastAsia" w:ascii="仿宋" w:hAnsi="仿宋" w:eastAsia="仿宋" w:cs="仿宋"/>
          <w:color w:val="auto"/>
          <w:kern w:val="0"/>
          <w:sz w:val="32"/>
          <w:szCs w:val="32"/>
          <w:u w:val="none"/>
        </w:rPr>
        <w:t>达到</w:t>
      </w:r>
      <w:r>
        <w:rPr>
          <w:rFonts w:hint="eastAsia" w:ascii="仿宋" w:hAnsi="仿宋" w:eastAsia="仿宋" w:cs="仿宋"/>
          <w:color w:val="auto"/>
          <w:kern w:val="0"/>
          <w:sz w:val="32"/>
          <w:szCs w:val="32"/>
          <w:u w:val="none"/>
          <w:lang w:eastAsia="zh-CN"/>
        </w:rPr>
        <w:t>了预期的</w:t>
      </w:r>
      <w:r>
        <w:rPr>
          <w:rFonts w:hint="eastAsia" w:ascii="仿宋" w:hAnsi="仿宋" w:eastAsia="仿宋" w:cs="仿宋"/>
          <w:color w:val="auto"/>
          <w:kern w:val="0"/>
          <w:sz w:val="32"/>
          <w:szCs w:val="32"/>
          <w:u w:val="none"/>
        </w:rPr>
        <w:t>绩效效果</w:t>
      </w:r>
      <w:r>
        <w:rPr>
          <w:rFonts w:hint="eastAsia" w:ascii="仿宋" w:hAnsi="仿宋" w:eastAsia="仿宋" w:cs="仿宋"/>
          <w:color w:val="auto"/>
          <w:kern w:val="0"/>
          <w:sz w:val="32"/>
          <w:szCs w:val="32"/>
          <w:u w:val="none"/>
          <w:lang w:eastAsia="zh-CN"/>
        </w:rPr>
        <w:t>。</w:t>
      </w:r>
    </w:p>
    <w:p>
      <w:pPr>
        <w:jc w:val="left"/>
        <w:rPr>
          <w:rFonts w:hint="eastAsia" w:ascii="仿宋" w:hAnsi="仿宋" w:eastAsia="仿宋" w:cs="仿宋"/>
          <w:sz w:val="32"/>
          <w:szCs w:val="32"/>
          <w:highlight w:val="none"/>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ascii="仿宋" w:hAnsi="仿宋" w:eastAsia="仿宋" w:cs="仿宋"/>
          <w:sz w:val="32"/>
          <w:u w:color="auto"/>
        </w:rPr>
        <w:t>环江毛南族自治县财政部门当年拨付的资金。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ascii="仿宋" w:hAnsi="仿宋" w:eastAsia="仿宋" w:cs="仿宋"/>
          <w:sz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1427DB"/>
    <w:multiLevelType w:val="singleLevel"/>
    <w:tmpl w:val="831427DB"/>
    <w:lvl w:ilvl="0" w:tentative="0">
      <w:start w:val="1"/>
      <w:numFmt w:val="chineseCounting"/>
      <w:suff w:val="nothing"/>
      <w:lvlText w:val="（%1）"/>
      <w:lvlJc w:val="left"/>
      <w:rPr>
        <w:rFonts w:hint="eastAsia"/>
      </w:rPr>
    </w:lvl>
  </w:abstractNum>
  <w:abstractNum w:abstractNumId="1">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2">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FiOTZkYjkwN2Q1MTBhY2U1NDI3ZmEwNzcyMDM4OGM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17236F"/>
    <w:rsid w:val="02E0291A"/>
    <w:rsid w:val="04E54546"/>
    <w:rsid w:val="05992762"/>
    <w:rsid w:val="07B0770E"/>
    <w:rsid w:val="089C289E"/>
    <w:rsid w:val="0942143F"/>
    <w:rsid w:val="09D52A91"/>
    <w:rsid w:val="0D100297"/>
    <w:rsid w:val="0D202B45"/>
    <w:rsid w:val="0F8D4C87"/>
    <w:rsid w:val="10505FAA"/>
    <w:rsid w:val="105F7E7E"/>
    <w:rsid w:val="107A0036"/>
    <w:rsid w:val="11E56B5B"/>
    <w:rsid w:val="121274BA"/>
    <w:rsid w:val="125C77AB"/>
    <w:rsid w:val="14CB726E"/>
    <w:rsid w:val="17E92249"/>
    <w:rsid w:val="18D304F1"/>
    <w:rsid w:val="19F32577"/>
    <w:rsid w:val="19F45B80"/>
    <w:rsid w:val="1B0C078D"/>
    <w:rsid w:val="1B2B31E2"/>
    <w:rsid w:val="1B4C295A"/>
    <w:rsid w:val="1B973C63"/>
    <w:rsid w:val="1BA1001E"/>
    <w:rsid w:val="1D317259"/>
    <w:rsid w:val="1E664F5B"/>
    <w:rsid w:val="1EB34BE1"/>
    <w:rsid w:val="21563961"/>
    <w:rsid w:val="215E639F"/>
    <w:rsid w:val="21EC3183"/>
    <w:rsid w:val="225E72CD"/>
    <w:rsid w:val="246E2F77"/>
    <w:rsid w:val="254B4E2B"/>
    <w:rsid w:val="283D7C94"/>
    <w:rsid w:val="2880617F"/>
    <w:rsid w:val="29480E03"/>
    <w:rsid w:val="2983634D"/>
    <w:rsid w:val="2BB02055"/>
    <w:rsid w:val="2C575A56"/>
    <w:rsid w:val="2F257714"/>
    <w:rsid w:val="2F3275E5"/>
    <w:rsid w:val="30AA08EF"/>
    <w:rsid w:val="30CB35A4"/>
    <w:rsid w:val="30D23D1C"/>
    <w:rsid w:val="31221CF5"/>
    <w:rsid w:val="31400178"/>
    <w:rsid w:val="321E3342"/>
    <w:rsid w:val="327759C8"/>
    <w:rsid w:val="33185FE3"/>
    <w:rsid w:val="34EE2E36"/>
    <w:rsid w:val="36777241"/>
    <w:rsid w:val="371E78D5"/>
    <w:rsid w:val="38A951DB"/>
    <w:rsid w:val="38B31605"/>
    <w:rsid w:val="39003F4F"/>
    <w:rsid w:val="390D420D"/>
    <w:rsid w:val="39754CE8"/>
    <w:rsid w:val="3C07002B"/>
    <w:rsid w:val="3D0D152A"/>
    <w:rsid w:val="3DF62756"/>
    <w:rsid w:val="3F1B7587"/>
    <w:rsid w:val="41E57B4F"/>
    <w:rsid w:val="432F26F6"/>
    <w:rsid w:val="43880F63"/>
    <w:rsid w:val="441C5A6F"/>
    <w:rsid w:val="447B391D"/>
    <w:rsid w:val="448E79FC"/>
    <w:rsid w:val="44C44FCC"/>
    <w:rsid w:val="44CC7369"/>
    <w:rsid w:val="457F5108"/>
    <w:rsid w:val="46951B6B"/>
    <w:rsid w:val="46E03C6B"/>
    <w:rsid w:val="48436667"/>
    <w:rsid w:val="49A34401"/>
    <w:rsid w:val="4A3E30AB"/>
    <w:rsid w:val="4AC14DAC"/>
    <w:rsid w:val="4D154C85"/>
    <w:rsid w:val="4EB35ECE"/>
    <w:rsid w:val="4FE33FF0"/>
    <w:rsid w:val="508F4E24"/>
    <w:rsid w:val="51461E90"/>
    <w:rsid w:val="51463753"/>
    <w:rsid w:val="52553A93"/>
    <w:rsid w:val="53521F8B"/>
    <w:rsid w:val="53E22F47"/>
    <w:rsid w:val="54522FF8"/>
    <w:rsid w:val="55450629"/>
    <w:rsid w:val="56692963"/>
    <w:rsid w:val="568B0F48"/>
    <w:rsid w:val="57320A59"/>
    <w:rsid w:val="5786217B"/>
    <w:rsid w:val="58B7705F"/>
    <w:rsid w:val="59103795"/>
    <w:rsid w:val="59337A15"/>
    <w:rsid w:val="59810274"/>
    <w:rsid w:val="5CA96A00"/>
    <w:rsid w:val="5CF730BC"/>
    <w:rsid w:val="5CFF1837"/>
    <w:rsid w:val="5E5F0DCE"/>
    <w:rsid w:val="5FA40A7B"/>
    <w:rsid w:val="5FD56D29"/>
    <w:rsid w:val="5FEC7F3F"/>
    <w:rsid w:val="60F74BC3"/>
    <w:rsid w:val="617D3BF8"/>
    <w:rsid w:val="61841F6A"/>
    <w:rsid w:val="623007A9"/>
    <w:rsid w:val="62EA4391"/>
    <w:rsid w:val="62ED4F84"/>
    <w:rsid w:val="637D7558"/>
    <w:rsid w:val="637E083C"/>
    <w:rsid w:val="644F19AC"/>
    <w:rsid w:val="65AA4920"/>
    <w:rsid w:val="65E31D0B"/>
    <w:rsid w:val="66282AD4"/>
    <w:rsid w:val="66696F6A"/>
    <w:rsid w:val="67595C50"/>
    <w:rsid w:val="67694F1E"/>
    <w:rsid w:val="683B4692"/>
    <w:rsid w:val="69597934"/>
    <w:rsid w:val="6B964DDC"/>
    <w:rsid w:val="6C783074"/>
    <w:rsid w:val="6D9E65C6"/>
    <w:rsid w:val="6DA81947"/>
    <w:rsid w:val="6EB66DE2"/>
    <w:rsid w:val="6ED3075F"/>
    <w:rsid w:val="6F2A2D4B"/>
    <w:rsid w:val="6F8A0C1E"/>
    <w:rsid w:val="703F45D4"/>
    <w:rsid w:val="715D6546"/>
    <w:rsid w:val="71BE069E"/>
    <w:rsid w:val="73953409"/>
    <w:rsid w:val="73E069A3"/>
    <w:rsid w:val="78104AA8"/>
    <w:rsid w:val="78E257C5"/>
    <w:rsid w:val="794B35BE"/>
    <w:rsid w:val="7B0A3A31"/>
    <w:rsid w:val="7B3360ED"/>
    <w:rsid w:val="7BDF037E"/>
    <w:rsid w:val="7BF50948"/>
    <w:rsid w:val="7CC36EE8"/>
    <w:rsid w:val="7CE66A78"/>
    <w:rsid w:val="7D23564C"/>
    <w:rsid w:val="7D5E062D"/>
    <w:rsid w:val="7DF76CD8"/>
    <w:rsid w:val="7F695C26"/>
    <w:rsid w:val="7F8519C2"/>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2.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10.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一般公共预算财政拨款收入</c:v>
                </c:pt>
              </c:strCache>
            </c:strRef>
          </c:cat>
          <c:val>
            <c:numRef>
              <c:f>Sheet1!$B$2</c:f>
              <c:numCache>
                <c:formatCode>General</c:formatCode>
                <c:ptCount val="1"/>
                <c:pt idx="0">
                  <c:v>219.23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Sheet1!$A$2:$A$13</c:f>
              <c:strCach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strCache>
            </c:strRef>
          </c:cat>
          <c:val>
            <c:numRef>
              <c:f>Sheet1!$B$2:$B$13</c:f>
              <c:numCache>
                <c:formatCode>General</c:formatCode>
                <c:ptCount val="12"/>
                <c:pt idx="0">
                  <c:v>0</c:v>
                </c:pt>
                <c:pt idx="1">
                  <c:v>0</c:v>
                </c:pt>
                <c:pt idx="2">
                  <c:v>0</c:v>
                </c:pt>
                <c:pt idx="3">
                  <c:v>0</c:v>
                </c:pt>
                <c:pt idx="4">
                  <c:v>11.01</c:v>
                </c:pt>
                <c:pt idx="5">
                  <c:v>0</c:v>
                </c:pt>
                <c:pt idx="6">
                  <c:v>0</c:v>
                </c:pt>
                <c:pt idx="7">
                  <c:v>0</c:v>
                </c:pt>
                <c:pt idx="8">
                  <c:v>0</c:v>
                </c:pt>
                <c:pt idx="9">
                  <c:v>0</c:v>
                </c:pt>
                <c:pt idx="10">
                  <c:v>0</c:v>
                </c:pt>
                <c:pt idx="11">
                  <c:v>0.01</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39907</c:v>
                </c:pt>
                <c:pt idx="1">
                  <c:v>39908</c:v>
                </c:pt>
                <c:pt idx="2">
                  <c:v>39909</c:v>
                </c:pt>
                <c:pt idx="3">
                  <c:v>39910</c:v>
                </c:pt>
                <c:pt idx="4">
                  <c:v>39999</c:v>
                </c:pt>
              </c:strCache>
            </c:str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社会保障和就业支出</c:v>
                </c:pt>
                <c:pt idx="2">
                  <c:v>农林水支出</c:v>
                </c:pt>
                <c:pt idx="3">
                  <c:v>住房保障支出</c:v>
                </c:pt>
                <c:pt idx="4">
                  <c:v>其他支出</c:v>
                </c:pt>
              </c:strCache>
            </c:strRef>
          </c:cat>
          <c:val>
            <c:numRef>
              <c:f>Sheet1!$B$2:$B$6</c:f>
              <c:numCache>
                <c:formatCode>General</c:formatCode>
                <c:ptCount val="5"/>
                <c:pt idx="0">
                  <c:v>0</c:v>
                </c:pt>
                <c:pt idx="1">
                  <c:v>18.89</c:v>
                </c:pt>
                <c:pt idx="2">
                  <c:v>180.83</c:v>
                </c:pt>
                <c:pt idx="3">
                  <c:v>15.05</c:v>
                </c:pt>
                <c:pt idx="4">
                  <c:v>42.71</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社会保障和就业支出</c:v>
                </c:pt>
                <c:pt idx="2">
                  <c:v>农林水支出</c:v>
                </c:pt>
                <c:pt idx="3">
                  <c:v>住房保障支出</c:v>
                </c:pt>
                <c:pt idx="4">
                  <c:v>其他支出</c:v>
                </c:pt>
              </c:strCache>
            </c:strRef>
          </c:cat>
          <c:val>
            <c:numRef>
              <c:f>Sheet1!$C$2:$C$6</c:f>
              <c:numCache>
                <c:formatCode>General</c:formatCode>
                <c:ptCount val="5"/>
                <c:pt idx="0">
                  <c:v>2.83</c:v>
                </c:pt>
                <c:pt idx="1">
                  <c:v>18.6</c:v>
                </c:pt>
                <c:pt idx="2">
                  <c:v>147.66</c:v>
                </c:pt>
                <c:pt idx="3">
                  <c:v>15.21</c:v>
                </c:pt>
                <c:pt idx="4">
                  <c:v>34.94</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2012999</c:v>
                </c:pt>
                <c:pt idx="1">
                  <c:v>201x</c:v>
                </c:pt>
              </c:strCache>
            </c:strRef>
          </c:cat>
          <c:val>
            <c:numRef>
              <c:f>Sheet1!$B$2:$B$3</c:f>
              <c:numCache>
                <c:formatCode>General</c:formatCode>
                <c:ptCount val="2"/>
                <c:pt idx="0">
                  <c:v>2.83</c:v>
                </c:pt>
                <c:pt idx="1">
                  <c:v>2.83</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18.6</c:v>
                </c:pt>
                <c:pt idx="1">
                  <c:v>18.6</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农林水支出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2130104</c:v>
                </c:pt>
                <c:pt idx="1">
                  <c:v>213x</c:v>
                </c:pt>
              </c:strCache>
            </c:strRef>
          </c:cat>
          <c:val>
            <c:numRef>
              <c:f>Sheet1!$B$2:$B$3</c:f>
              <c:numCache>
                <c:formatCode>General</c:formatCode>
                <c:ptCount val="2"/>
                <c:pt idx="0">
                  <c:v>147.66</c:v>
                </c:pt>
                <c:pt idx="1">
                  <c:v>147.66</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15.21</c:v>
                </c:pt>
                <c:pt idx="1">
                  <c:v>15.21</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34.94</c:v>
                </c:pt>
                <c:pt idx="1">
                  <c:v>34.94</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Sheet1!$A$2:$A$14</c:f>
              <c:strCach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strCache>
            </c:strRef>
          </c:cat>
          <c:val>
            <c:numRef>
              <c:f>Sheet1!$B$2:$B$14</c:f>
              <c:numCache>
                <c:formatCode>General</c:formatCode>
                <c:ptCount val="13"/>
                <c:pt idx="0">
                  <c:v>58.58</c:v>
                </c:pt>
                <c:pt idx="1">
                  <c:v>23.72</c:v>
                </c:pt>
                <c:pt idx="2">
                  <c:v>51.26</c:v>
                </c:pt>
                <c:pt idx="3">
                  <c:v>2.4</c:v>
                </c:pt>
                <c:pt idx="4">
                  <c:v>9.89</c:v>
                </c:pt>
                <c:pt idx="5">
                  <c:v>18.6</c:v>
                </c:pt>
                <c:pt idx="6">
                  <c:v>0</c:v>
                </c:pt>
                <c:pt idx="7">
                  <c:v>4.95</c:v>
                </c:pt>
                <c:pt idx="8">
                  <c:v>0</c:v>
                </c:pt>
                <c:pt idx="9">
                  <c:v>1.77</c:v>
                </c:pt>
                <c:pt idx="10">
                  <c:v>15.21</c:v>
                </c:pt>
                <c:pt idx="11">
                  <c:v>0</c:v>
                </c:pt>
                <c:pt idx="12">
                  <c:v>2.88</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Sheet1!$A$2:$A$28</c:f>
              <c:strCach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strCache>
            </c:strRef>
          </c:cat>
          <c:val>
            <c:numRef>
              <c:f>Sheet1!$B$2:$B$28</c:f>
              <c:numCache>
                <c:formatCode>General</c:formatCode>
                <c:ptCount val="27"/>
                <c:pt idx="0">
                  <c:v>2.23</c:v>
                </c:pt>
                <c:pt idx="1">
                  <c:v>0</c:v>
                </c:pt>
                <c:pt idx="2">
                  <c:v>0</c:v>
                </c:pt>
                <c:pt idx="3">
                  <c:v>0</c:v>
                </c:pt>
                <c:pt idx="4">
                  <c:v>0.18</c:v>
                </c:pt>
                <c:pt idx="5">
                  <c:v>0.16</c:v>
                </c:pt>
                <c:pt idx="6">
                  <c:v>1.12</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2.83</c:v>
                </c:pt>
                <c:pt idx="22">
                  <c:v>0</c:v>
                </c:pt>
                <c:pt idx="23">
                  <c:v>0</c:v>
                </c:pt>
                <c:pt idx="24">
                  <c:v>6.1</c:v>
                </c:pt>
                <c:pt idx="25">
                  <c:v>0</c:v>
                </c:pt>
                <c:pt idx="26">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6615</Words>
  <Characters>13844</Characters>
  <Lines>90</Lines>
  <Paragraphs>25</Paragraphs>
  <TotalTime>227</TotalTime>
  <ScaleCrop>false</ScaleCrop>
  <LinksUpToDate>false</LinksUpToDate>
  <CharactersWithSpaces>13937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dcterms:modified xsi:type="dcterms:W3CDTF">2023-11-24T07:43:02Z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843F27823027460BAAAF19DF60EFFF0C_13</vt:lpwstr>
  </property>
</Properties>
</file>