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center"/>
        <w:rPr>
          <w:rFonts w:ascii="黑体" w:hAnsi="黑体" w:eastAsia="黑体" w:cs="黑体"/>
          <w:b/>
          <w:bCs/>
          <w:color w:val="auto"/>
          <w:sz w:val="52"/>
          <w:szCs w:val="52"/>
          <w:highlight w:val="none"/>
        </w:rPr>
      </w:pPr>
      <w:r>
        <w:rPr>
          <w:rFonts w:hint="eastAsia" w:ascii="黑体" w:hAnsi="黑体" w:eastAsia="黑体" w:cs="黑体"/>
          <w:b/>
          <w:bCs/>
          <w:color w:val="auto"/>
          <w:sz w:val="52"/>
          <w:szCs w:val="52"/>
          <w:highlight w:val="none"/>
          <w:lang w:val="en-US" w:eastAsia="zh-CN"/>
        </w:rPr>
        <w:t>环江毛南族自治县爱山林业试验场</w:t>
      </w:r>
      <w:r>
        <w:rPr>
          <w:rFonts w:hint="eastAsia" w:ascii="黑体" w:hAnsi="黑体" w:eastAsia="黑体" w:cs="黑体"/>
          <w:b/>
          <w:bCs/>
          <w:color w:val="auto"/>
          <w:sz w:val="52"/>
          <w:szCs w:val="52"/>
          <w:highlight w:val="none"/>
        </w:rPr>
        <w:t>2022年度部门决算</w:t>
      </w:r>
    </w:p>
    <w:p>
      <w:pPr>
        <w:jc w:val="center"/>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center"/>
        <w:rPr>
          <w:rFonts w:hint="eastAsia" w:ascii="黑体" w:hAnsi="黑体" w:eastAsia="黑体" w:cs="黑体"/>
          <w:b/>
          <w:bCs/>
          <w:color w:val="auto"/>
          <w:sz w:val="36"/>
          <w:szCs w:val="36"/>
          <w:highlight w:val="none"/>
          <w:lang w:val="en-US" w:eastAsia="zh-CN"/>
        </w:rPr>
      </w:pPr>
      <w:r>
        <w:rPr>
          <w:rFonts w:hint="eastAsia" w:ascii="黑体" w:hAnsi="黑体" w:eastAsia="黑体" w:cs="黑体"/>
          <w:b/>
          <w:bCs/>
          <w:color w:val="auto"/>
          <w:sz w:val="36"/>
          <w:szCs w:val="36"/>
          <w:highlight w:val="none"/>
        </w:rPr>
        <w:t>2023年</w:t>
      </w:r>
      <w:r>
        <w:rPr>
          <w:rFonts w:hint="eastAsia" w:ascii="黑体" w:hAnsi="黑体" w:eastAsia="黑体" w:cs="黑体"/>
          <w:b/>
          <w:bCs/>
          <w:color w:val="auto"/>
          <w:sz w:val="36"/>
          <w:szCs w:val="36"/>
          <w:highlight w:val="none"/>
          <w:lang w:val="en-US" w:eastAsia="zh-CN"/>
        </w:rPr>
        <w:t>10</w:t>
      </w:r>
      <w:r>
        <w:rPr>
          <w:rFonts w:hint="eastAsia" w:ascii="黑体" w:hAnsi="黑体" w:eastAsia="黑体" w:cs="黑体"/>
          <w:b/>
          <w:bCs/>
          <w:color w:val="auto"/>
          <w:sz w:val="36"/>
          <w:szCs w:val="36"/>
          <w:highlight w:val="none"/>
        </w:rPr>
        <w:t>月</w:t>
      </w:r>
    </w:p>
    <w:p>
      <w:pPr>
        <w:rPr>
          <w:rFonts w:ascii="仿宋" w:hAnsi="仿宋" w:eastAsia="仿宋" w:cs="仿宋"/>
          <w:color w:val="auto"/>
          <w:sz w:val="32"/>
          <w:szCs w:val="32"/>
          <w:highlight w:val="none"/>
        </w:rPr>
      </w:pPr>
      <w:r>
        <w:rPr>
          <w:rFonts w:ascii="仿宋" w:hAnsi="仿宋" w:eastAsia="仿宋" w:cs="仿宋"/>
          <w:color w:val="auto"/>
          <w:sz w:val="32"/>
          <w:szCs w:val="32"/>
          <w:highlight w:val="none"/>
        </w:rPr>
        <w:br w:type="page"/>
      </w:r>
    </w:p>
    <w:p>
      <w:pPr>
        <w:jc w:val="center"/>
        <w:rPr>
          <w:rFonts w:ascii="黑体" w:hAnsi="黑体" w:eastAsia="黑体" w:cs="黑体"/>
          <w:b/>
          <w:bCs/>
          <w:color w:val="auto"/>
          <w:sz w:val="36"/>
          <w:szCs w:val="36"/>
          <w:highlight w:val="none"/>
        </w:rPr>
      </w:pPr>
      <w:r>
        <w:rPr>
          <w:rFonts w:hint="eastAsia" w:ascii="黑体" w:hAnsi="黑体" w:eastAsia="黑体" w:cs="黑体"/>
          <w:b/>
          <w:bCs/>
          <w:color w:val="auto"/>
          <w:sz w:val="36"/>
          <w:szCs w:val="36"/>
          <w:highlight w:val="none"/>
        </w:rPr>
        <w:t>目</w:t>
      </w:r>
      <w:r>
        <w:rPr>
          <w:rFonts w:hint="eastAsia" w:ascii="黑体" w:hAnsi="黑体" w:eastAsia="黑体" w:cs="黑体"/>
          <w:b/>
          <w:bCs/>
          <w:color w:val="auto"/>
          <w:sz w:val="36"/>
          <w:szCs w:val="36"/>
          <w:highlight w:val="none"/>
          <w:lang w:val="en-US" w:eastAsia="zh-CN"/>
        </w:rPr>
        <w:t xml:space="preserve">  </w:t>
      </w:r>
      <w:r>
        <w:rPr>
          <w:rFonts w:hint="eastAsia" w:ascii="黑体" w:hAnsi="黑体" w:eastAsia="黑体" w:cs="黑体"/>
          <w:b/>
          <w:bCs/>
          <w:color w:val="auto"/>
          <w:sz w:val="36"/>
          <w:szCs w:val="36"/>
          <w:highlight w:val="none"/>
        </w:rPr>
        <w:t xml:space="preserve"> 录</w:t>
      </w:r>
    </w:p>
    <w:p>
      <w:pPr>
        <w:jc w:val="left"/>
        <w:rPr>
          <w:rFonts w:ascii="黑体" w:hAnsi="黑体" w:eastAsia="黑体" w:cs="黑体"/>
          <w:b/>
          <w:bCs/>
          <w:color w:val="auto"/>
          <w:sz w:val="36"/>
          <w:szCs w:val="36"/>
          <w:highlight w:val="none"/>
        </w:rPr>
      </w:pP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第一部分：</w:t>
      </w:r>
      <w:r>
        <w:rPr>
          <w:rFonts w:hint="eastAsia" w:ascii="黑体" w:hAnsi="黑体" w:eastAsia="黑体" w:cs="黑体"/>
          <w:color w:val="auto"/>
          <w:sz w:val="32"/>
          <w:u w:color="auto"/>
          <w:lang w:eastAsia="zh-CN"/>
        </w:rPr>
        <w:t>环江毛南族自治县爱山林业试验场</w:t>
      </w:r>
      <w:r>
        <w:rPr>
          <w:rFonts w:hint="eastAsia" w:ascii="黑体" w:hAnsi="黑体" w:eastAsia="黑体" w:cs="黑体"/>
          <w:color w:val="auto"/>
          <w:sz w:val="32"/>
          <w:szCs w:val="32"/>
          <w:highlight w:val="none"/>
        </w:rPr>
        <w:t>概况</w:t>
      </w:r>
    </w:p>
    <w:p>
      <w:pPr>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一、主要职能</w:t>
      </w:r>
    </w:p>
    <w:p>
      <w:pPr>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二、部门决算单位构成</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w:t>
      </w:r>
      <w:r>
        <w:rPr>
          <w:rFonts w:hint="eastAsia" w:ascii="黑体" w:hAnsi="黑体" w:eastAsia="黑体" w:cs="黑体"/>
          <w:color w:val="auto"/>
          <w:sz w:val="32"/>
          <w:u w:color="auto"/>
          <w:lang w:eastAsia="zh-CN"/>
        </w:rPr>
        <w:t>环江毛南族自治县爱山林业试验场</w:t>
      </w:r>
      <w:r>
        <w:rPr>
          <w:rFonts w:hint="eastAsia" w:ascii="黑体" w:hAnsi="黑体" w:eastAsia="黑体" w:cs="黑体"/>
          <w:color w:val="auto"/>
          <w:sz w:val="32"/>
          <w:szCs w:val="32"/>
          <w:highlight w:val="none"/>
        </w:rPr>
        <w:t>2022年度部门决算报表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表一：收入支出决算总表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表二：收入决算表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表三：支出决算表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表四：财政拨款收入支出决算总表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表五：一般公共预算财政拨款支出决算表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表六：一般公共预算财政拨款基本支出决算明细表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表七：政府性基金</w:t>
      </w:r>
      <w:r>
        <w:rPr>
          <w:rFonts w:hint="eastAsia" w:ascii="仿宋_GB2312" w:hAnsi="黑体" w:eastAsia="仿宋_GB2312"/>
          <w:color w:val="auto"/>
          <w:sz w:val="32"/>
          <w:szCs w:val="32"/>
          <w:highlight w:val="none"/>
        </w:rPr>
        <w:t>预算财政拨款</w:t>
      </w:r>
      <w:r>
        <w:rPr>
          <w:rFonts w:hint="eastAsia" w:ascii="仿宋_GB2312" w:eastAsia="仿宋_GB2312"/>
          <w:color w:val="auto"/>
          <w:sz w:val="32"/>
          <w:szCs w:val="32"/>
          <w:highlight w:val="none"/>
        </w:rPr>
        <w:t>收入支出决算表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表八：国有资本经营预算</w:t>
      </w:r>
      <w:r>
        <w:rPr>
          <w:rFonts w:hint="eastAsia" w:ascii="仿宋_GB2312" w:hAnsi="黑体" w:eastAsia="仿宋_GB2312"/>
          <w:color w:val="auto"/>
          <w:sz w:val="32"/>
          <w:szCs w:val="32"/>
          <w:highlight w:val="none"/>
        </w:rPr>
        <w:t>财政拨款</w:t>
      </w:r>
      <w:r>
        <w:rPr>
          <w:rFonts w:hint="eastAsia" w:ascii="仿宋_GB2312" w:eastAsia="仿宋_GB2312"/>
          <w:color w:val="auto"/>
          <w:sz w:val="32"/>
          <w:szCs w:val="32"/>
          <w:highlight w:val="none"/>
        </w:rPr>
        <w:t>支出决算表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表九：一般公共预算财政拨款安排的“三公”经费支出决算表</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第三部分：</w:t>
      </w:r>
      <w:r>
        <w:rPr>
          <w:rFonts w:hint="eastAsia" w:ascii="黑体" w:hAnsi="黑体" w:eastAsia="黑体" w:cs="黑体"/>
          <w:color w:val="auto"/>
          <w:sz w:val="32"/>
          <w:u w:color="auto"/>
          <w:lang w:eastAsia="zh-CN"/>
        </w:rPr>
        <w:t>环江毛南族自治县爱山林业试验场</w:t>
      </w:r>
      <w:r>
        <w:rPr>
          <w:rFonts w:hint="eastAsia" w:ascii="黑体" w:hAnsi="黑体" w:eastAsia="黑体" w:cs="黑体"/>
          <w:color w:val="auto"/>
          <w:sz w:val="32"/>
          <w:szCs w:val="32"/>
          <w:highlight w:val="none"/>
        </w:rPr>
        <w:t>2022年度部门决算情况说明</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一、</w:t>
      </w:r>
      <w:r>
        <w:rPr>
          <w:rFonts w:hint="eastAsia" w:ascii="仿宋_GB2312" w:eastAsia="仿宋_GB2312"/>
          <w:color w:val="auto"/>
          <w:kern w:val="0"/>
          <w:sz w:val="32"/>
          <w:szCs w:val="32"/>
          <w:highlight w:val="none"/>
        </w:rPr>
        <w:t>202</w:t>
      </w:r>
      <w:r>
        <w:rPr>
          <w:rFonts w:hint="eastAsia" w:ascii="仿宋_GB2312" w:eastAsia="仿宋_GB2312"/>
          <w:color w:val="auto"/>
          <w:kern w:val="0"/>
          <w:sz w:val="32"/>
          <w:szCs w:val="32"/>
          <w:highlight w:val="none"/>
          <w:lang w:val="en-US" w:eastAsia="zh-CN"/>
        </w:rPr>
        <w:t>2</w:t>
      </w:r>
      <w:r>
        <w:rPr>
          <w:rFonts w:hint="eastAsia" w:ascii="仿宋_GB2312" w:eastAsia="仿宋_GB2312" w:cs="仿宋_GB2312"/>
          <w:color w:val="auto"/>
          <w:kern w:val="0"/>
          <w:sz w:val="32"/>
          <w:szCs w:val="32"/>
          <w:highlight w:val="none"/>
        </w:rPr>
        <w:t>年度收入支出决算总体情况。</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二、</w:t>
      </w:r>
      <w:r>
        <w:rPr>
          <w:rFonts w:hint="eastAsia" w:ascii="仿宋_GB2312" w:eastAsia="仿宋_GB2312"/>
          <w:color w:val="auto"/>
          <w:kern w:val="0"/>
          <w:sz w:val="32"/>
          <w:szCs w:val="32"/>
          <w:highlight w:val="none"/>
        </w:rPr>
        <w:t>20</w:t>
      </w:r>
      <w:r>
        <w:rPr>
          <w:rFonts w:hint="eastAsia" w:ascii="仿宋_GB2312" w:eastAsia="仿宋_GB2312"/>
          <w:color w:val="auto"/>
          <w:kern w:val="0"/>
          <w:sz w:val="32"/>
          <w:szCs w:val="32"/>
          <w:highlight w:val="none"/>
          <w:lang w:val="en-US" w:eastAsia="zh-CN"/>
        </w:rPr>
        <w:t>22</w:t>
      </w:r>
      <w:r>
        <w:rPr>
          <w:rFonts w:hint="eastAsia" w:ascii="仿宋_GB2312" w:eastAsia="仿宋_GB2312" w:cs="仿宋_GB2312"/>
          <w:color w:val="auto"/>
          <w:kern w:val="0"/>
          <w:sz w:val="32"/>
          <w:szCs w:val="32"/>
          <w:highlight w:val="none"/>
        </w:rPr>
        <w:t>年度</w:t>
      </w:r>
      <w:r>
        <w:rPr>
          <w:rFonts w:hint="eastAsia" w:ascii="仿宋_GB2312" w:eastAsia="仿宋_GB2312"/>
          <w:color w:val="auto"/>
          <w:sz w:val="32"/>
          <w:szCs w:val="32"/>
          <w:highlight w:val="none"/>
        </w:rPr>
        <w:t>一般</w:t>
      </w:r>
      <w:r>
        <w:rPr>
          <w:rFonts w:hint="eastAsia" w:ascii="仿宋_GB2312" w:eastAsia="仿宋_GB2312" w:cs="仿宋_GB2312"/>
          <w:color w:val="auto"/>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三、20</w:t>
      </w:r>
      <w:r>
        <w:rPr>
          <w:rFonts w:hint="eastAsia" w:ascii="仿宋_GB2312" w:eastAsia="仿宋_GB2312" w:cs="仿宋_GB2312"/>
          <w:color w:val="auto"/>
          <w:kern w:val="0"/>
          <w:sz w:val="32"/>
          <w:szCs w:val="32"/>
          <w:highlight w:val="none"/>
          <w:lang w:val="en-US" w:eastAsia="zh-CN"/>
        </w:rPr>
        <w:t>22</w:t>
      </w:r>
      <w:r>
        <w:rPr>
          <w:rFonts w:hint="eastAsia" w:ascii="仿宋_GB2312" w:eastAsia="仿宋_GB2312" w:cs="仿宋_GB2312"/>
          <w:color w:val="auto"/>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四、</w:t>
      </w:r>
      <w:r>
        <w:rPr>
          <w:rFonts w:hint="eastAsia" w:ascii="仿宋_GB2312" w:eastAsia="仿宋_GB2312"/>
          <w:color w:val="auto"/>
          <w:kern w:val="0"/>
          <w:sz w:val="32"/>
          <w:szCs w:val="32"/>
          <w:highlight w:val="none"/>
        </w:rPr>
        <w:t>20</w:t>
      </w:r>
      <w:r>
        <w:rPr>
          <w:rFonts w:hint="eastAsia" w:ascii="仿宋_GB2312" w:eastAsia="仿宋_GB2312"/>
          <w:color w:val="auto"/>
          <w:kern w:val="0"/>
          <w:sz w:val="32"/>
          <w:szCs w:val="32"/>
          <w:highlight w:val="none"/>
          <w:lang w:val="en-US" w:eastAsia="zh-CN"/>
        </w:rPr>
        <w:t>22</w:t>
      </w:r>
      <w:r>
        <w:rPr>
          <w:rFonts w:hint="eastAsia" w:ascii="仿宋_GB2312" w:eastAsia="仿宋_GB2312" w:cs="仿宋_GB2312"/>
          <w:color w:val="auto"/>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color w:val="auto"/>
          <w:kern w:val="0"/>
          <w:sz w:val="32"/>
          <w:szCs w:val="32"/>
          <w:highlight w:val="none"/>
          <w:lang w:eastAsia="zh-CN"/>
        </w:rPr>
      </w:pPr>
      <w:r>
        <w:rPr>
          <w:rFonts w:hint="eastAsia" w:ascii="仿宋_GB2312" w:eastAsia="仿宋_GB2312" w:cs="仿宋_GB2312"/>
          <w:color w:val="auto"/>
          <w:kern w:val="0"/>
          <w:sz w:val="32"/>
          <w:szCs w:val="32"/>
          <w:highlight w:val="none"/>
        </w:rPr>
        <w:t>五、20</w:t>
      </w:r>
      <w:r>
        <w:rPr>
          <w:rFonts w:hint="eastAsia" w:ascii="仿宋_GB2312" w:eastAsia="仿宋_GB2312" w:cs="仿宋_GB2312"/>
          <w:color w:val="auto"/>
          <w:kern w:val="0"/>
          <w:sz w:val="32"/>
          <w:szCs w:val="32"/>
          <w:highlight w:val="none"/>
          <w:lang w:val="en-US" w:eastAsia="zh-CN"/>
        </w:rPr>
        <w:t>22</w:t>
      </w:r>
      <w:r>
        <w:rPr>
          <w:rFonts w:hint="eastAsia" w:ascii="仿宋_GB2312" w:eastAsia="仿宋_GB2312" w:cs="仿宋_GB2312"/>
          <w:color w:val="auto"/>
          <w:kern w:val="0"/>
          <w:sz w:val="32"/>
          <w:szCs w:val="32"/>
          <w:highlight w:val="none"/>
        </w:rPr>
        <w:t>年度国有资本经营预算支出决算情况</w:t>
      </w:r>
      <w:r>
        <w:rPr>
          <w:rFonts w:hint="eastAsia" w:ascii="仿宋_GB2312" w:eastAsia="仿宋_GB2312" w:cs="仿宋_GB2312"/>
          <w:color w:val="auto"/>
          <w:kern w:val="0"/>
          <w:sz w:val="32"/>
          <w:szCs w:val="32"/>
          <w:highlight w:val="none"/>
          <w:lang w:eastAsia="zh-CN"/>
        </w:rPr>
        <w:t>。</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六、</w:t>
      </w:r>
      <w:r>
        <w:rPr>
          <w:rFonts w:hint="eastAsia" w:ascii="仿宋_GB2312" w:eastAsia="仿宋_GB2312"/>
          <w:color w:val="auto"/>
          <w:sz w:val="32"/>
          <w:szCs w:val="32"/>
          <w:highlight w:val="none"/>
        </w:rPr>
        <w:t>一般</w:t>
      </w:r>
      <w:r>
        <w:rPr>
          <w:rFonts w:hint="eastAsia" w:ascii="仿宋_GB2312" w:eastAsia="仿宋_GB2312" w:cs="仿宋_GB2312"/>
          <w:color w:val="auto"/>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七、其他重要事项情况说明。</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第四部分：名词解释</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br w:type="page"/>
      </w:r>
    </w:p>
    <w:p>
      <w:pPr>
        <w:jc w:val="center"/>
        <w:rPr>
          <w:rFonts w:ascii="仿宋" w:hAnsi="仿宋" w:eastAsia="仿宋" w:cs="仿宋"/>
          <w:color w:val="auto"/>
          <w:sz w:val="32"/>
          <w:szCs w:val="32"/>
          <w:highlight w:val="none"/>
        </w:rPr>
      </w:pPr>
      <w:r>
        <w:rPr>
          <w:rFonts w:hint="eastAsia" w:ascii="黑体" w:hAnsi="黑体" w:eastAsia="黑体" w:cs="黑体"/>
          <w:b/>
          <w:bCs/>
          <w:color w:val="auto"/>
          <w:sz w:val="32"/>
          <w:szCs w:val="32"/>
          <w:highlight w:val="none"/>
        </w:rPr>
        <w:t>第一部分：</w:t>
      </w:r>
      <w:r>
        <w:rPr>
          <w:rFonts w:hint="eastAsia" w:ascii="黑体" w:hAnsi="黑体" w:eastAsia="黑体" w:cs="黑体"/>
          <w:b/>
          <w:color w:val="auto"/>
          <w:sz w:val="32"/>
          <w:u w:color="auto"/>
          <w:lang w:eastAsia="zh-CN"/>
        </w:rPr>
        <w:t>环江毛南族自治县爱山林业试验场</w:t>
      </w:r>
      <w:r>
        <w:rPr>
          <w:rFonts w:hint="eastAsia" w:ascii="黑体" w:hAnsi="黑体" w:eastAsia="黑体" w:cs="黑体"/>
          <w:b/>
          <w:bCs/>
          <w:color w:val="auto"/>
          <w:sz w:val="32"/>
          <w:szCs w:val="32"/>
          <w:highlight w:val="none"/>
        </w:rPr>
        <w:t>概况</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一、主要职能</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rPr>
        <w:t>(一)负责贯彻执行国家有关林业的方针政策和法律法规，保护培育森林资源，维护国家生态安全。</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rPr>
        <w:t>(二)负责制定国有林场中长期发展规划和年度计划并负责组织实施。开展资源调查、林业统计、林业资产核算和森林资源档案管理工作。</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rPr>
        <w:t>(三)负责管护区域内的森林防火宣传及森林火灾扑救工作，确保国有森林资源不受损失。</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rPr>
        <w:t>(四)负责管护区域内森林资源培育保护、野生动植物资源保护、林业有害生物防治工作。</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rPr>
        <w:t>(五)依据国家和自治区相关的管理规定，做好辖区内重点公益林管理工作。负责林场森林资源保护管理情况的考核。</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rPr>
        <w:t>(六)负责林场林木、林产品和其他产品管理。</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rPr>
        <w:t>(七)负责林场社会事务管理工作，确保林区社会安全稳定。</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rPr>
        <w:t>(八)承办县委、县政府及上级主管部门交办的其他事项。</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二、部门决算单位构成</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我部门没有下属单位，按照部门决算编报要求，单独编制本部门决算。</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爱山林业试验场设3个内设机构：办公室、营林绿化股、护林防火股。核定财政全额拨款事业编制9名，退休人员24名。具体情况如下表：</w:t>
      </w:r>
    </w:p>
    <w:p>
      <w:pPr>
        <w:ind w:firstLine="640" w:firstLineChars="200"/>
        <w:jc w:val="righ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单位：人</w:t>
      </w:r>
    </w:p>
    <w:tbl>
      <w:tblPr>
        <w:tblStyle w:val="7"/>
        <w:tblW w:w="8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9"/>
        <w:gridCol w:w="513"/>
        <w:gridCol w:w="754"/>
        <w:gridCol w:w="1448"/>
        <w:gridCol w:w="770"/>
        <w:gridCol w:w="1538"/>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2529" w:type="dxa"/>
            <w:vMerge w:val="restart"/>
          </w:tcPr>
          <w:p>
            <w:pPr>
              <w:keepNext w:val="0"/>
              <w:keepLines w:val="0"/>
              <w:suppressLineNumbers w:val="0"/>
              <w:spacing w:before="0" w:beforeAutospacing="0" w:after="0" w:afterAutospacing="0"/>
              <w:ind w:left="0" w:right="0"/>
              <w:jc w:val="center"/>
              <w:rPr>
                <w:rFonts w:hint="default"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项目</w:t>
            </w:r>
          </w:p>
        </w:tc>
        <w:tc>
          <w:tcPr>
            <w:tcW w:w="513" w:type="dxa"/>
            <w:vMerge w:val="restart"/>
          </w:tcPr>
          <w:p>
            <w:pPr>
              <w:keepNext w:val="0"/>
              <w:keepLines w:val="0"/>
              <w:suppressLineNumbers w:val="0"/>
              <w:spacing w:before="0" w:beforeAutospacing="0" w:after="0" w:afterAutospacing="0"/>
              <w:ind w:left="0" w:right="0"/>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合计</w:t>
            </w:r>
          </w:p>
          <w:p>
            <w:pPr>
              <w:keepNext w:val="0"/>
              <w:keepLines w:val="0"/>
              <w:suppressLineNumbers w:val="0"/>
              <w:spacing w:before="0" w:beforeAutospacing="0" w:after="0" w:afterAutospacing="0"/>
              <w:ind w:left="0" w:right="0"/>
              <w:jc w:val="center"/>
              <w:rPr>
                <w:rFonts w:hint="default" w:ascii="仿宋" w:hAnsi="仿宋" w:eastAsia="仿宋" w:cs="仿宋"/>
                <w:color w:val="auto"/>
                <w:sz w:val="32"/>
                <w:szCs w:val="32"/>
                <w:highlight w:val="none"/>
                <w:vertAlign w:val="baseline"/>
                <w:lang w:val="en-US" w:eastAsia="zh-CN"/>
              </w:rPr>
            </w:pPr>
          </w:p>
        </w:tc>
        <w:tc>
          <w:tcPr>
            <w:tcW w:w="754" w:type="dxa"/>
            <w:vMerge w:val="restart"/>
          </w:tcPr>
          <w:p>
            <w:pPr>
              <w:keepNext w:val="0"/>
              <w:keepLines w:val="0"/>
              <w:suppressLineNumbers w:val="0"/>
              <w:spacing w:before="0" w:beforeAutospacing="0" w:after="0" w:afterAutospacing="0"/>
              <w:ind w:left="0" w:right="0"/>
              <w:jc w:val="center"/>
              <w:rPr>
                <w:rFonts w:hint="default"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行政单位</w:t>
            </w:r>
          </w:p>
        </w:tc>
        <w:tc>
          <w:tcPr>
            <w:tcW w:w="2218" w:type="dxa"/>
            <w:gridSpan w:val="2"/>
          </w:tcPr>
          <w:p>
            <w:pPr>
              <w:keepNext w:val="0"/>
              <w:keepLines w:val="0"/>
              <w:suppressLineNumbers w:val="0"/>
              <w:spacing w:before="0" w:beforeAutospacing="0" w:after="0" w:afterAutospacing="0"/>
              <w:ind w:left="0" w:right="0"/>
              <w:jc w:val="center"/>
              <w:rPr>
                <w:rFonts w:hint="default"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财政拨款事业单位</w:t>
            </w:r>
          </w:p>
        </w:tc>
        <w:tc>
          <w:tcPr>
            <w:tcW w:w="1538" w:type="dxa"/>
            <w:vMerge w:val="restart"/>
            <w:vAlign w:val="top"/>
          </w:tcPr>
          <w:p>
            <w:pPr>
              <w:keepNext w:val="0"/>
              <w:keepLines w:val="0"/>
              <w:suppressLineNumbers w:val="0"/>
              <w:spacing w:before="0" w:beforeAutospacing="0" w:after="0" w:afterAutospacing="0"/>
              <w:ind w:left="0" w:right="0"/>
              <w:jc w:val="center"/>
              <w:rPr>
                <w:rFonts w:hint="default" w:ascii="仿宋" w:hAnsi="仿宋" w:eastAsia="仿宋" w:cs="仿宋"/>
                <w:color w:val="auto"/>
                <w:kern w:val="2"/>
                <w:sz w:val="32"/>
                <w:szCs w:val="32"/>
                <w:highlight w:val="none"/>
                <w:vertAlign w:val="baseline"/>
                <w:lang w:val="en-US" w:eastAsia="zh-CN" w:bidi="ar-SA"/>
              </w:rPr>
            </w:pPr>
            <w:r>
              <w:rPr>
                <w:rFonts w:hint="eastAsia" w:ascii="仿宋" w:hAnsi="仿宋" w:eastAsia="仿宋" w:cs="仿宋"/>
                <w:color w:val="auto"/>
                <w:sz w:val="32"/>
                <w:szCs w:val="32"/>
                <w:highlight w:val="none"/>
                <w:vertAlign w:val="baseline"/>
                <w:lang w:val="en-US" w:eastAsia="zh-CN"/>
              </w:rPr>
              <w:t>财政补助事业单位</w:t>
            </w:r>
          </w:p>
        </w:tc>
        <w:tc>
          <w:tcPr>
            <w:tcW w:w="905" w:type="dxa"/>
            <w:vMerge w:val="restart"/>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kern w:val="2"/>
                <w:sz w:val="32"/>
                <w:szCs w:val="32"/>
                <w:highlight w:val="none"/>
                <w:vertAlign w:val="baseline"/>
                <w:lang w:val="en-US" w:eastAsia="zh-CN" w:bidi="ar-SA"/>
              </w:rPr>
            </w:pPr>
            <w:r>
              <w:rPr>
                <w:rFonts w:hint="eastAsia" w:ascii="仿宋" w:hAnsi="仿宋" w:eastAsia="仿宋" w:cs="仿宋"/>
                <w:color w:val="auto"/>
                <w:sz w:val="32"/>
                <w:szCs w:val="32"/>
                <w:highlight w:val="none"/>
                <w:vertAlign w:val="baseline"/>
                <w:lang w:val="en-US" w:eastAsia="zh-CN"/>
              </w:rPr>
              <w:t>聘用人员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2529" w:type="dxa"/>
            <w:vMerge w:val="continue"/>
          </w:tcPr>
          <w:p>
            <w:pPr>
              <w:keepNext w:val="0"/>
              <w:keepLines w:val="0"/>
              <w:suppressLineNumbers w:val="0"/>
              <w:spacing w:before="0" w:beforeAutospacing="0" w:after="0" w:afterAutospacing="0"/>
              <w:ind w:left="0" w:right="0"/>
              <w:jc w:val="center"/>
              <w:rPr>
                <w:rFonts w:hint="default" w:ascii="仿宋" w:hAnsi="仿宋" w:eastAsia="仿宋" w:cs="仿宋"/>
                <w:color w:val="auto"/>
                <w:sz w:val="32"/>
                <w:szCs w:val="32"/>
                <w:highlight w:val="none"/>
                <w:vertAlign w:val="baseline"/>
                <w:lang w:val="en-US" w:eastAsia="zh-CN"/>
              </w:rPr>
            </w:pPr>
          </w:p>
        </w:tc>
        <w:tc>
          <w:tcPr>
            <w:tcW w:w="513" w:type="dxa"/>
            <w:vMerge w:val="continue"/>
          </w:tcPr>
          <w:p>
            <w:pPr>
              <w:keepNext w:val="0"/>
              <w:keepLines w:val="0"/>
              <w:suppressLineNumbers w:val="0"/>
              <w:spacing w:before="0" w:beforeAutospacing="0" w:after="0" w:afterAutospacing="0"/>
              <w:ind w:left="0" w:right="0"/>
              <w:jc w:val="center"/>
              <w:rPr>
                <w:rFonts w:hint="default" w:ascii="仿宋" w:hAnsi="仿宋" w:eastAsia="仿宋" w:cs="仿宋"/>
                <w:color w:val="auto"/>
                <w:sz w:val="32"/>
                <w:szCs w:val="32"/>
                <w:highlight w:val="none"/>
                <w:vertAlign w:val="baseline"/>
                <w:lang w:val="en-US" w:eastAsia="zh-CN"/>
              </w:rPr>
            </w:pPr>
          </w:p>
        </w:tc>
        <w:tc>
          <w:tcPr>
            <w:tcW w:w="754" w:type="dxa"/>
            <w:vMerge w:val="continue"/>
          </w:tcPr>
          <w:p>
            <w:pPr>
              <w:keepNext w:val="0"/>
              <w:keepLines w:val="0"/>
              <w:suppressLineNumbers w:val="0"/>
              <w:spacing w:before="0" w:beforeAutospacing="0" w:after="0" w:afterAutospacing="0"/>
              <w:ind w:left="0" w:right="0"/>
              <w:jc w:val="center"/>
              <w:rPr>
                <w:rFonts w:hint="eastAsia" w:ascii="仿宋" w:hAnsi="仿宋" w:eastAsia="仿宋" w:cs="仿宋"/>
                <w:color w:val="auto"/>
                <w:sz w:val="32"/>
                <w:szCs w:val="32"/>
                <w:highlight w:val="none"/>
                <w:vertAlign w:val="baseline"/>
                <w:lang w:val="en-US" w:eastAsia="zh-CN"/>
              </w:rPr>
            </w:pPr>
          </w:p>
        </w:tc>
        <w:tc>
          <w:tcPr>
            <w:tcW w:w="1448" w:type="dxa"/>
          </w:tcPr>
          <w:p>
            <w:pPr>
              <w:keepNext w:val="0"/>
              <w:keepLines w:val="0"/>
              <w:suppressLineNumbers w:val="0"/>
              <w:spacing w:before="0" w:beforeAutospacing="0" w:after="0" w:afterAutospacing="0"/>
              <w:ind w:left="0" w:right="0"/>
              <w:jc w:val="center"/>
              <w:rPr>
                <w:rFonts w:hint="default"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参（依）照公管理</w:t>
            </w:r>
          </w:p>
        </w:tc>
        <w:tc>
          <w:tcPr>
            <w:tcW w:w="770" w:type="dxa"/>
          </w:tcPr>
          <w:p>
            <w:pPr>
              <w:keepNext w:val="0"/>
              <w:keepLines w:val="0"/>
              <w:suppressLineNumbers w:val="0"/>
              <w:spacing w:before="0" w:beforeAutospacing="0" w:after="0" w:afterAutospacing="0"/>
              <w:ind w:left="0" w:right="0"/>
              <w:jc w:val="center"/>
              <w:rPr>
                <w:rFonts w:hint="default"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其他</w:t>
            </w:r>
          </w:p>
        </w:tc>
        <w:tc>
          <w:tcPr>
            <w:tcW w:w="1538" w:type="dxa"/>
            <w:vMerge w:val="continue"/>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kern w:val="2"/>
                <w:sz w:val="32"/>
                <w:szCs w:val="32"/>
                <w:highlight w:val="none"/>
                <w:vertAlign w:val="baseline"/>
                <w:lang w:val="en-US" w:eastAsia="zh-CN" w:bidi="ar-SA"/>
              </w:rPr>
            </w:pPr>
          </w:p>
        </w:tc>
        <w:tc>
          <w:tcPr>
            <w:tcW w:w="905" w:type="dxa"/>
            <w:vMerge w:val="continue"/>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kern w:val="2"/>
                <w:sz w:val="32"/>
                <w:szCs w:val="3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3" w:hRule="atLeast"/>
        </w:trPr>
        <w:tc>
          <w:tcPr>
            <w:tcW w:w="2529" w:type="dxa"/>
          </w:tcPr>
          <w:p>
            <w:pPr>
              <w:keepNext w:val="0"/>
              <w:keepLines w:val="0"/>
              <w:suppressLineNumbers w:val="0"/>
              <w:spacing w:before="0" w:beforeAutospacing="0" w:after="0" w:afterAutospacing="0"/>
              <w:ind w:left="0" w:right="0"/>
              <w:jc w:val="center"/>
              <w:rPr>
                <w:rFonts w:hint="eastAsia"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编制数</w:t>
            </w:r>
          </w:p>
        </w:tc>
        <w:tc>
          <w:tcPr>
            <w:tcW w:w="513" w:type="dxa"/>
          </w:tcPr>
          <w:p>
            <w:pPr>
              <w:keepNext w:val="0"/>
              <w:keepLines w:val="0"/>
              <w:suppressLineNumbers w:val="0"/>
              <w:spacing w:before="0" w:beforeAutospacing="0" w:after="0" w:afterAutospacing="0"/>
              <w:ind w:left="0" w:right="0"/>
              <w:jc w:val="center"/>
              <w:rPr>
                <w:rFonts w:hint="default"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9</w:t>
            </w:r>
          </w:p>
        </w:tc>
        <w:tc>
          <w:tcPr>
            <w:tcW w:w="754" w:type="dxa"/>
          </w:tcPr>
          <w:p>
            <w:pPr>
              <w:keepNext w:val="0"/>
              <w:keepLines w:val="0"/>
              <w:suppressLineNumbers w:val="0"/>
              <w:spacing w:before="0" w:beforeAutospacing="0" w:after="0" w:afterAutospacing="0"/>
              <w:ind w:left="0" w:right="0"/>
              <w:jc w:val="center"/>
              <w:rPr>
                <w:rFonts w:hint="eastAsia" w:ascii="仿宋" w:hAnsi="仿宋" w:eastAsia="仿宋" w:cs="仿宋"/>
                <w:color w:val="auto"/>
                <w:sz w:val="32"/>
                <w:szCs w:val="32"/>
                <w:highlight w:val="none"/>
                <w:vertAlign w:val="baseline"/>
                <w:lang w:val="en-US" w:eastAsia="zh-CN"/>
              </w:rPr>
            </w:pPr>
          </w:p>
        </w:tc>
        <w:tc>
          <w:tcPr>
            <w:tcW w:w="1448" w:type="dxa"/>
          </w:tcPr>
          <w:p>
            <w:pPr>
              <w:keepNext w:val="0"/>
              <w:keepLines w:val="0"/>
              <w:suppressLineNumbers w:val="0"/>
              <w:spacing w:before="0" w:beforeAutospacing="0" w:after="0" w:afterAutospacing="0"/>
              <w:ind w:left="0" w:right="0"/>
              <w:jc w:val="center"/>
              <w:rPr>
                <w:rFonts w:hint="eastAsia" w:ascii="仿宋" w:hAnsi="仿宋" w:eastAsia="仿宋" w:cs="仿宋"/>
                <w:color w:val="auto"/>
                <w:sz w:val="32"/>
                <w:szCs w:val="32"/>
                <w:highlight w:val="none"/>
                <w:vertAlign w:val="baseline"/>
                <w:lang w:val="en-US" w:eastAsia="zh-CN"/>
              </w:rPr>
            </w:pPr>
          </w:p>
        </w:tc>
        <w:tc>
          <w:tcPr>
            <w:tcW w:w="770" w:type="dxa"/>
          </w:tcPr>
          <w:p>
            <w:pPr>
              <w:keepNext w:val="0"/>
              <w:keepLines w:val="0"/>
              <w:suppressLineNumbers w:val="0"/>
              <w:spacing w:before="0" w:beforeAutospacing="0" w:after="0" w:afterAutospacing="0"/>
              <w:ind w:left="0" w:right="0"/>
              <w:jc w:val="center"/>
              <w:rPr>
                <w:rFonts w:hint="eastAsia" w:ascii="仿宋" w:hAnsi="仿宋" w:eastAsia="仿宋" w:cs="仿宋"/>
                <w:color w:val="auto"/>
                <w:sz w:val="32"/>
                <w:szCs w:val="32"/>
                <w:highlight w:val="none"/>
                <w:vertAlign w:val="baseline"/>
                <w:lang w:val="en-US" w:eastAsia="zh-CN"/>
              </w:rPr>
            </w:pPr>
          </w:p>
        </w:tc>
        <w:tc>
          <w:tcPr>
            <w:tcW w:w="1538" w:type="dxa"/>
          </w:tcPr>
          <w:p>
            <w:pPr>
              <w:keepNext w:val="0"/>
              <w:keepLines w:val="0"/>
              <w:suppressLineNumbers w:val="0"/>
              <w:spacing w:before="0" w:beforeAutospacing="0" w:after="0" w:afterAutospacing="0"/>
              <w:ind w:left="0" w:right="0"/>
              <w:jc w:val="center"/>
              <w:rPr>
                <w:rFonts w:hint="default"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9</w:t>
            </w:r>
          </w:p>
        </w:tc>
        <w:tc>
          <w:tcPr>
            <w:tcW w:w="905" w:type="dxa"/>
          </w:tcPr>
          <w:p>
            <w:pPr>
              <w:keepNext w:val="0"/>
              <w:keepLines w:val="0"/>
              <w:suppressLineNumbers w:val="0"/>
              <w:spacing w:before="0" w:beforeAutospacing="0" w:after="0" w:afterAutospacing="0"/>
              <w:ind w:left="0" w:right="0"/>
              <w:jc w:val="center"/>
              <w:rPr>
                <w:rFonts w:hint="eastAsia" w:ascii="仿宋" w:hAnsi="仿宋" w:eastAsia="仿宋" w:cs="仿宋"/>
                <w:color w:val="auto"/>
                <w:sz w:val="32"/>
                <w:szCs w:val="3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529" w:type="dxa"/>
          </w:tcPr>
          <w:p>
            <w:pPr>
              <w:keepNext w:val="0"/>
              <w:keepLines w:val="0"/>
              <w:suppressLineNumbers w:val="0"/>
              <w:spacing w:before="0" w:beforeAutospacing="0" w:after="0" w:afterAutospacing="0"/>
              <w:ind w:left="0" w:right="0"/>
              <w:jc w:val="center"/>
              <w:rPr>
                <w:rFonts w:hint="default"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在职人数</w:t>
            </w:r>
          </w:p>
        </w:tc>
        <w:tc>
          <w:tcPr>
            <w:tcW w:w="513" w:type="dxa"/>
          </w:tcPr>
          <w:p>
            <w:pPr>
              <w:keepNext w:val="0"/>
              <w:keepLines w:val="0"/>
              <w:suppressLineNumbers w:val="0"/>
              <w:spacing w:before="0" w:beforeAutospacing="0" w:after="0" w:afterAutospacing="0"/>
              <w:ind w:left="0" w:right="0"/>
              <w:jc w:val="center"/>
              <w:rPr>
                <w:rFonts w:hint="default"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8</w:t>
            </w:r>
          </w:p>
        </w:tc>
        <w:tc>
          <w:tcPr>
            <w:tcW w:w="754" w:type="dxa"/>
          </w:tcPr>
          <w:p>
            <w:pPr>
              <w:keepNext w:val="0"/>
              <w:keepLines w:val="0"/>
              <w:suppressLineNumbers w:val="0"/>
              <w:spacing w:before="0" w:beforeAutospacing="0" w:after="0" w:afterAutospacing="0"/>
              <w:ind w:left="0" w:right="0"/>
              <w:jc w:val="center"/>
              <w:rPr>
                <w:rFonts w:hint="eastAsia" w:ascii="仿宋" w:hAnsi="仿宋" w:eastAsia="仿宋" w:cs="仿宋"/>
                <w:color w:val="auto"/>
                <w:sz w:val="32"/>
                <w:szCs w:val="32"/>
                <w:highlight w:val="none"/>
                <w:vertAlign w:val="baseline"/>
                <w:lang w:val="en-US" w:eastAsia="zh-CN"/>
              </w:rPr>
            </w:pPr>
          </w:p>
        </w:tc>
        <w:tc>
          <w:tcPr>
            <w:tcW w:w="1448" w:type="dxa"/>
          </w:tcPr>
          <w:p>
            <w:pPr>
              <w:keepNext w:val="0"/>
              <w:keepLines w:val="0"/>
              <w:suppressLineNumbers w:val="0"/>
              <w:spacing w:before="0" w:beforeAutospacing="0" w:after="0" w:afterAutospacing="0"/>
              <w:ind w:left="0" w:right="0"/>
              <w:jc w:val="center"/>
              <w:rPr>
                <w:rFonts w:hint="eastAsia" w:ascii="仿宋" w:hAnsi="仿宋" w:eastAsia="仿宋" w:cs="仿宋"/>
                <w:color w:val="auto"/>
                <w:sz w:val="32"/>
                <w:szCs w:val="32"/>
                <w:highlight w:val="none"/>
                <w:vertAlign w:val="baseline"/>
                <w:lang w:val="en-US" w:eastAsia="zh-CN"/>
              </w:rPr>
            </w:pPr>
          </w:p>
        </w:tc>
        <w:tc>
          <w:tcPr>
            <w:tcW w:w="770" w:type="dxa"/>
          </w:tcPr>
          <w:p>
            <w:pPr>
              <w:keepNext w:val="0"/>
              <w:keepLines w:val="0"/>
              <w:suppressLineNumbers w:val="0"/>
              <w:spacing w:before="0" w:beforeAutospacing="0" w:after="0" w:afterAutospacing="0"/>
              <w:ind w:left="0" w:right="0"/>
              <w:jc w:val="center"/>
              <w:rPr>
                <w:rFonts w:hint="eastAsia" w:ascii="仿宋" w:hAnsi="仿宋" w:eastAsia="仿宋" w:cs="仿宋"/>
                <w:color w:val="auto"/>
                <w:sz w:val="32"/>
                <w:szCs w:val="32"/>
                <w:highlight w:val="none"/>
                <w:vertAlign w:val="baseline"/>
                <w:lang w:val="en-US" w:eastAsia="zh-CN"/>
              </w:rPr>
            </w:pPr>
          </w:p>
        </w:tc>
        <w:tc>
          <w:tcPr>
            <w:tcW w:w="1538" w:type="dxa"/>
          </w:tcPr>
          <w:p>
            <w:pPr>
              <w:keepNext w:val="0"/>
              <w:keepLines w:val="0"/>
              <w:suppressLineNumbers w:val="0"/>
              <w:spacing w:before="0" w:beforeAutospacing="0" w:after="0" w:afterAutospacing="0"/>
              <w:ind w:left="0" w:right="0"/>
              <w:jc w:val="center"/>
              <w:rPr>
                <w:rFonts w:hint="default"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8</w:t>
            </w:r>
          </w:p>
        </w:tc>
        <w:tc>
          <w:tcPr>
            <w:tcW w:w="905" w:type="dxa"/>
          </w:tcPr>
          <w:p>
            <w:pPr>
              <w:keepNext w:val="0"/>
              <w:keepLines w:val="0"/>
              <w:suppressLineNumbers w:val="0"/>
              <w:spacing w:before="0" w:beforeAutospacing="0" w:after="0" w:afterAutospacing="0"/>
              <w:ind w:left="0" w:right="0"/>
              <w:jc w:val="center"/>
              <w:rPr>
                <w:rFonts w:hint="eastAsia" w:ascii="仿宋" w:hAnsi="仿宋" w:eastAsia="仿宋" w:cs="仿宋"/>
                <w:color w:val="auto"/>
                <w:sz w:val="32"/>
                <w:szCs w:val="3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529" w:type="dxa"/>
          </w:tcPr>
          <w:p>
            <w:pPr>
              <w:keepNext w:val="0"/>
              <w:keepLines w:val="0"/>
              <w:suppressLineNumbers w:val="0"/>
              <w:spacing w:before="0" w:beforeAutospacing="0" w:after="0" w:afterAutospacing="0"/>
              <w:ind w:left="0" w:right="0"/>
              <w:jc w:val="center"/>
              <w:rPr>
                <w:rFonts w:hint="default"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其中：在岗人数</w:t>
            </w:r>
          </w:p>
        </w:tc>
        <w:tc>
          <w:tcPr>
            <w:tcW w:w="513" w:type="dxa"/>
          </w:tcPr>
          <w:p>
            <w:pPr>
              <w:keepNext w:val="0"/>
              <w:keepLines w:val="0"/>
              <w:suppressLineNumbers w:val="0"/>
              <w:spacing w:before="0" w:beforeAutospacing="0" w:after="0" w:afterAutospacing="0"/>
              <w:ind w:left="0" w:right="0"/>
              <w:jc w:val="center"/>
              <w:rPr>
                <w:rFonts w:hint="default"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8</w:t>
            </w:r>
          </w:p>
        </w:tc>
        <w:tc>
          <w:tcPr>
            <w:tcW w:w="754" w:type="dxa"/>
          </w:tcPr>
          <w:p>
            <w:pPr>
              <w:keepNext w:val="0"/>
              <w:keepLines w:val="0"/>
              <w:suppressLineNumbers w:val="0"/>
              <w:spacing w:before="0" w:beforeAutospacing="0" w:after="0" w:afterAutospacing="0"/>
              <w:ind w:left="0" w:right="0"/>
              <w:jc w:val="center"/>
              <w:rPr>
                <w:rFonts w:hint="eastAsia" w:ascii="仿宋" w:hAnsi="仿宋" w:eastAsia="仿宋" w:cs="仿宋"/>
                <w:color w:val="auto"/>
                <w:sz w:val="32"/>
                <w:szCs w:val="32"/>
                <w:highlight w:val="none"/>
                <w:vertAlign w:val="baseline"/>
                <w:lang w:val="en-US" w:eastAsia="zh-CN"/>
              </w:rPr>
            </w:pPr>
          </w:p>
        </w:tc>
        <w:tc>
          <w:tcPr>
            <w:tcW w:w="1448" w:type="dxa"/>
          </w:tcPr>
          <w:p>
            <w:pPr>
              <w:keepNext w:val="0"/>
              <w:keepLines w:val="0"/>
              <w:suppressLineNumbers w:val="0"/>
              <w:spacing w:before="0" w:beforeAutospacing="0" w:after="0" w:afterAutospacing="0"/>
              <w:ind w:left="0" w:right="0"/>
              <w:jc w:val="center"/>
              <w:rPr>
                <w:rFonts w:hint="eastAsia" w:ascii="仿宋" w:hAnsi="仿宋" w:eastAsia="仿宋" w:cs="仿宋"/>
                <w:color w:val="auto"/>
                <w:sz w:val="32"/>
                <w:szCs w:val="32"/>
                <w:highlight w:val="none"/>
                <w:vertAlign w:val="baseline"/>
                <w:lang w:val="en-US" w:eastAsia="zh-CN"/>
              </w:rPr>
            </w:pPr>
          </w:p>
        </w:tc>
        <w:tc>
          <w:tcPr>
            <w:tcW w:w="770" w:type="dxa"/>
          </w:tcPr>
          <w:p>
            <w:pPr>
              <w:keepNext w:val="0"/>
              <w:keepLines w:val="0"/>
              <w:suppressLineNumbers w:val="0"/>
              <w:spacing w:before="0" w:beforeAutospacing="0" w:after="0" w:afterAutospacing="0"/>
              <w:ind w:left="0" w:right="0"/>
              <w:jc w:val="center"/>
              <w:rPr>
                <w:rFonts w:hint="eastAsia" w:ascii="仿宋" w:hAnsi="仿宋" w:eastAsia="仿宋" w:cs="仿宋"/>
                <w:color w:val="auto"/>
                <w:sz w:val="32"/>
                <w:szCs w:val="32"/>
                <w:highlight w:val="none"/>
                <w:vertAlign w:val="baseline"/>
                <w:lang w:val="en-US" w:eastAsia="zh-CN"/>
              </w:rPr>
            </w:pPr>
          </w:p>
        </w:tc>
        <w:tc>
          <w:tcPr>
            <w:tcW w:w="1538" w:type="dxa"/>
          </w:tcPr>
          <w:p>
            <w:pPr>
              <w:keepNext w:val="0"/>
              <w:keepLines w:val="0"/>
              <w:suppressLineNumbers w:val="0"/>
              <w:spacing w:before="0" w:beforeAutospacing="0" w:after="0" w:afterAutospacing="0"/>
              <w:ind w:left="0" w:right="0"/>
              <w:jc w:val="center"/>
              <w:rPr>
                <w:rFonts w:hint="default"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8</w:t>
            </w:r>
          </w:p>
        </w:tc>
        <w:tc>
          <w:tcPr>
            <w:tcW w:w="905" w:type="dxa"/>
          </w:tcPr>
          <w:p>
            <w:pPr>
              <w:keepNext w:val="0"/>
              <w:keepLines w:val="0"/>
              <w:suppressLineNumbers w:val="0"/>
              <w:spacing w:before="0" w:beforeAutospacing="0" w:after="0" w:afterAutospacing="0"/>
              <w:ind w:left="0" w:right="0"/>
              <w:jc w:val="center"/>
              <w:rPr>
                <w:rFonts w:hint="eastAsia" w:ascii="仿宋" w:hAnsi="仿宋" w:eastAsia="仿宋" w:cs="仿宋"/>
                <w:color w:val="auto"/>
                <w:sz w:val="32"/>
                <w:szCs w:val="3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529" w:type="dxa"/>
          </w:tcPr>
          <w:p>
            <w:pPr>
              <w:keepNext w:val="0"/>
              <w:keepLines w:val="0"/>
              <w:suppressLineNumbers w:val="0"/>
              <w:spacing w:before="0" w:beforeAutospacing="0" w:after="0" w:afterAutospacing="0"/>
              <w:ind w:left="0" w:right="0"/>
              <w:jc w:val="center"/>
              <w:rPr>
                <w:rFonts w:hint="default"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离退休人数</w:t>
            </w:r>
          </w:p>
        </w:tc>
        <w:tc>
          <w:tcPr>
            <w:tcW w:w="513" w:type="dxa"/>
          </w:tcPr>
          <w:p>
            <w:pPr>
              <w:keepNext w:val="0"/>
              <w:keepLines w:val="0"/>
              <w:suppressLineNumbers w:val="0"/>
              <w:spacing w:before="0" w:beforeAutospacing="0" w:after="0" w:afterAutospacing="0"/>
              <w:ind w:left="0" w:right="0"/>
              <w:jc w:val="center"/>
              <w:rPr>
                <w:rFonts w:hint="default"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25</w:t>
            </w:r>
          </w:p>
        </w:tc>
        <w:tc>
          <w:tcPr>
            <w:tcW w:w="754" w:type="dxa"/>
          </w:tcPr>
          <w:p>
            <w:pPr>
              <w:keepNext w:val="0"/>
              <w:keepLines w:val="0"/>
              <w:suppressLineNumbers w:val="0"/>
              <w:spacing w:before="0" w:beforeAutospacing="0" w:after="0" w:afterAutospacing="0"/>
              <w:ind w:left="0" w:right="0"/>
              <w:jc w:val="center"/>
              <w:rPr>
                <w:rFonts w:hint="eastAsia" w:ascii="仿宋" w:hAnsi="仿宋" w:eastAsia="仿宋" w:cs="仿宋"/>
                <w:color w:val="auto"/>
                <w:sz w:val="32"/>
                <w:szCs w:val="32"/>
                <w:highlight w:val="none"/>
                <w:vertAlign w:val="baseline"/>
                <w:lang w:val="en-US" w:eastAsia="zh-CN"/>
              </w:rPr>
            </w:pPr>
          </w:p>
        </w:tc>
        <w:tc>
          <w:tcPr>
            <w:tcW w:w="1448" w:type="dxa"/>
          </w:tcPr>
          <w:p>
            <w:pPr>
              <w:keepNext w:val="0"/>
              <w:keepLines w:val="0"/>
              <w:suppressLineNumbers w:val="0"/>
              <w:spacing w:before="0" w:beforeAutospacing="0" w:after="0" w:afterAutospacing="0"/>
              <w:ind w:left="0" w:right="0"/>
              <w:jc w:val="center"/>
              <w:rPr>
                <w:rFonts w:hint="eastAsia" w:ascii="仿宋" w:hAnsi="仿宋" w:eastAsia="仿宋" w:cs="仿宋"/>
                <w:color w:val="auto"/>
                <w:sz w:val="32"/>
                <w:szCs w:val="32"/>
                <w:highlight w:val="none"/>
                <w:vertAlign w:val="baseline"/>
                <w:lang w:val="en-US" w:eastAsia="zh-CN"/>
              </w:rPr>
            </w:pPr>
          </w:p>
        </w:tc>
        <w:tc>
          <w:tcPr>
            <w:tcW w:w="770" w:type="dxa"/>
          </w:tcPr>
          <w:p>
            <w:pPr>
              <w:keepNext w:val="0"/>
              <w:keepLines w:val="0"/>
              <w:suppressLineNumbers w:val="0"/>
              <w:spacing w:before="0" w:beforeAutospacing="0" w:after="0" w:afterAutospacing="0"/>
              <w:ind w:left="0" w:right="0"/>
              <w:jc w:val="center"/>
              <w:rPr>
                <w:rFonts w:hint="eastAsia" w:ascii="仿宋" w:hAnsi="仿宋" w:eastAsia="仿宋" w:cs="仿宋"/>
                <w:color w:val="auto"/>
                <w:sz w:val="32"/>
                <w:szCs w:val="32"/>
                <w:highlight w:val="none"/>
                <w:vertAlign w:val="baseline"/>
                <w:lang w:val="en-US" w:eastAsia="zh-CN"/>
              </w:rPr>
            </w:pPr>
          </w:p>
        </w:tc>
        <w:tc>
          <w:tcPr>
            <w:tcW w:w="1538" w:type="dxa"/>
          </w:tcPr>
          <w:p>
            <w:pPr>
              <w:keepNext w:val="0"/>
              <w:keepLines w:val="0"/>
              <w:suppressLineNumbers w:val="0"/>
              <w:spacing w:before="0" w:beforeAutospacing="0" w:after="0" w:afterAutospacing="0"/>
              <w:ind w:left="0" w:right="0"/>
              <w:jc w:val="center"/>
              <w:rPr>
                <w:rFonts w:hint="default"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25</w:t>
            </w:r>
          </w:p>
        </w:tc>
        <w:tc>
          <w:tcPr>
            <w:tcW w:w="905" w:type="dxa"/>
          </w:tcPr>
          <w:p>
            <w:pPr>
              <w:keepNext w:val="0"/>
              <w:keepLines w:val="0"/>
              <w:suppressLineNumbers w:val="0"/>
              <w:spacing w:before="0" w:beforeAutospacing="0" w:after="0" w:afterAutospacing="0"/>
              <w:ind w:left="0" w:right="0"/>
              <w:jc w:val="center"/>
              <w:rPr>
                <w:rFonts w:hint="eastAsia" w:ascii="仿宋" w:hAnsi="仿宋" w:eastAsia="仿宋" w:cs="仿宋"/>
                <w:color w:val="auto"/>
                <w:sz w:val="32"/>
                <w:szCs w:val="3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529" w:type="dxa"/>
          </w:tcPr>
          <w:p>
            <w:pPr>
              <w:keepNext w:val="0"/>
              <w:keepLines w:val="0"/>
              <w:suppressLineNumbers w:val="0"/>
              <w:spacing w:before="0" w:beforeAutospacing="0" w:after="0" w:afterAutospacing="0"/>
              <w:ind w:left="0" w:right="0"/>
              <w:jc w:val="center"/>
              <w:rPr>
                <w:rFonts w:hint="default"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其中：离休人数</w:t>
            </w:r>
          </w:p>
        </w:tc>
        <w:tc>
          <w:tcPr>
            <w:tcW w:w="513" w:type="dxa"/>
          </w:tcPr>
          <w:p>
            <w:pPr>
              <w:keepNext w:val="0"/>
              <w:keepLines w:val="0"/>
              <w:suppressLineNumbers w:val="0"/>
              <w:spacing w:before="0" w:beforeAutospacing="0" w:after="0" w:afterAutospacing="0"/>
              <w:ind w:left="0" w:right="0"/>
              <w:jc w:val="center"/>
              <w:rPr>
                <w:rFonts w:hint="eastAsia" w:ascii="仿宋" w:hAnsi="仿宋" w:eastAsia="仿宋" w:cs="仿宋"/>
                <w:color w:val="auto"/>
                <w:sz w:val="32"/>
                <w:szCs w:val="32"/>
                <w:highlight w:val="none"/>
                <w:vertAlign w:val="baseline"/>
                <w:lang w:val="en-US" w:eastAsia="zh-CN"/>
              </w:rPr>
            </w:pPr>
          </w:p>
        </w:tc>
        <w:tc>
          <w:tcPr>
            <w:tcW w:w="754" w:type="dxa"/>
          </w:tcPr>
          <w:p>
            <w:pPr>
              <w:keepNext w:val="0"/>
              <w:keepLines w:val="0"/>
              <w:suppressLineNumbers w:val="0"/>
              <w:spacing w:before="0" w:beforeAutospacing="0" w:after="0" w:afterAutospacing="0"/>
              <w:ind w:left="0" w:right="0"/>
              <w:jc w:val="center"/>
              <w:rPr>
                <w:rFonts w:hint="eastAsia" w:ascii="仿宋" w:hAnsi="仿宋" w:eastAsia="仿宋" w:cs="仿宋"/>
                <w:color w:val="auto"/>
                <w:sz w:val="32"/>
                <w:szCs w:val="32"/>
                <w:highlight w:val="none"/>
                <w:vertAlign w:val="baseline"/>
                <w:lang w:val="en-US" w:eastAsia="zh-CN"/>
              </w:rPr>
            </w:pPr>
          </w:p>
        </w:tc>
        <w:tc>
          <w:tcPr>
            <w:tcW w:w="1448" w:type="dxa"/>
          </w:tcPr>
          <w:p>
            <w:pPr>
              <w:keepNext w:val="0"/>
              <w:keepLines w:val="0"/>
              <w:suppressLineNumbers w:val="0"/>
              <w:spacing w:before="0" w:beforeAutospacing="0" w:after="0" w:afterAutospacing="0"/>
              <w:ind w:left="0" w:right="0"/>
              <w:jc w:val="center"/>
              <w:rPr>
                <w:rFonts w:hint="eastAsia" w:ascii="仿宋" w:hAnsi="仿宋" w:eastAsia="仿宋" w:cs="仿宋"/>
                <w:color w:val="auto"/>
                <w:sz w:val="32"/>
                <w:szCs w:val="32"/>
                <w:highlight w:val="none"/>
                <w:vertAlign w:val="baseline"/>
                <w:lang w:val="en-US" w:eastAsia="zh-CN"/>
              </w:rPr>
            </w:pPr>
          </w:p>
        </w:tc>
        <w:tc>
          <w:tcPr>
            <w:tcW w:w="770" w:type="dxa"/>
          </w:tcPr>
          <w:p>
            <w:pPr>
              <w:keepNext w:val="0"/>
              <w:keepLines w:val="0"/>
              <w:suppressLineNumbers w:val="0"/>
              <w:spacing w:before="0" w:beforeAutospacing="0" w:after="0" w:afterAutospacing="0"/>
              <w:ind w:left="0" w:right="0"/>
              <w:jc w:val="center"/>
              <w:rPr>
                <w:rFonts w:hint="eastAsia" w:ascii="仿宋" w:hAnsi="仿宋" w:eastAsia="仿宋" w:cs="仿宋"/>
                <w:color w:val="auto"/>
                <w:sz w:val="32"/>
                <w:szCs w:val="32"/>
                <w:highlight w:val="none"/>
                <w:vertAlign w:val="baseline"/>
                <w:lang w:val="en-US" w:eastAsia="zh-CN"/>
              </w:rPr>
            </w:pPr>
          </w:p>
        </w:tc>
        <w:tc>
          <w:tcPr>
            <w:tcW w:w="1538" w:type="dxa"/>
          </w:tcPr>
          <w:p>
            <w:pPr>
              <w:keepNext w:val="0"/>
              <w:keepLines w:val="0"/>
              <w:suppressLineNumbers w:val="0"/>
              <w:spacing w:before="0" w:beforeAutospacing="0" w:after="0" w:afterAutospacing="0"/>
              <w:ind w:left="0" w:right="0"/>
              <w:jc w:val="center"/>
              <w:rPr>
                <w:rFonts w:hint="eastAsia" w:ascii="仿宋" w:hAnsi="仿宋" w:eastAsia="仿宋" w:cs="仿宋"/>
                <w:color w:val="auto"/>
                <w:sz w:val="32"/>
                <w:szCs w:val="32"/>
                <w:highlight w:val="none"/>
                <w:vertAlign w:val="baseline"/>
                <w:lang w:val="en-US" w:eastAsia="zh-CN"/>
              </w:rPr>
            </w:pPr>
          </w:p>
        </w:tc>
        <w:tc>
          <w:tcPr>
            <w:tcW w:w="905" w:type="dxa"/>
          </w:tcPr>
          <w:p>
            <w:pPr>
              <w:keepNext w:val="0"/>
              <w:keepLines w:val="0"/>
              <w:suppressLineNumbers w:val="0"/>
              <w:spacing w:before="0" w:beforeAutospacing="0" w:after="0" w:afterAutospacing="0"/>
              <w:ind w:left="0" w:right="0"/>
              <w:jc w:val="center"/>
              <w:rPr>
                <w:rFonts w:hint="eastAsia" w:ascii="仿宋" w:hAnsi="仿宋" w:eastAsia="仿宋" w:cs="仿宋"/>
                <w:color w:val="auto"/>
                <w:sz w:val="32"/>
                <w:szCs w:val="3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529" w:type="dxa"/>
          </w:tcPr>
          <w:p>
            <w:pPr>
              <w:keepNext w:val="0"/>
              <w:keepLines w:val="0"/>
              <w:suppressLineNumbers w:val="0"/>
              <w:spacing w:before="0" w:beforeAutospacing="0" w:after="0" w:afterAutospacing="0"/>
              <w:ind w:left="0" w:right="0"/>
              <w:jc w:val="center"/>
              <w:rPr>
                <w:rFonts w:hint="default"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退休人数</w:t>
            </w:r>
          </w:p>
        </w:tc>
        <w:tc>
          <w:tcPr>
            <w:tcW w:w="513" w:type="dxa"/>
          </w:tcPr>
          <w:p>
            <w:pPr>
              <w:keepNext w:val="0"/>
              <w:keepLines w:val="0"/>
              <w:suppressLineNumbers w:val="0"/>
              <w:spacing w:before="0" w:beforeAutospacing="0" w:after="0" w:afterAutospacing="0"/>
              <w:ind w:left="0" w:right="0"/>
              <w:jc w:val="center"/>
              <w:rPr>
                <w:rFonts w:hint="default"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25</w:t>
            </w:r>
          </w:p>
        </w:tc>
        <w:tc>
          <w:tcPr>
            <w:tcW w:w="754" w:type="dxa"/>
          </w:tcPr>
          <w:p>
            <w:pPr>
              <w:keepNext w:val="0"/>
              <w:keepLines w:val="0"/>
              <w:suppressLineNumbers w:val="0"/>
              <w:spacing w:before="0" w:beforeAutospacing="0" w:after="0" w:afterAutospacing="0"/>
              <w:ind w:left="0" w:right="0"/>
              <w:jc w:val="center"/>
              <w:rPr>
                <w:rFonts w:hint="eastAsia" w:ascii="仿宋" w:hAnsi="仿宋" w:eastAsia="仿宋" w:cs="仿宋"/>
                <w:color w:val="auto"/>
                <w:sz w:val="32"/>
                <w:szCs w:val="32"/>
                <w:highlight w:val="none"/>
                <w:vertAlign w:val="baseline"/>
                <w:lang w:val="en-US" w:eastAsia="zh-CN"/>
              </w:rPr>
            </w:pPr>
          </w:p>
        </w:tc>
        <w:tc>
          <w:tcPr>
            <w:tcW w:w="1448" w:type="dxa"/>
          </w:tcPr>
          <w:p>
            <w:pPr>
              <w:keepNext w:val="0"/>
              <w:keepLines w:val="0"/>
              <w:suppressLineNumbers w:val="0"/>
              <w:spacing w:before="0" w:beforeAutospacing="0" w:after="0" w:afterAutospacing="0"/>
              <w:ind w:left="0" w:right="0"/>
              <w:jc w:val="center"/>
              <w:rPr>
                <w:rFonts w:hint="eastAsia" w:ascii="仿宋" w:hAnsi="仿宋" w:eastAsia="仿宋" w:cs="仿宋"/>
                <w:color w:val="auto"/>
                <w:sz w:val="32"/>
                <w:szCs w:val="32"/>
                <w:highlight w:val="none"/>
                <w:vertAlign w:val="baseline"/>
                <w:lang w:val="en-US" w:eastAsia="zh-CN"/>
              </w:rPr>
            </w:pPr>
          </w:p>
        </w:tc>
        <w:tc>
          <w:tcPr>
            <w:tcW w:w="770" w:type="dxa"/>
          </w:tcPr>
          <w:p>
            <w:pPr>
              <w:keepNext w:val="0"/>
              <w:keepLines w:val="0"/>
              <w:suppressLineNumbers w:val="0"/>
              <w:spacing w:before="0" w:beforeAutospacing="0" w:after="0" w:afterAutospacing="0"/>
              <w:ind w:left="0" w:right="0"/>
              <w:jc w:val="center"/>
              <w:rPr>
                <w:rFonts w:hint="eastAsia" w:ascii="仿宋" w:hAnsi="仿宋" w:eastAsia="仿宋" w:cs="仿宋"/>
                <w:color w:val="auto"/>
                <w:sz w:val="32"/>
                <w:szCs w:val="32"/>
                <w:highlight w:val="none"/>
                <w:vertAlign w:val="baseline"/>
                <w:lang w:val="en-US" w:eastAsia="zh-CN"/>
              </w:rPr>
            </w:pPr>
          </w:p>
        </w:tc>
        <w:tc>
          <w:tcPr>
            <w:tcW w:w="1538" w:type="dxa"/>
          </w:tcPr>
          <w:p>
            <w:pPr>
              <w:keepNext w:val="0"/>
              <w:keepLines w:val="0"/>
              <w:suppressLineNumbers w:val="0"/>
              <w:spacing w:before="0" w:beforeAutospacing="0" w:after="0" w:afterAutospacing="0"/>
              <w:ind w:left="0" w:right="0"/>
              <w:jc w:val="center"/>
              <w:rPr>
                <w:rFonts w:hint="default" w:ascii="仿宋" w:hAnsi="仿宋" w:eastAsia="仿宋" w:cs="仿宋"/>
                <w:color w:val="auto"/>
                <w:sz w:val="32"/>
                <w:szCs w:val="32"/>
                <w:highlight w:val="none"/>
                <w:vertAlign w:val="baseline"/>
                <w:lang w:val="en-US" w:eastAsia="zh-CN"/>
              </w:rPr>
            </w:pPr>
            <w:r>
              <w:rPr>
                <w:rFonts w:hint="eastAsia" w:ascii="仿宋" w:hAnsi="仿宋" w:eastAsia="仿宋" w:cs="仿宋"/>
                <w:color w:val="auto"/>
                <w:sz w:val="32"/>
                <w:szCs w:val="32"/>
                <w:highlight w:val="none"/>
                <w:vertAlign w:val="baseline"/>
                <w:lang w:val="en-US" w:eastAsia="zh-CN"/>
              </w:rPr>
              <w:t>25</w:t>
            </w:r>
          </w:p>
        </w:tc>
        <w:tc>
          <w:tcPr>
            <w:tcW w:w="905" w:type="dxa"/>
          </w:tcPr>
          <w:p>
            <w:pPr>
              <w:keepNext w:val="0"/>
              <w:keepLines w:val="0"/>
              <w:suppressLineNumbers w:val="0"/>
              <w:spacing w:before="0" w:beforeAutospacing="0" w:after="0" w:afterAutospacing="0"/>
              <w:ind w:left="0" w:right="0"/>
              <w:jc w:val="center"/>
              <w:rPr>
                <w:rFonts w:hint="eastAsia" w:ascii="仿宋" w:hAnsi="仿宋" w:eastAsia="仿宋" w:cs="仿宋"/>
                <w:color w:val="auto"/>
                <w:sz w:val="32"/>
                <w:szCs w:val="32"/>
                <w:highlight w:val="none"/>
                <w:vertAlign w:val="baseline"/>
                <w:lang w:val="en-US" w:eastAsia="zh-CN"/>
              </w:rPr>
            </w:pPr>
          </w:p>
        </w:tc>
      </w:tr>
    </w:tbl>
    <w:p>
      <w:pPr>
        <w:jc w:val="center"/>
        <w:rPr>
          <w:rFonts w:hint="eastAsia" w:ascii="仿宋" w:hAnsi="仿宋" w:eastAsia="仿宋" w:cs="仿宋"/>
          <w:color w:val="auto"/>
          <w:sz w:val="32"/>
          <w:szCs w:val="32"/>
          <w:highlight w:val="none"/>
          <w:lang w:val="en-US" w:eastAsia="zh-CN"/>
        </w:rPr>
      </w:pPr>
    </w:p>
    <w:p>
      <w:pPr>
        <w:jc w:val="center"/>
        <w:rPr>
          <w:rFonts w:hint="eastAsia" w:ascii="黑体" w:hAnsi="黑体" w:eastAsia="黑体" w:cs="黑体"/>
          <w:color w:val="auto"/>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jc w:val="both"/>
        <w:rPr>
          <w:rFonts w:hint="eastAsia" w:ascii="黑体" w:hAnsi="黑体" w:eastAsia="黑体" w:cs="黑体"/>
          <w:color w:val="auto"/>
          <w:sz w:val="32"/>
          <w:szCs w:val="32"/>
          <w:highlight w:val="none"/>
          <w:lang w:val="en-US" w:eastAsia="zh-CN"/>
        </w:rPr>
      </w:pPr>
    </w:p>
    <w:p>
      <w:pPr>
        <w:jc w:val="both"/>
        <w:rPr>
          <w:rFonts w:hint="default" w:ascii="黑体" w:hAnsi="黑体" w:eastAsia="黑体" w:cs="黑体"/>
          <w:color w:val="auto"/>
          <w:sz w:val="32"/>
          <w:szCs w:val="32"/>
          <w:highlight w:val="none"/>
          <w:lang w:val="en-US" w:eastAsia="zh-CN"/>
        </w:rPr>
      </w:pPr>
    </w:p>
    <w:p>
      <w:pPr>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w:t>
      </w:r>
      <w:r>
        <w:rPr>
          <w:rFonts w:hint="eastAsia" w:ascii="黑体" w:hAnsi="黑体" w:eastAsia="黑体" w:cs="黑体"/>
          <w:color w:val="auto"/>
          <w:sz w:val="32"/>
          <w:u w:color="auto"/>
          <w:lang w:eastAsia="zh-CN"/>
        </w:rPr>
        <w:t>环江毛南族自治县爱山林业试验场</w:t>
      </w:r>
      <w:r>
        <w:rPr>
          <w:rFonts w:hint="eastAsia" w:ascii="黑体" w:hAnsi="黑体" w:eastAsia="黑体" w:cs="黑体"/>
          <w:color w:val="auto"/>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color w:val="auto"/>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default" w:ascii="宋体" w:hAnsi="宋体" w:eastAsia="宋体" w:cs="宋体"/>
                <w:color w:val="auto"/>
                <w:sz w:val="20"/>
                <w:u w:color="auto"/>
              </w:rPr>
              <w:t>广西河池市环江毛南族自治县爱山林业试验场</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182.66</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1.50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11.66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117.32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8.75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24.00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19.44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182.66</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182.66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182.66</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182.66</w:t>
            </w:r>
          </w:p>
        </w:tc>
      </w:tr>
    </w:tbl>
    <w:p>
      <w:pPr>
        <w:rPr>
          <w:rFonts w:ascii="宋体" w:hAnsi="宋体" w:eastAsia="宋体" w:cs="宋体"/>
          <w:color w:val="auto"/>
          <w:kern w:val="0"/>
          <w:sz w:val="30"/>
          <w:szCs w:val="30"/>
          <w:highlight w:val="none"/>
          <w:lang w:bidi="ar"/>
        </w:rPr>
      </w:pPr>
      <w:r>
        <w:rPr>
          <w:rFonts w:hint="eastAsia" w:ascii="宋体" w:hAnsi="宋体" w:eastAsia="宋体" w:cs="宋体"/>
          <w:color w:val="auto"/>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color w:val="auto"/>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default" w:ascii="宋体" w:hAnsi="宋体" w:eastAsia="宋体" w:cs="宋体"/>
                <w:color w:val="auto"/>
                <w:sz w:val="20"/>
                <w:u w:color="auto"/>
              </w:rPr>
              <w:t>广西河池市环江毛南族自治县爱山林业试验场</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182.66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182.66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1.50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1.50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1.50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1.50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1.50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1.50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11.66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11.66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11.66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11.66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11.66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11.66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213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农林水支出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117.32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117.32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21301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农业农村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1.16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1.16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2130104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事业运行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1.16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1.16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21302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林业和草原</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116.15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116.15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2130204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事业机构</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84.15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84.15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2130205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森林资源培育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32.00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32.00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8.75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8.75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8.75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8.75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8.75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8.75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灾害防治及应急管理支出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24.00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24.00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22499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其他灾害防治及应急管理支出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24.00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24.00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2249999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其他灾害防治及应急管理支出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24.00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24.00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19.44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19.44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19.44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19.44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19.44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19.44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注：本表反映部门本年度取得的各项收入情况。</w:t>
            </w:r>
          </w:p>
        </w:tc>
      </w:tr>
    </w:tbl>
    <w:p>
      <w:pPr>
        <w:jc w:val="center"/>
        <w:rPr>
          <w:rFonts w:ascii="仿宋" w:hAnsi="仿宋" w:eastAsia="仿宋" w:cs="仿宋"/>
          <w:color w:val="auto"/>
          <w:sz w:val="24"/>
          <w:highlight w:val="none"/>
        </w:rPr>
      </w:pPr>
    </w:p>
    <w:p>
      <w:pPr>
        <w:rPr>
          <w:rFonts w:hint="eastAsia" w:ascii="仿宋" w:hAnsi="仿宋" w:eastAsia="仿宋" w:cs="仿宋"/>
          <w:color w:val="auto"/>
          <w:sz w:val="24"/>
          <w:highlight w:val="none"/>
        </w:rPr>
      </w:pPr>
      <w:r>
        <w:rPr>
          <w:rFonts w:ascii="仿宋" w:hAnsi="仿宋" w:eastAsia="仿宋" w:cs="仿宋"/>
          <w:color w:val="auto"/>
          <w:sz w:val="24"/>
          <w:highlight w:val="none"/>
        </w:rPr>
        <w:br w:type="page"/>
      </w:r>
    </w:p>
    <w:p>
      <w:pPr>
        <w:rPr>
          <w:rFonts w:ascii="仿宋" w:hAnsi="仿宋" w:eastAsia="仿宋" w:cs="仿宋"/>
          <w:color w:val="auto"/>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default" w:ascii="宋体" w:hAnsi="宋体" w:eastAsia="宋体" w:cs="宋体"/>
                <w:color w:val="auto"/>
                <w:sz w:val="20"/>
                <w:u w:color="auto"/>
              </w:rPr>
              <w:t>广西河池市环江毛南族自治县爱山林业试验场</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default" w:ascii="宋体" w:hAnsi="宋体" w:eastAsia="宋体" w:cs="宋体"/>
                <w:b/>
                <w:bCs/>
                <w:color w:val="auto"/>
                <w:sz w:val="22"/>
                <w:szCs w:val="22"/>
                <w:highlight w:val="none"/>
              </w:rPr>
              <w:t>182.66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default" w:ascii="宋体" w:hAnsi="宋体" w:eastAsia="宋体" w:cs="宋体"/>
                <w:b/>
                <w:bCs/>
                <w:color w:val="auto"/>
                <w:sz w:val="22"/>
                <w:szCs w:val="22"/>
                <w:highlight w:val="none"/>
              </w:rPr>
              <w:t>126.66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56.00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default" w:ascii="宋体" w:hAnsi="宋体" w:eastAsia="宋体" w:cs="宋体"/>
                <w:b/>
                <w:bCs/>
                <w:color w:val="auto"/>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1.50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1.50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1.50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1.50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1.50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1.50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11.66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11.66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11.66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11.66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11.66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11.66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213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农林水支出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117.32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85.32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32.00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21301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农业农村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1.16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1.16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2130104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事业运行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1.16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1.16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21302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林业和草原</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116.15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84.15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32.00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2130204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事业机构</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84.15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84.15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2130205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森林资源培育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32.00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32.00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8.75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8.75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8.75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8.75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8.75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8.75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灾害防治及应急管理支出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24.00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24.00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22499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其他灾害防治及应急管理支出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24.00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24.00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2249999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其他灾害防治及应急管理支出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24.00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24.00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19.44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19.44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19.44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19.44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19.44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19.44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注：本表反映部门本年度各项支出情况。</w:t>
            </w:r>
          </w:p>
        </w:tc>
      </w:tr>
    </w:tbl>
    <w:p>
      <w:pPr>
        <w:rPr>
          <w:rFonts w:ascii="仿宋" w:hAnsi="仿宋" w:eastAsia="仿宋" w:cs="仿宋"/>
          <w:color w:val="auto"/>
          <w:sz w:val="24"/>
          <w:highlight w:val="none"/>
        </w:rPr>
      </w:pPr>
    </w:p>
    <w:p>
      <w:pPr>
        <w:jc w:val="center"/>
        <w:rPr>
          <w:rFonts w:ascii="仿宋" w:hAnsi="仿宋" w:eastAsia="仿宋" w:cs="仿宋"/>
          <w:color w:val="auto"/>
          <w:sz w:val="24"/>
          <w:highlight w:val="none"/>
        </w:rPr>
      </w:pPr>
    </w:p>
    <w:p>
      <w:pPr>
        <w:jc w:val="center"/>
        <w:rPr>
          <w:rFonts w:ascii="仿宋" w:hAnsi="仿宋" w:eastAsia="仿宋" w:cs="仿宋"/>
          <w:color w:val="auto"/>
          <w:sz w:val="24"/>
          <w:highlight w:val="none"/>
        </w:rPr>
      </w:pPr>
    </w:p>
    <w:p>
      <w:pPr>
        <w:jc w:val="center"/>
        <w:rPr>
          <w:rFonts w:ascii="仿宋" w:hAnsi="仿宋" w:eastAsia="仿宋" w:cs="仿宋"/>
          <w:color w:val="auto"/>
          <w:sz w:val="24"/>
          <w:highlight w:val="none"/>
        </w:rPr>
      </w:pPr>
    </w:p>
    <w:p>
      <w:pPr>
        <w:jc w:val="center"/>
        <w:rPr>
          <w:rFonts w:ascii="仿宋" w:hAnsi="仿宋" w:eastAsia="仿宋" w:cs="仿宋"/>
          <w:color w:val="auto"/>
          <w:sz w:val="24"/>
          <w:highlight w:val="none"/>
        </w:rPr>
      </w:pPr>
    </w:p>
    <w:p>
      <w:pPr>
        <w:jc w:val="center"/>
        <w:rPr>
          <w:rFonts w:ascii="仿宋" w:hAnsi="仿宋" w:eastAsia="仿宋" w:cs="仿宋"/>
          <w:color w:val="auto"/>
          <w:sz w:val="24"/>
          <w:highlight w:val="none"/>
        </w:rPr>
      </w:pPr>
    </w:p>
    <w:p>
      <w:pPr>
        <w:jc w:val="center"/>
        <w:rPr>
          <w:rFonts w:ascii="仿宋" w:hAnsi="仿宋" w:eastAsia="仿宋" w:cs="仿宋"/>
          <w:color w:val="auto"/>
          <w:sz w:val="24"/>
          <w:highlight w:val="none"/>
        </w:rPr>
      </w:pPr>
    </w:p>
    <w:p>
      <w:pPr>
        <w:jc w:val="center"/>
        <w:rPr>
          <w:rFonts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表四：财政拨款收入支出决算总表</w:t>
      </w: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default" w:ascii="宋体" w:hAnsi="宋体" w:eastAsia="宋体" w:cs="宋体"/>
                <w:color w:val="auto"/>
                <w:sz w:val="20"/>
                <w:u w:color="auto"/>
              </w:rPr>
              <w:t>广西河池市环江毛南族自治县爱山林业试验场</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182.66</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1.50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1.50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11.66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11.66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117.32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117.32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8.75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8.75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24.00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24.00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19.44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19.44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182.66</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182.66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182.66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182.66</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182.66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182.66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0"/>
                <w:szCs w:val="20"/>
                <w:highlight w:val="none"/>
              </w:rPr>
            </w:pPr>
          </w:p>
        </w:tc>
      </w:tr>
    </w:tbl>
    <w:p>
      <w:pPr>
        <w:rPr>
          <w:rFonts w:ascii="仿宋" w:hAnsi="仿宋" w:eastAsia="仿宋" w:cs="仿宋"/>
          <w:color w:val="auto"/>
          <w:sz w:val="24"/>
          <w:highlight w:val="none"/>
        </w:rPr>
      </w:pPr>
    </w:p>
    <w:p>
      <w:pPr>
        <w:jc w:val="left"/>
        <w:rPr>
          <w:rFonts w:ascii="仿宋" w:hAnsi="仿宋" w:eastAsia="仿宋" w:cs="仿宋"/>
          <w:color w:val="auto"/>
          <w:sz w:val="24"/>
          <w:highlight w:val="none"/>
        </w:rPr>
      </w:pPr>
    </w:p>
    <w:p>
      <w:pPr>
        <w:jc w:val="left"/>
        <w:rPr>
          <w:rFonts w:ascii="仿宋" w:hAnsi="仿宋" w:eastAsia="仿宋" w:cs="仿宋"/>
          <w:color w:val="auto"/>
          <w:sz w:val="24"/>
          <w:highlight w:val="none"/>
        </w:rPr>
      </w:pPr>
    </w:p>
    <w:p>
      <w:pPr>
        <w:jc w:val="left"/>
        <w:rPr>
          <w:rFonts w:ascii="仿宋" w:hAnsi="仿宋" w:eastAsia="仿宋" w:cs="仿宋"/>
          <w:color w:val="auto"/>
          <w:sz w:val="24"/>
          <w:highlight w:val="none"/>
        </w:rPr>
      </w:pPr>
    </w:p>
    <w:p>
      <w:pPr>
        <w:jc w:val="left"/>
        <w:rPr>
          <w:rFonts w:ascii="仿宋" w:hAnsi="仿宋" w:eastAsia="仿宋" w:cs="仿宋"/>
          <w:color w:val="auto"/>
          <w:sz w:val="24"/>
          <w:highlight w:val="none"/>
        </w:rPr>
      </w:pPr>
    </w:p>
    <w:p>
      <w:pPr>
        <w:jc w:val="left"/>
        <w:rPr>
          <w:rFonts w:ascii="仿宋" w:hAnsi="仿宋" w:eastAsia="仿宋" w:cs="仿宋"/>
          <w:color w:val="auto"/>
          <w:sz w:val="24"/>
          <w:highlight w:val="none"/>
        </w:rPr>
      </w:pPr>
    </w:p>
    <w:p>
      <w:pPr>
        <w:jc w:val="left"/>
        <w:rPr>
          <w:rFonts w:ascii="仿宋" w:hAnsi="仿宋" w:eastAsia="仿宋" w:cs="仿宋"/>
          <w:color w:val="auto"/>
          <w:sz w:val="24"/>
          <w:highlight w:val="none"/>
        </w:rPr>
      </w:pPr>
    </w:p>
    <w:p>
      <w:pPr>
        <w:jc w:val="left"/>
        <w:rPr>
          <w:rFonts w:ascii="仿宋" w:hAnsi="仿宋" w:eastAsia="仿宋" w:cs="仿宋"/>
          <w:color w:val="auto"/>
          <w:sz w:val="24"/>
          <w:highlight w:val="none"/>
        </w:rPr>
      </w:pPr>
    </w:p>
    <w:p>
      <w:pPr>
        <w:jc w:val="left"/>
        <w:rPr>
          <w:rFonts w:ascii="仿宋" w:hAnsi="仿宋" w:eastAsia="仿宋" w:cs="仿宋"/>
          <w:color w:val="auto"/>
          <w:sz w:val="24"/>
          <w:highlight w:val="none"/>
        </w:rPr>
      </w:pPr>
    </w:p>
    <w:p>
      <w:pPr>
        <w:jc w:val="left"/>
        <w:rPr>
          <w:rFonts w:ascii="仿宋" w:hAnsi="仿宋" w:eastAsia="仿宋" w:cs="仿宋"/>
          <w:color w:val="auto"/>
          <w:sz w:val="24"/>
          <w:highlight w:val="none"/>
        </w:rPr>
      </w:pPr>
    </w:p>
    <w:p>
      <w:pPr>
        <w:jc w:val="left"/>
        <w:rPr>
          <w:rFonts w:ascii="仿宋" w:hAnsi="仿宋" w:eastAsia="仿宋" w:cs="仿宋"/>
          <w:color w:val="auto"/>
          <w:sz w:val="24"/>
          <w:highlight w:val="none"/>
        </w:rPr>
      </w:pPr>
    </w:p>
    <w:p>
      <w:pPr>
        <w:jc w:val="left"/>
        <w:rPr>
          <w:rFonts w:ascii="仿宋" w:hAnsi="仿宋" w:eastAsia="仿宋" w:cs="仿宋"/>
          <w:color w:val="auto"/>
          <w:sz w:val="24"/>
          <w:highlight w:val="none"/>
        </w:rPr>
      </w:pPr>
    </w:p>
    <w:p>
      <w:pPr>
        <w:jc w:val="left"/>
        <w:rPr>
          <w:rFonts w:ascii="仿宋" w:hAnsi="仿宋" w:eastAsia="仿宋" w:cs="仿宋"/>
          <w:color w:val="auto"/>
          <w:sz w:val="24"/>
          <w:highlight w:val="none"/>
        </w:rPr>
      </w:pPr>
    </w:p>
    <w:p>
      <w:pPr>
        <w:jc w:val="left"/>
        <w:rPr>
          <w:rFonts w:ascii="仿宋" w:hAnsi="仿宋" w:eastAsia="仿宋" w:cs="仿宋"/>
          <w:color w:val="auto"/>
          <w:sz w:val="24"/>
          <w:highlight w:val="none"/>
        </w:rPr>
      </w:pPr>
    </w:p>
    <w:p>
      <w:pPr>
        <w:jc w:val="left"/>
        <w:rPr>
          <w:rFonts w:ascii="仿宋" w:hAnsi="仿宋" w:eastAsia="仿宋" w:cs="仿宋"/>
          <w:color w:val="auto"/>
          <w:sz w:val="24"/>
          <w:highlight w:val="none"/>
        </w:rPr>
      </w:pPr>
    </w:p>
    <w:p>
      <w:pPr>
        <w:jc w:val="left"/>
        <w:rPr>
          <w:rFonts w:ascii="仿宋" w:hAnsi="仿宋" w:eastAsia="仿宋" w:cs="仿宋"/>
          <w:color w:val="auto"/>
          <w:sz w:val="24"/>
          <w:highlight w:val="none"/>
        </w:rPr>
      </w:pPr>
      <w:r>
        <w:rPr>
          <w:rFonts w:hint="eastAsia" w:ascii="仿宋" w:hAnsi="仿宋" w:eastAsia="仿宋" w:cs="仿宋"/>
          <w:color w:val="auto"/>
          <w:sz w:val="24"/>
          <w:highlight w:val="none"/>
        </w:rPr>
        <w:t>表五：一般公共预算财政拨款支出决算表</w:t>
      </w: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default" w:ascii="宋体" w:hAnsi="宋体" w:eastAsia="宋体" w:cs="宋体"/>
                <w:color w:val="auto"/>
                <w:sz w:val="20"/>
                <w:u w:color="auto"/>
              </w:rPr>
              <w:t>广西河池市环江毛南族自治县爱山林业试验场</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default" w:ascii="宋体" w:hAnsi="宋体" w:eastAsia="宋体" w:cs="宋体"/>
                <w:b/>
                <w:bCs/>
                <w:color w:val="auto"/>
                <w:sz w:val="22"/>
                <w:szCs w:val="22"/>
                <w:highlight w:val="none"/>
              </w:rPr>
              <w:t>182.66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126.66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56.00</w:t>
            </w:r>
          </w:p>
        </w:tc>
      </w:tr>
      <w:tr>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1.50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1.50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1.50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1.50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1.50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1.50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11.66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11.66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11.66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11.66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11.66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11.66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213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农林水支出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117.32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85.32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32.00</w:t>
            </w:r>
          </w:p>
        </w:tc>
      </w:tr>
      <w:tr>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21301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农业农村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1.16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1.16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2130104</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事业运行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1.16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1.16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21302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林业和草原</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116.15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84.15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32.00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2130204</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事业机构</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84.15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84.15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2130205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森林资源培育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32.00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32.00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8.75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8.75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8.75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8.75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8.75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8.75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224</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灾害防治及应急管理支出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24.00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24.00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22499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其他灾害防治及应急管理支出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24.00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24.00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2249999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其他灾害防治及应急管理支出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24.00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24.00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19.44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19.44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19.44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19.44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19.44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19.44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注：本表反映部门本年度一般公共预算财政拨款支出情况。</w:t>
            </w:r>
          </w:p>
        </w:tc>
      </w:tr>
    </w:tbl>
    <w:p>
      <w:pPr>
        <w:rPr>
          <w:rFonts w:ascii="仿宋" w:hAnsi="仿宋" w:eastAsia="仿宋" w:cs="仿宋"/>
          <w:color w:val="auto"/>
          <w:sz w:val="24"/>
          <w:highlight w:val="none"/>
        </w:rPr>
      </w:pPr>
    </w:p>
    <w:p>
      <w:pPr>
        <w:rPr>
          <w:rFonts w:ascii="仿宋" w:hAnsi="仿宋" w:eastAsia="仿宋" w:cs="仿宋"/>
          <w:color w:val="auto"/>
          <w:sz w:val="24"/>
          <w:highlight w:val="none"/>
        </w:rPr>
      </w:pPr>
    </w:p>
    <w:p>
      <w:pPr>
        <w:rPr>
          <w:rFonts w:ascii="仿宋" w:hAnsi="仿宋" w:eastAsia="仿宋" w:cs="仿宋"/>
          <w:color w:val="auto"/>
          <w:sz w:val="24"/>
          <w:highlight w:val="none"/>
        </w:rPr>
      </w:pPr>
    </w:p>
    <w:p>
      <w:pPr>
        <w:rPr>
          <w:rFonts w:ascii="仿宋" w:hAnsi="仿宋" w:eastAsia="仿宋" w:cs="仿宋"/>
          <w:color w:val="auto"/>
          <w:sz w:val="24"/>
          <w:highlight w:val="none"/>
        </w:rPr>
      </w:pPr>
    </w:p>
    <w:p>
      <w:pPr>
        <w:rPr>
          <w:rFonts w:ascii="仿宋" w:hAnsi="仿宋" w:eastAsia="仿宋" w:cs="仿宋"/>
          <w:color w:val="auto"/>
          <w:sz w:val="24"/>
          <w:highlight w:val="none"/>
        </w:rPr>
      </w:pPr>
    </w:p>
    <w:p>
      <w:pPr>
        <w:rPr>
          <w:rFonts w:ascii="仿宋" w:hAnsi="仿宋" w:eastAsia="仿宋" w:cs="仿宋"/>
          <w:color w:val="auto"/>
          <w:sz w:val="24"/>
          <w:highlight w:val="none"/>
        </w:rPr>
      </w:pPr>
    </w:p>
    <w:p>
      <w:pPr>
        <w:rPr>
          <w:rFonts w:ascii="仿宋" w:hAnsi="仿宋" w:eastAsia="仿宋" w:cs="仿宋"/>
          <w:color w:val="auto"/>
          <w:sz w:val="24"/>
          <w:highlight w:val="none"/>
        </w:rPr>
      </w:pPr>
    </w:p>
    <w:p>
      <w:pPr>
        <w:rPr>
          <w:rFonts w:ascii="仿宋" w:hAnsi="仿宋" w:eastAsia="仿宋" w:cs="仿宋"/>
          <w:color w:val="auto"/>
          <w:sz w:val="24"/>
          <w:highlight w:val="none"/>
        </w:rPr>
      </w:pPr>
    </w:p>
    <w:p>
      <w:pPr>
        <w:rPr>
          <w:rFonts w:ascii="仿宋" w:hAnsi="仿宋" w:eastAsia="仿宋" w:cs="仿宋"/>
          <w:color w:val="auto"/>
          <w:sz w:val="24"/>
          <w:highlight w:val="none"/>
        </w:rPr>
      </w:pPr>
    </w:p>
    <w:p>
      <w:pPr>
        <w:rPr>
          <w:rFonts w:ascii="仿宋" w:hAnsi="仿宋" w:eastAsia="仿宋" w:cs="仿宋"/>
          <w:color w:val="auto"/>
          <w:sz w:val="24"/>
          <w:highlight w:val="none"/>
        </w:rPr>
      </w:pPr>
    </w:p>
    <w:p>
      <w:pPr>
        <w:rPr>
          <w:rFonts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表六：一般公共预算财政拨款基本支出决算表</w:t>
      </w: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default" w:ascii="宋体" w:hAnsi="宋体" w:eastAsia="宋体" w:cs="宋体"/>
                <w:color w:val="auto"/>
                <w:sz w:val="20"/>
                <w:u w:color="auto"/>
              </w:rPr>
              <w:t>广西河池市环江毛南族自治县爱山林业试验场</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工资福利支出</w:t>
            </w:r>
            <w:bookmarkStart w:id="0" w:name="OLE_LINK4"/>
            <w:bookmarkStart w:id="1" w:name="OLE_LINK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105.71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3.50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34.60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0.56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26.02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16.37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0.15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11.66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0.27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0.35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4.63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0.66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0.48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8.75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17.45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16.05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1.50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1.40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0.18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123.16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3.50</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注：本表反映部门本年度一般公共预算财政拨款基本支出明细情况。</w:t>
            </w:r>
          </w:p>
        </w:tc>
      </w:tr>
    </w:tbl>
    <w:p>
      <w:pPr>
        <w:jc w:val="left"/>
        <w:rPr>
          <w:rFonts w:hint="eastAsia" w:ascii="仿宋" w:hAnsi="仿宋" w:eastAsia="仿宋" w:cs="仿宋"/>
          <w:color w:val="auto"/>
          <w:sz w:val="24"/>
          <w:highlight w:val="none"/>
        </w:rPr>
      </w:pPr>
    </w:p>
    <w:p>
      <w:pPr>
        <w:jc w:val="left"/>
        <w:rPr>
          <w:rFonts w:hint="eastAsia" w:ascii="仿宋" w:hAnsi="仿宋" w:eastAsia="仿宋" w:cs="仿宋"/>
          <w:color w:val="auto"/>
          <w:sz w:val="24"/>
          <w:highlight w:val="none"/>
        </w:rPr>
      </w:pPr>
    </w:p>
    <w:p>
      <w:pPr>
        <w:jc w:val="left"/>
        <w:rPr>
          <w:rFonts w:hint="eastAsia" w:ascii="仿宋" w:hAnsi="仿宋" w:eastAsia="仿宋" w:cs="仿宋"/>
          <w:color w:val="auto"/>
          <w:sz w:val="24"/>
          <w:highlight w:val="none"/>
        </w:rPr>
      </w:pPr>
    </w:p>
    <w:p>
      <w:pPr>
        <w:jc w:val="left"/>
        <w:rPr>
          <w:rFonts w:hint="eastAsia" w:ascii="仿宋" w:hAnsi="仿宋" w:eastAsia="仿宋" w:cs="仿宋"/>
          <w:color w:val="auto"/>
          <w:sz w:val="24"/>
          <w:highlight w:val="none"/>
        </w:rPr>
      </w:pPr>
    </w:p>
    <w:p>
      <w:pPr>
        <w:jc w:val="left"/>
        <w:rPr>
          <w:rFonts w:ascii="仿宋" w:hAnsi="仿宋" w:eastAsia="仿宋" w:cs="仿宋"/>
          <w:color w:val="auto"/>
          <w:sz w:val="24"/>
          <w:highlight w:val="none"/>
        </w:rPr>
      </w:pPr>
      <w:r>
        <w:rPr>
          <w:rFonts w:hint="eastAsia" w:ascii="仿宋" w:hAnsi="仿宋" w:eastAsia="仿宋" w:cs="仿宋"/>
          <w:color w:val="auto"/>
          <w:sz w:val="24"/>
          <w:highlight w:val="none"/>
        </w:rPr>
        <w:t>表</w:t>
      </w:r>
      <w:r>
        <w:rPr>
          <w:rFonts w:hint="eastAsia" w:ascii="仿宋" w:hAnsi="仿宋" w:eastAsia="仿宋" w:cs="仿宋"/>
          <w:color w:val="auto"/>
          <w:sz w:val="24"/>
          <w:highlight w:val="none"/>
          <w:lang w:val="en-US" w:eastAsia="zh-CN"/>
        </w:rPr>
        <w:t>七</w:t>
      </w:r>
      <w:r>
        <w:rPr>
          <w:rFonts w:hint="eastAsia" w:ascii="仿宋" w:hAnsi="仿宋" w:eastAsia="仿宋" w:cs="仿宋"/>
          <w:color w:val="auto"/>
          <w:sz w:val="24"/>
          <w:highlight w:val="none"/>
        </w:rPr>
        <w:t>：政府性基金预算财政拨款收入支出决算表</w:t>
      </w: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w:t>
            </w:r>
            <w:r>
              <w:rPr>
                <w:rFonts w:hint="eastAsia" w:ascii="宋体" w:hAnsi="宋体" w:eastAsia="宋体" w:cs="宋体"/>
                <w:color w:val="auto"/>
                <w:kern w:val="0"/>
                <w:sz w:val="20"/>
                <w:szCs w:val="20"/>
                <w:highlight w:val="none"/>
                <w:lang w:val="en-US" w:eastAsia="zh-CN" w:bidi="ar"/>
              </w:rPr>
              <w:t>7</w:t>
            </w:r>
            <w:r>
              <w:rPr>
                <w:rFonts w:hint="eastAsia" w:ascii="宋体" w:hAnsi="宋体" w:eastAsia="宋体" w:cs="宋体"/>
                <w:color w:val="auto"/>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default" w:ascii="宋体" w:hAnsi="宋体" w:eastAsia="宋体" w:cs="宋体"/>
                <w:color w:val="auto"/>
                <w:sz w:val="20"/>
                <w:u w:color="auto"/>
              </w:rPr>
              <w:t>广西河池市环江毛南族自治县爱山林业试验场</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w:t>
            </w:r>
          </w:p>
        </w:tc>
      </w:tr>
      <w:tr>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r>
      <w:tr>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auto"/>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r>
    </w:tbl>
    <w:p>
      <w:pPr>
        <w:rPr>
          <w:rFonts w:ascii="仿宋" w:hAnsi="仿宋" w:eastAsia="仿宋" w:cs="仿宋"/>
          <w:color w:val="auto"/>
          <w:sz w:val="24"/>
          <w:highlight w:val="none"/>
        </w:rPr>
      </w:pPr>
    </w:p>
    <w:p>
      <w:pPr>
        <w:jc w:val="left"/>
        <w:rPr>
          <w:rFonts w:ascii="仿宋" w:hAnsi="仿宋" w:eastAsia="仿宋" w:cs="仿宋"/>
          <w:color w:val="auto"/>
          <w:sz w:val="24"/>
          <w:highlight w:val="none"/>
        </w:rPr>
      </w:pPr>
    </w:p>
    <w:p>
      <w:pPr>
        <w:jc w:val="left"/>
        <w:rPr>
          <w:rFonts w:ascii="仿宋" w:hAnsi="仿宋" w:eastAsia="仿宋" w:cs="仿宋"/>
          <w:color w:val="auto"/>
          <w:sz w:val="24"/>
          <w:highlight w:val="none"/>
        </w:rPr>
      </w:pPr>
    </w:p>
    <w:p>
      <w:pPr>
        <w:jc w:val="left"/>
        <w:rPr>
          <w:rFonts w:ascii="仿宋" w:hAnsi="仿宋" w:eastAsia="仿宋" w:cs="仿宋"/>
          <w:color w:val="auto"/>
          <w:sz w:val="24"/>
          <w:highlight w:val="none"/>
        </w:rPr>
      </w:pPr>
    </w:p>
    <w:p>
      <w:pPr>
        <w:jc w:val="left"/>
        <w:rPr>
          <w:rFonts w:ascii="仿宋" w:hAnsi="仿宋" w:eastAsia="仿宋" w:cs="仿宋"/>
          <w:color w:val="auto"/>
          <w:sz w:val="24"/>
          <w:highlight w:val="none"/>
        </w:rPr>
      </w:pPr>
    </w:p>
    <w:p>
      <w:pPr>
        <w:jc w:val="left"/>
        <w:rPr>
          <w:rFonts w:ascii="仿宋" w:hAnsi="仿宋" w:eastAsia="仿宋" w:cs="仿宋"/>
          <w:color w:val="auto"/>
          <w:sz w:val="24"/>
          <w:highlight w:val="none"/>
        </w:rPr>
      </w:pPr>
    </w:p>
    <w:p>
      <w:pPr>
        <w:jc w:val="left"/>
        <w:rPr>
          <w:rFonts w:ascii="仿宋" w:hAnsi="仿宋" w:eastAsia="仿宋" w:cs="仿宋"/>
          <w:color w:val="auto"/>
          <w:sz w:val="24"/>
          <w:highlight w:val="none"/>
        </w:rPr>
      </w:pPr>
    </w:p>
    <w:p>
      <w:pPr>
        <w:jc w:val="left"/>
        <w:rPr>
          <w:rFonts w:ascii="仿宋" w:hAnsi="仿宋" w:eastAsia="仿宋" w:cs="仿宋"/>
          <w:color w:val="auto"/>
          <w:sz w:val="24"/>
          <w:highlight w:val="none"/>
        </w:rPr>
      </w:pPr>
    </w:p>
    <w:p>
      <w:pPr>
        <w:jc w:val="left"/>
        <w:rPr>
          <w:rFonts w:ascii="仿宋" w:hAnsi="仿宋" w:eastAsia="仿宋" w:cs="仿宋"/>
          <w:color w:val="auto"/>
          <w:sz w:val="24"/>
          <w:highlight w:val="none"/>
        </w:rPr>
      </w:pPr>
    </w:p>
    <w:p>
      <w:pPr>
        <w:jc w:val="left"/>
        <w:rPr>
          <w:rFonts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w:t>
      </w:r>
      <w:r>
        <w:rPr>
          <w:rFonts w:hint="eastAsia" w:ascii="仿宋" w:hAnsi="仿宋" w:eastAsia="仿宋" w:cs="仿宋"/>
          <w:color w:val="auto"/>
          <w:sz w:val="24"/>
          <w:highlight w:val="none"/>
          <w:lang w:val="en-US" w:eastAsia="zh-CN"/>
        </w:rPr>
        <w:t>八</w:t>
      </w:r>
      <w:r>
        <w:rPr>
          <w:rFonts w:hint="eastAsia" w:ascii="仿宋" w:hAnsi="仿宋" w:eastAsia="仿宋" w:cs="仿宋"/>
          <w:color w:val="auto"/>
          <w:sz w:val="24"/>
          <w:highlight w:val="none"/>
        </w:rPr>
        <w:t>：国有资本经营预算财政拨款支出决算表</w:t>
      </w: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w:t>
            </w:r>
            <w:r>
              <w:rPr>
                <w:rFonts w:hint="eastAsia" w:ascii="宋体" w:hAnsi="宋体" w:eastAsia="宋体" w:cs="宋体"/>
                <w:color w:val="auto"/>
                <w:kern w:val="0"/>
                <w:sz w:val="20"/>
                <w:szCs w:val="20"/>
                <w:highlight w:val="none"/>
                <w:lang w:val="en-US" w:eastAsia="zh-CN" w:bidi="ar"/>
              </w:rPr>
              <w:t>8</w:t>
            </w:r>
            <w:r>
              <w:rPr>
                <w:rFonts w:hint="eastAsia" w:ascii="宋体" w:hAnsi="宋体" w:eastAsia="宋体" w:cs="宋体"/>
                <w:color w:val="auto"/>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default" w:ascii="宋体" w:hAnsi="宋体" w:eastAsia="宋体" w:cs="宋体"/>
                <w:color w:val="auto"/>
                <w:sz w:val="20"/>
                <w:u w:color="auto"/>
              </w:rPr>
              <w:t>广西河池市环江毛南族自治县爱山林业试验场</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br w:type="page"/>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16"/>
        <w:gridCol w:w="1056"/>
        <w:gridCol w:w="697"/>
        <w:gridCol w:w="697"/>
        <w:gridCol w:w="709"/>
        <w:gridCol w:w="720"/>
        <w:gridCol w:w="700"/>
        <w:gridCol w:w="1060"/>
        <w:gridCol w:w="700"/>
        <w:gridCol w:w="700"/>
        <w:gridCol w:w="703"/>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 w:hRule="atLeast"/>
        </w:trPr>
        <w:tc>
          <w:tcPr>
            <w:tcW w:w="5000" w:type="pct"/>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color w:val="auto"/>
                <w:sz w:val="24"/>
                <w:highlight w:val="none"/>
              </w:rPr>
            </w:pPr>
            <w:r>
              <w:rPr>
                <w:rFonts w:hint="eastAsia" w:ascii="仿宋" w:hAnsi="仿宋" w:eastAsia="仿宋" w:cs="仿宋"/>
                <w:color w:val="auto"/>
                <w:sz w:val="24"/>
                <w:highlight w:val="none"/>
                <w:lang w:val="en-US" w:eastAsia="zh-CN"/>
              </w:rPr>
              <w:t>表九：</w:t>
            </w:r>
            <w:r>
              <w:rPr>
                <w:rFonts w:hint="eastAsia" w:ascii="仿宋" w:hAnsi="仿宋" w:eastAsia="仿宋" w:cs="仿宋"/>
                <w:color w:val="auto"/>
                <w:sz w:val="24"/>
                <w:highlight w:val="none"/>
              </w:rPr>
              <w:t>一般公共预算财政拨款安排的“三公”经费支出决算表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kern w:val="0"/>
                <w:sz w:val="44"/>
                <w:szCs w:val="4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 w:hRule="atLeast"/>
        </w:trPr>
        <w:tc>
          <w:tcPr>
            <w:tcW w:w="5000" w:type="pct"/>
            <w:gridSpan w:val="1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44"/>
                <w:szCs w:val="44"/>
                <w:u w:val="none"/>
              </w:rPr>
            </w:pPr>
            <w:r>
              <w:rPr>
                <w:rFonts w:hint="eastAsia" w:ascii="宋体" w:hAnsi="宋体" w:eastAsia="宋体" w:cs="宋体"/>
                <w:i w:val="0"/>
                <w:iCs w:val="0"/>
                <w:color w:val="auto"/>
                <w:kern w:val="0"/>
                <w:sz w:val="44"/>
                <w:szCs w:val="44"/>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169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auto"/>
                <w:sz w:val="20"/>
                <w:szCs w:val="20"/>
                <w:u w:val="none"/>
              </w:rPr>
            </w:pPr>
          </w:p>
        </w:tc>
        <w:tc>
          <w:tcPr>
            <w:tcW w:w="37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24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24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24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25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24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37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24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24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24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570"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1698"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部门：广西河池市环江毛南族自治县爱山林业试验场</w:t>
            </w:r>
          </w:p>
        </w:tc>
        <w:tc>
          <w:tcPr>
            <w:tcW w:w="37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24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24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24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25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24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37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24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24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24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570"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65" w:type="pct"/>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预算数</w:t>
            </w:r>
          </w:p>
        </w:tc>
        <w:tc>
          <w:tcPr>
            <w:tcW w:w="1934" w:type="pct"/>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98"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合计</w:t>
            </w:r>
          </w:p>
        </w:tc>
        <w:tc>
          <w:tcPr>
            <w:tcW w:w="37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因公出国（境）费</w:t>
            </w:r>
          </w:p>
        </w:tc>
        <w:tc>
          <w:tcPr>
            <w:tcW w:w="742"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公务用车购置及运行维护费</w:t>
            </w:r>
          </w:p>
        </w:tc>
        <w:tc>
          <w:tcPr>
            <w:tcW w:w="25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公务接待费</w:t>
            </w:r>
          </w:p>
        </w:tc>
        <w:tc>
          <w:tcPr>
            <w:tcW w:w="24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合计</w:t>
            </w:r>
          </w:p>
        </w:tc>
        <w:tc>
          <w:tcPr>
            <w:tcW w:w="37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因公出国（境）费</w:t>
            </w:r>
          </w:p>
        </w:tc>
        <w:tc>
          <w:tcPr>
            <w:tcW w:w="742"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公务用车购置及运行维护费</w:t>
            </w:r>
          </w:p>
        </w:tc>
        <w:tc>
          <w:tcPr>
            <w:tcW w:w="57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698" w:type="pct"/>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shd w:val="clear" w:color="auto" w:fill="auto"/>
              </w:rPr>
            </w:pPr>
          </w:p>
        </w:tc>
        <w:tc>
          <w:tcPr>
            <w:tcW w:w="373"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shd w:val="clear" w:color="auto" w:fill="auto"/>
              </w:rPr>
            </w:pPr>
          </w:p>
        </w:tc>
        <w:tc>
          <w:tcPr>
            <w:tcW w:w="24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小计</w:t>
            </w:r>
          </w:p>
        </w:tc>
        <w:tc>
          <w:tcPr>
            <w:tcW w:w="24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公务用车购置费</w:t>
            </w:r>
          </w:p>
        </w:tc>
        <w:tc>
          <w:tcPr>
            <w:tcW w:w="24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公务用车运行维护费</w:t>
            </w:r>
          </w:p>
        </w:tc>
        <w:tc>
          <w:tcPr>
            <w:tcW w:w="250"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shd w:val="clear" w:color="auto" w:fill="auto"/>
              </w:rPr>
            </w:pPr>
          </w:p>
        </w:tc>
        <w:tc>
          <w:tcPr>
            <w:tcW w:w="247"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shd w:val="clear" w:color="auto" w:fill="auto"/>
              </w:rPr>
            </w:pPr>
          </w:p>
        </w:tc>
        <w:tc>
          <w:tcPr>
            <w:tcW w:w="374"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shd w:val="clear" w:color="auto" w:fill="auto"/>
              </w:rPr>
            </w:pPr>
          </w:p>
        </w:tc>
        <w:tc>
          <w:tcPr>
            <w:tcW w:w="24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小计</w:t>
            </w:r>
          </w:p>
        </w:tc>
        <w:tc>
          <w:tcPr>
            <w:tcW w:w="24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公务用车购置费</w:t>
            </w:r>
          </w:p>
        </w:tc>
        <w:tc>
          <w:tcPr>
            <w:tcW w:w="24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公务用车运行维护费</w:t>
            </w:r>
          </w:p>
        </w:tc>
        <w:tc>
          <w:tcPr>
            <w:tcW w:w="570"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98" w:type="pc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1</w:t>
            </w:r>
          </w:p>
        </w:tc>
        <w:tc>
          <w:tcPr>
            <w:tcW w:w="37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2</w:t>
            </w:r>
          </w:p>
        </w:tc>
        <w:tc>
          <w:tcPr>
            <w:tcW w:w="24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3</w:t>
            </w:r>
          </w:p>
        </w:tc>
        <w:tc>
          <w:tcPr>
            <w:tcW w:w="24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4</w:t>
            </w:r>
          </w:p>
        </w:tc>
        <w:tc>
          <w:tcPr>
            <w:tcW w:w="24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5</w:t>
            </w:r>
          </w:p>
        </w:tc>
        <w:tc>
          <w:tcPr>
            <w:tcW w:w="25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6</w:t>
            </w:r>
          </w:p>
        </w:tc>
        <w:tc>
          <w:tcPr>
            <w:tcW w:w="24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7</w:t>
            </w:r>
          </w:p>
        </w:tc>
        <w:tc>
          <w:tcPr>
            <w:tcW w:w="37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8</w:t>
            </w:r>
          </w:p>
        </w:tc>
        <w:tc>
          <w:tcPr>
            <w:tcW w:w="24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9</w:t>
            </w:r>
          </w:p>
        </w:tc>
        <w:tc>
          <w:tcPr>
            <w:tcW w:w="24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10</w:t>
            </w:r>
          </w:p>
        </w:tc>
        <w:tc>
          <w:tcPr>
            <w:tcW w:w="24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11</w:t>
            </w:r>
          </w:p>
        </w:tc>
        <w:tc>
          <w:tcPr>
            <w:tcW w:w="57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9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bidi="ar"/>
              </w:rPr>
              <w:t>0.00</w:t>
            </w:r>
          </w:p>
        </w:tc>
        <w:tc>
          <w:tcPr>
            <w:tcW w:w="373"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right"/>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rPr>
              <w:t>0.00</w:t>
            </w:r>
          </w:p>
        </w:tc>
        <w:tc>
          <w:tcPr>
            <w:tcW w:w="24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right"/>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rPr>
              <w:t>0.00</w:t>
            </w:r>
          </w:p>
        </w:tc>
        <w:tc>
          <w:tcPr>
            <w:tcW w:w="24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right"/>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rPr>
              <w:t>0.00</w:t>
            </w:r>
          </w:p>
        </w:tc>
        <w:tc>
          <w:tcPr>
            <w:tcW w:w="248"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right"/>
              <w:rPr>
                <w:rFonts w:hint="eastAsia" w:ascii="宋体" w:hAnsi="宋体" w:eastAsia="宋体" w:cs="宋体"/>
                <w:color w:val="auto"/>
                <w:kern w:val="2"/>
                <w:sz w:val="22"/>
                <w:szCs w:val="22"/>
                <w:highlight w:val="none"/>
                <w:lang w:val="en-US" w:eastAsia="zh-CN" w:bidi="ar-SA"/>
              </w:rPr>
            </w:pPr>
            <w:r>
              <w:rPr>
                <w:rFonts w:hint="default" w:ascii="宋体" w:hAnsi="宋体" w:eastAsia="宋体" w:cs="宋体"/>
                <w:color w:val="auto"/>
                <w:sz w:val="22"/>
                <w:szCs w:val="22"/>
                <w:highlight w:val="none"/>
              </w:rPr>
              <w:t>0.00</w:t>
            </w:r>
          </w:p>
        </w:tc>
        <w:tc>
          <w:tcPr>
            <w:tcW w:w="2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bidi="ar"/>
              </w:rPr>
              <w:t>0.00</w:t>
            </w:r>
          </w:p>
        </w:tc>
        <w:tc>
          <w:tcPr>
            <w:tcW w:w="2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right"/>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rPr>
              <w:t>0.00</w:t>
            </w:r>
          </w:p>
        </w:tc>
        <w:tc>
          <w:tcPr>
            <w:tcW w:w="24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right"/>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rPr>
              <w:t>0.00</w:t>
            </w:r>
          </w:p>
        </w:tc>
        <w:tc>
          <w:tcPr>
            <w:tcW w:w="24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right"/>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rPr>
              <w:t>0.00</w:t>
            </w:r>
          </w:p>
        </w:tc>
        <w:tc>
          <w:tcPr>
            <w:tcW w:w="248" w:type="pct"/>
            <w:tcBorders>
              <w:top w:val="nil"/>
              <w:left w:val="nil"/>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leftChars="0" w:right="0" w:rightChars="0"/>
              <w:jc w:val="right"/>
              <w:rPr>
                <w:rFonts w:hint="eastAsia" w:asciiTheme="minorHAnsi" w:hAnsiTheme="minorHAnsi" w:eastAsiaTheme="minorEastAsia" w:cstheme="minorBidi"/>
                <w:color w:val="auto"/>
                <w:kern w:val="2"/>
                <w:sz w:val="21"/>
                <w:szCs w:val="24"/>
                <w:highlight w:val="none"/>
                <w:lang w:val="en-US" w:eastAsia="zh-CN" w:bidi="ar-SA"/>
              </w:rPr>
            </w:pPr>
            <w:r>
              <w:rPr>
                <w:rFonts w:hint="default"/>
                <w:color w:val="auto"/>
                <w:highlight w:val="none"/>
              </w:rPr>
              <w:t>0.00</w:t>
            </w:r>
          </w:p>
        </w:tc>
        <w:tc>
          <w:tcPr>
            <w:tcW w:w="570" w:type="pct"/>
            <w:tcBorders>
              <w:top w:val="nil"/>
              <w:left w:val="nil"/>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leftChars="0" w:right="0" w:rightChars="0"/>
              <w:jc w:val="right"/>
              <w:rPr>
                <w:rFonts w:hint="eastAsia" w:asciiTheme="minorHAnsi" w:hAnsiTheme="minorHAnsi" w:eastAsiaTheme="minorEastAsia" w:cstheme="minorBidi"/>
                <w:color w:val="auto"/>
                <w:kern w:val="2"/>
                <w:sz w:val="21"/>
                <w:szCs w:val="24"/>
                <w:highlight w:val="none"/>
                <w:lang w:val="en-US" w:eastAsia="zh-CN" w:bidi="ar-SA"/>
              </w:rPr>
            </w:pPr>
            <w:r>
              <w:rPr>
                <w:rFonts w:hint="eastAsia" w:ascii="宋体" w:hAnsi="宋体" w:eastAsia="宋体" w:cs="宋体"/>
                <w:color w:val="auto"/>
                <w:kern w:val="0"/>
                <w:sz w:val="22"/>
                <w:szCs w:val="22"/>
                <w:highlight w:val="none"/>
                <w:lang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5000" w:type="pct"/>
            <w:gridSpan w:val="1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年度没有财政拨款“三公”经费收入，也没有财政拨款“三公”经费安排的支出，故本表无数据。</w:t>
            </w:r>
          </w:p>
        </w:tc>
      </w:tr>
    </w:tbl>
    <w:p>
      <w:pPr>
        <w:ind w:firstLine="420" w:firstLineChars="0"/>
        <w:jc w:val="left"/>
        <w:rPr>
          <w:rFonts w:ascii="仿宋" w:hAnsi="仿宋" w:eastAsia="仿宋" w:cs="仿宋"/>
          <w:color w:val="auto"/>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color w:val="auto"/>
          <w:sz w:val="24"/>
          <w:highlight w:val="none"/>
        </w:rPr>
      </w:pPr>
    </w:p>
    <w:p>
      <w:pPr>
        <w:jc w:val="center"/>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第三部分：</w:t>
      </w:r>
      <w:r>
        <w:rPr>
          <w:rFonts w:hint="eastAsia" w:ascii="黑体" w:hAnsi="黑体" w:eastAsia="黑体" w:cs="黑体"/>
          <w:color w:val="auto"/>
          <w:sz w:val="32"/>
          <w:u w:color="auto"/>
          <w:lang w:eastAsia="zh-CN"/>
        </w:rPr>
        <w:t>环江毛南族自治县爱山林业试验场</w:t>
      </w:r>
      <w:r>
        <w:rPr>
          <w:rFonts w:hint="eastAsia" w:ascii="黑体" w:hAnsi="黑体" w:eastAsia="黑体" w:cs="黑体"/>
          <w:color w:val="auto"/>
          <w:sz w:val="32"/>
          <w:szCs w:val="32"/>
          <w:highlight w:val="none"/>
        </w:rPr>
        <w:t>2022年度部门决算情况说明</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一、2022年度收入支出决算总体情况</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（一）本部门2022年度总收入</w:t>
      </w:r>
      <w:r>
        <w:rPr>
          <w:rFonts w:hint="eastAsia" w:ascii="仿宋" w:hAnsi="仿宋" w:eastAsia="仿宋" w:cs="仿宋"/>
          <w:color w:val="auto"/>
          <w:sz w:val="32"/>
          <w:u w:color="auto"/>
        </w:rPr>
        <w:t>182.66</w:t>
      </w:r>
      <w:r>
        <w:rPr>
          <w:rFonts w:hint="eastAsia" w:ascii="仿宋" w:hAnsi="仿宋" w:eastAsia="仿宋" w:cs="仿宋"/>
          <w:color w:val="auto"/>
          <w:sz w:val="32"/>
          <w:szCs w:val="32"/>
          <w:highlight w:val="none"/>
        </w:rPr>
        <w:t>万元，较2021年度决算数</w:t>
      </w:r>
      <w:r>
        <w:rPr>
          <w:rFonts w:hint="eastAsia" w:ascii="仿宋" w:hAnsi="仿宋" w:eastAsia="仿宋" w:cs="仿宋"/>
          <w:color w:val="auto"/>
          <w:sz w:val="32"/>
          <w:u w:color="auto"/>
          <w:lang w:val="en-US" w:eastAsia="zh-CN"/>
        </w:rPr>
        <w:t>增加11.93</w:t>
      </w:r>
      <w:r>
        <w:rPr>
          <w:rFonts w:hint="eastAsia" w:ascii="仿宋" w:hAnsi="仿宋" w:eastAsia="仿宋" w:cs="仿宋"/>
          <w:color w:val="auto"/>
          <w:sz w:val="32"/>
          <w:szCs w:val="32"/>
          <w:highlight w:val="none"/>
        </w:rPr>
        <w:t>万元，</w:t>
      </w:r>
      <w:r>
        <w:rPr>
          <w:rFonts w:hint="eastAsia" w:ascii="仿宋" w:hAnsi="仿宋" w:eastAsia="仿宋" w:cs="仿宋"/>
          <w:color w:val="auto"/>
          <w:sz w:val="32"/>
          <w:u w:color="auto"/>
          <w:lang w:val="en-US" w:eastAsia="zh-CN"/>
        </w:rPr>
        <w:t>增长6.99</w:t>
      </w:r>
      <w:r>
        <w:rPr>
          <w:rFonts w:ascii="仿宋" w:hAnsi="仿宋" w:eastAsia="仿宋" w:cs="仿宋"/>
          <w:color w:val="auto"/>
          <w:sz w:val="32"/>
          <w:u w:color="auto"/>
        </w:rPr>
        <w:t>%</w:t>
      </w:r>
      <w:r>
        <w:rPr>
          <w:rFonts w:hint="eastAsia" w:ascii="仿宋" w:hAnsi="仿宋" w:eastAsia="仿宋" w:cs="仿宋"/>
          <w:color w:val="auto"/>
          <w:sz w:val="32"/>
          <w:szCs w:val="32"/>
          <w:highlight w:val="none"/>
        </w:rPr>
        <w:t>，其中本年收入</w:t>
      </w:r>
      <w:r>
        <w:rPr>
          <w:rFonts w:hint="eastAsia" w:ascii="仿宋" w:hAnsi="仿宋" w:eastAsia="仿宋" w:cs="仿宋"/>
          <w:color w:val="auto"/>
          <w:sz w:val="32"/>
          <w:u w:color="auto"/>
          <w:lang w:val="en-US" w:eastAsia="zh-CN"/>
        </w:rPr>
        <w:t>182.66</w:t>
      </w:r>
      <w:r>
        <w:rPr>
          <w:rFonts w:hint="eastAsia" w:ascii="仿宋" w:hAnsi="仿宋" w:eastAsia="仿宋" w:cs="仿宋"/>
          <w:color w:val="auto"/>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1.一般公共预算财政拨款收入</w:t>
      </w:r>
      <w:r>
        <w:rPr>
          <w:rFonts w:hint="eastAsia" w:ascii="仿宋" w:hAnsi="仿宋" w:eastAsia="仿宋" w:cs="仿宋"/>
          <w:color w:val="auto"/>
          <w:sz w:val="32"/>
          <w:u w:color="auto"/>
          <w:lang w:eastAsia="zh-CN"/>
        </w:rPr>
        <w:t>182.66</w:t>
      </w:r>
      <w:r>
        <w:rPr>
          <w:rFonts w:hint="eastAsia" w:ascii="仿宋" w:hAnsi="仿宋" w:eastAsia="仿宋" w:cs="仿宋"/>
          <w:color w:val="auto"/>
          <w:kern w:val="2"/>
          <w:sz w:val="32"/>
          <w:szCs w:val="32"/>
          <w:highlight w:val="none"/>
          <w:lang w:val="en-US" w:eastAsia="zh-CN" w:bidi="ar"/>
        </w:rPr>
        <w:t>万元，为</w:t>
      </w:r>
      <w:r>
        <w:rPr>
          <w:rFonts w:hint="eastAsia" w:ascii="仿宋" w:hAnsi="仿宋" w:eastAsia="仿宋" w:cs="仿宋"/>
          <w:color w:val="auto"/>
          <w:sz w:val="32"/>
          <w:szCs w:val="32"/>
          <w:highlight w:val="none"/>
          <w:lang w:val="en-US" w:eastAsia="zh-CN"/>
        </w:rPr>
        <w:t>环江县</w:t>
      </w:r>
      <w:r>
        <w:rPr>
          <w:rFonts w:hint="eastAsia" w:ascii="仿宋" w:hAnsi="仿宋" w:eastAsia="仿宋" w:cs="仿宋"/>
          <w:color w:val="auto"/>
          <w:kern w:val="2"/>
          <w:sz w:val="32"/>
          <w:szCs w:val="32"/>
          <w:highlight w:val="none"/>
          <w:lang w:val="en-US" w:eastAsia="zh-CN" w:bidi="ar"/>
        </w:rPr>
        <w:t>本级财政当年拨付的资金。较2021年度决算数</w:t>
      </w:r>
      <w:r>
        <w:rPr>
          <w:rFonts w:hint="eastAsia" w:ascii="仿宋" w:hAnsi="仿宋" w:eastAsia="仿宋" w:cs="仿宋"/>
          <w:color w:val="auto"/>
          <w:sz w:val="32"/>
          <w:u w:color="auto"/>
          <w:lang w:val="en-US" w:eastAsia="zh-CN"/>
        </w:rPr>
        <w:t>增加11.93</w:t>
      </w:r>
      <w:r>
        <w:rPr>
          <w:rFonts w:hint="eastAsia" w:ascii="仿宋" w:hAnsi="仿宋" w:eastAsia="仿宋" w:cs="仿宋"/>
          <w:color w:val="auto"/>
          <w:sz w:val="32"/>
          <w:szCs w:val="32"/>
          <w:highlight w:val="none"/>
        </w:rPr>
        <w:t>万元</w:t>
      </w:r>
      <w:r>
        <w:rPr>
          <w:rFonts w:hint="eastAsia" w:ascii="仿宋" w:hAnsi="仿宋" w:eastAsia="仿宋" w:cs="仿宋"/>
          <w:color w:val="auto"/>
          <w:kern w:val="2"/>
          <w:sz w:val="32"/>
          <w:szCs w:val="32"/>
          <w:highlight w:val="none"/>
          <w:lang w:val="en-US" w:eastAsia="zh-CN" w:bidi="ar"/>
        </w:rPr>
        <w:t>，</w:t>
      </w:r>
      <w:r>
        <w:rPr>
          <w:rFonts w:hint="eastAsia" w:ascii="仿宋" w:hAnsi="仿宋" w:eastAsia="仿宋" w:cs="仿宋"/>
          <w:color w:val="auto"/>
          <w:sz w:val="32"/>
          <w:u w:color="auto"/>
          <w:lang w:val="en-US" w:eastAsia="zh-CN"/>
        </w:rPr>
        <w:t>上涨6.99</w:t>
      </w:r>
      <w:r>
        <w:rPr>
          <w:rFonts w:ascii="仿宋" w:hAnsi="仿宋" w:eastAsia="仿宋" w:cs="仿宋"/>
          <w:color w:val="auto"/>
          <w:sz w:val="32"/>
          <w:u w:color="auto"/>
        </w:rPr>
        <w:t>%</w:t>
      </w:r>
      <w:r>
        <w:rPr>
          <w:rFonts w:hint="eastAsia" w:ascii="仿宋" w:hAnsi="仿宋" w:eastAsia="仿宋" w:cs="仿宋"/>
          <w:color w:val="auto"/>
          <w:kern w:val="2"/>
          <w:sz w:val="32"/>
          <w:szCs w:val="32"/>
          <w:highlight w:val="none"/>
          <w:lang w:val="en-US" w:eastAsia="zh-CN" w:bidi="ar"/>
        </w:rPr>
        <w:t>，主要原因：主要原因是项目经费及绩效考评奖增加。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2.政府性基金预算财政拨款收入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w:t>
      </w:r>
      <w:r>
        <w:rPr>
          <w:rFonts w:hint="eastAsia" w:ascii="仿宋" w:hAnsi="仿宋" w:eastAsia="仿宋" w:cs="仿宋"/>
          <w:color w:val="auto"/>
          <w:sz w:val="32"/>
          <w:szCs w:val="32"/>
          <w:highlight w:val="none"/>
          <w:lang w:val="en-US" w:eastAsia="zh-CN"/>
        </w:rPr>
        <w:t>环江县</w:t>
      </w:r>
      <w:r>
        <w:rPr>
          <w:rFonts w:hint="eastAsia" w:ascii="仿宋" w:hAnsi="仿宋" w:eastAsia="仿宋" w:cs="仿宋"/>
          <w:color w:val="auto"/>
          <w:kern w:val="2"/>
          <w:sz w:val="32"/>
          <w:szCs w:val="32"/>
          <w:highlight w:val="none"/>
          <w:lang w:val="en-US" w:eastAsia="zh-CN" w:bidi="ar"/>
        </w:rPr>
        <w:t>本级财政当年拨付的资金。较2021年度决算数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，主要原因：本单位无政府性基金预算财政拨款收入。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3.国有资本经营预算财政拨款收入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w:t>
      </w:r>
      <w:r>
        <w:rPr>
          <w:rFonts w:hint="eastAsia" w:ascii="仿宋" w:hAnsi="仿宋" w:eastAsia="仿宋" w:cs="仿宋"/>
          <w:color w:val="auto"/>
          <w:sz w:val="32"/>
          <w:szCs w:val="32"/>
          <w:highlight w:val="none"/>
          <w:lang w:val="en-US" w:eastAsia="zh-CN"/>
        </w:rPr>
        <w:t>环江县</w:t>
      </w:r>
      <w:r>
        <w:rPr>
          <w:rFonts w:hint="eastAsia" w:ascii="仿宋" w:hAnsi="仿宋" w:eastAsia="仿宋" w:cs="仿宋"/>
          <w:color w:val="auto"/>
          <w:kern w:val="2"/>
          <w:sz w:val="32"/>
          <w:szCs w:val="32"/>
          <w:highlight w:val="none"/>
          <w:lang w:val="en-US" w:eastAsia="zh-CN" w:bidi="ar"/>
        </w:rPr>
        <w:t>本级财政当年拨付的资金。较2021年度决算数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，主要原因是：本单位无政府性基金预算财政拨款收入。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4.上级补助收入</w:t>
      </w:r>
      <w:r>
        <w:rPr>
          <w:rFonts w:hint="eastAsia" w:ascii="仿宋" w:hAnsi="仿宋" w:eastAsia="仿宋" w:cs="仿宋"/>
          <w:color w:val="auto"/>
          <w:sz w:val="32"/>
          <w:u w:color="auto"/>
          <w:lang w:val="en-US" w:eastAsia="zh-CN"/>
        </w:rPr>
        <w:t>0</w:t>
      </w:r>
      <w:r>
        <w:rPr>
          <w:rFonts w:hint="eastAsia" w:ascii="仿宋" w:hAnsi="仿宋" w:eastAsia="仿宋" w:cs="仿宋"/>
          <w:color w:val="auto"/>
          <w:kern w:val="2"/>
          <w:sz w:val="32"/>
          <w:szCs w:val="32"/>
          <w:highlight w:val="none"/>
          <w:lang w:val="en-US" w:eastAsia="zh-CN" w:bidi="ar"/>
        </w:rPr>
        <w:t>万元，为上级部门当年拨付的资金。较2021年度决算数</w:t>
      </w:r>
      <w:r>
        <w:rPr>
          <w:rFonts w:ascii="仿宋" w:hAnsi="仿宋" w:eastAsia="仿宋" w:cs="仿宋"/>
          <w:color w:val="auto"/>
          <w:sz w:val="32"/>
          <w:u w:color="auto"/>
        </w:rPr>
        <w:t>增加</w:t>
      </w:r>
      <w:r>
        <w:rPr>
          <w:rFonts w:hint="eastAsia" w:ascii="仿宋" w:hAnsi="仿宋" w:eastAsia="仿宋" w:cs="仿宋"/>
          <w:color w:val="auto"/>
          <w:sz w:val="32"/>
          <w:u w:color="auto"/>
          <w:lang w:val="en-US" w:eastAsia="zh-CN"/>
        </w:rPr>
        <w:t>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w:t>
      </w:r>
      <w:r>
        <w:rPr>
          <w:rFonts w:hint="eastAsia" w:ascii="仿宋" w:hAnsi="仿宋" w:eastAsia="仿宋" w:cs="仿宋"/>
          <w:color w:val="auto"/>
          <w:sz w:val="32"/>
          <w:u w:color="auto"/>
          <w:lang w:val="en-US" w:eastAsia="zh-CN"/>
        </w:rPr>
        <w:t>0</w:t>
      </w:r>
      <w:r>
        <w:rPr>
          <w:rFonts w:ascii="仿宋" w:hAnsi="仿宋" w:eastAsia="仿宋" w:cs="仿宋"/>
          <w:color w:val="auto"/>
          <w:sz w:val="32"/>
          <w:u w:color="auto"/>
        </w:rPr>
        <w:t>%</w:t>
      </w:r>
      <w:r>
        <w:rPr>
          <w:rFonts w:hint="eastAsia" w:ascii="仿宋" w:hAnsi="仿宋" w:eastAsia="仿宋" w:cs="仿宋"/>
          <w:color w:val="auto"/>
          <w:kern w:val="2"/>
          <w:sz w:val="32"/>
          <w:szCs w:val="32"/>
          <w:highlight w:val="none"/>
          <w:lang w:val="en-US" w:eastAsia="zh-CN" w:bidi="ar"/>
        </w:rPr>
        <w:t>，主要原因是：本单位没有上级补助收入。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5.事业收入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万元，为事业单位开展业务活动取得的收入。较2021年度决算数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6.经营收入0.00万,为事业单位在业务活动之外开展非独立核算经营活动取得的收入。较2021年度决算数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7.附属单位上缴收入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8.其他收入</w:t>
      </w:r>
      <w:r>
        <w:rPr>
          <w:rFonts w:hint="eastAsia" w:ascii="仿宋" w:hAnsi="仿宋" w:eastAsia="仿宋" w:cs="仿宋"/>
          <w:color w:val="auto"/>
          <w:sz w:val="32"/>
          <w:u w:color="auto"/>
          <w:lang w:val="en-US" w:eastAsia="zh-CN"/>
        </w:rPr>
        <w:t>0</w:t>
      </w:r>
      <w:r>
        <w:rPr>
          <w:rFonts w:hint="eastAsia" w:ascii="仿宋" w:hAnsi="仿宋" w:eastAsia="仿宋" w:cs="仿宋"/>
          <w:color w:val="auto"/>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color w:val="auto"/>
          <w:sz w:val="32"/>
          <w:u w:color="auto"/>
        </w:rPr>
        <w:t>减少</w:t>
      </w:r>
      <w:r>
        <w:rPr>
          <w:rFonts w:hint="eastAsia" w:ascii="仿宋" w:hAnsi="仿宋" w:eastAsia="仿宋" w:cs="仿宋"/>
          <w:color w:val="auto"/>
          <w:sz w:val="32"/>
          <w:u w:color="auto"/>
          <w:lang w:val="en-US" w:eastAsia="zh-CN"/>
        </w:rPr>
        <w:t>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下降</w:t>
      </w:r>
      <w:r>
        <w:rPr>
          <w:rFonts w:hint="eastAsia" w:ascii="仿宋" w:hAnsi="仿宋" w:eastAsia="仿宋" w:cs="仿宋"/>
          <w:color w:val="auto"/>
          <w:sz w:val="32"/>
          <w:u w:color="auto"/>
          <w:lang w:val="en-US" w:eastAsia="zh-CN"/>
        </w:rPr>
        <w:t>0</w:t>
      </w:r>
      <w:r>
        <w:rPr>
          <w:rFonts w:ascii="仿宋" w:hAnsi="仿宋" w:eastAsia="仿宋" w:cs="仿宋"/>
          <w:color w:val="auto"/>
          <w:sz w:val="32"/>
          <w:u w:color="auto"/>
        </w:rPr>
        <w:t>%</w:t>
      </w:r>
      <w:r>
        <w:rPr>
          <w:rFonts w:hint="eastAsia" w:ascii="仿宋" w:hAnsi="仿宋" w:eastAsia="仿宋" w:cs="仿宋"/>
          <w:color w:val="auto"/>
          <w:kern w:val="2"/>
          <w:sz w:val="32"/>
          <w:szCs w:val="32"/>
          <w:highlight w:val="none"/>
          <w:lang w:val="en-US" w:eastAsia="zh-CN" w:bidi="ar"/>
        </w:rPr>
        <w:t>，主要原因是：本单位没有其他收入。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9.使用非财政拨款结余</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10.上年结转和结余</w:t>
      </w:r>
      <w:r>
        <w:rPr>
          <w:rFonts w:hint="eastAsia" w:ascii="仿宋" w:hAnsi="仿宋" w:eastAsia="仿宋" w:cs="仿宋"/>
          <w:color w:val="auto"/>
          <w:sz w:val="32"/>
          <w:u w:color="auto"/>
          <w:lang w:val="en-US" w:eastAsia="zh-CN"/>
        </w:rPr>
        <w:t>0</w:t>
      </w:r>
      <w:r>
        <w:rPr>
          <w:rFonts w:hint="eastAsia" w:ascii="仿宋" w:hAnsi="仿宋" w:eastAsia="仿宋" w:cs="仿宋"/>
          <w:color w:val="auto"/>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color w:val="auto"/>
          <w:sz w:val="32"/>
          <w:u w:color="auto"/>
        </w:rPr>
        <w:t>减少</w:t>
      </w:r>
      <w:r>
        <w:rPr>
          <w:rFonts w:hint="eastAsia" w:ascii="仿宋" w:hAnsi="仿宋" w:eastAsia="仿宋" w:cs="仿宋"/>
          <w:color w:val="auto"/>
          <w:sz w:val="32"/>
          <w:u w:color="auto"/>
          <w:lang w:val="en-US" w:eastAsia="zh-CN"/>
        </w:rPr>
        <w:t>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下降</w:t>
      </w:r>
      <w:r>
        <w:rPr>
          <w:rFonts w:hint="eastAsia" w:ascii="仿宋" w:hAnsi="仿宋" w:eastAsia="仿宋" w:cs="仿宋"/>
          <w:color w:val="auto"/>
          <w:sz w:val="32"/>
          <w:u w:color="auto"/>
          <w:lang w:val="en-US" w:eastAsia="zh-CN"/>
        </w:rPr>
        <w:t>0</w:t>
      </w:r>
      <w:r>
        <w:rPr>
          <w:rFonts w:ascii="仿宋" w:hAnsi="仿宋" w:eastAsia="仿宋" w:cs="仿宋"/>
          <w:color w:val="auto"/>
          <w:sz w:val="32"/>
          <w:u w:color="auto"/>
        </w:rPr>
        <w:t>%</w:t>
      </w:r>
      <w:r>
        <w:rPr>
          <w:rFonts w:hint="eastAsia" w:ascii="仿宋" w:hAnsi="仿宋" w:eastAsia="仿宋" w:cs="仿宋"/>
          <w:color w:val="auto"/>
          <w:kern w:val="2"/>
          <w:sz w:val="32"/>
          <w:szCs w:val="32"/>
          <w:highlight w:val="none"/>
          <w:lang w:val="en-US" w:eastAsia="zh-CN" w:bidi="ar"/>
        </w:rPr>
        <w:t>，主要原因：部分项目已在本年执行完毕，不需要结转至下年继续执行。</w:t>
      </w:r>
    </w:p>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861560" cy="3658235"/>
            <wp:effectExtent l="4445" t="4445" r="10795" b="13970"/>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（二）本部门2022年度总支出</w:t>
      </w:r>
      <w:r>
        <w:rPr>
          <w:rFonts w:hint="eastAsia" w:ascii="仿宋" w:hAnsi="仿宋" w:eastAsia="仿宋" w:cs="仿宋"/>
          <w:color w:val="auto"/>
          <w:sz w:val="32"/>
          <w:u w:color="auto"/>
        </w:rPr>
        <w:t>182.66</w:t>
      </w:r>
      <w:r>
        <w:rPr>
          <w:rFonts w:hint="eastAsia" w:ascii="仿宋" w:hAnsi="仿宋" w:eastAsia="仿宋" w:cs="仿宋"/>
          <w:color w:val="auto"/>
          <w:sz w:val="32"/>
          <w:szCs w:val="32"/>
          <w:highlight w:val="none"/>
        </w:rPr>
        <w:t>万元，其中本年支出</w:t>
      </w:r>
      <w:r>
        <w:rPr>
          <w:rFonts w:hint="eastAsia" w:ascii="仿宋" w:hAnsi="仿宋" w:eastAsia="仿宋" w:cs="仿宋"/>
          <w:color w:val="auto"/>
          <w:sz w:val="32"/>
          <w:u w:color="auto"/>
        </w:rPr>
        <w:t>182.66</w:t>
      </w:r>
      <w:r>
        <w:rPr>
          <w:rFonts w:hint="eastAsia" w:ascii="仿宋" w:hAnsi="仿宋" w:eastAsia="仿宋" w:cs="仿宋"/>
          <w:color w:val="auto"/>
          <w:sz w:val="32"/>
          <w:szCs w:val="32"/>
          <w:highlight w:val="none"/>
        </w:rPr>
        <w:t>万元，较2021年度决算数</w:t>
      </w:r>
      <w:r>
        <w:rPr>
          <w:rFonts w:hint="eastAsia" w:ascii="仿宋" w:hAnsi="仿宋" w:eastAsia="仿宋" w:cs="仿宋"/>
          <w:color w:val="auto"/>
          <w:sz w:val="32"/>
          <w:u w:color="auto"/>
        </w:rPr>
        <w:t>增加11.93</w:t>
      </w:r>
      <w:r>
        <w:rPr>
          <w:rFonts w:hint="eastAsia" w:ascii="仿宋" w:hAnsi="仿宋" w:eastAsia="仿宋" w:cs="仿宋"/>
          <w:color w:val="auto"/>
          <w:sz w:val="32"/>
          <w:szCs w:val="32"/>
          <w:highlight w:val="none"/>
        </w:rPr>
        <w:t>万元，</w:t>
      </w:r>
      <w:r>
        <w:rPr>
          <w:rFonts w:hint="eastAsia" w:ascii="仿宋" w:hAnsi="仿宋" w:eastAsia="仿宋" w:cs="仿宋"/>
          <w:color w:val="auto"/>
          <w:sz w:val="32"/>
          <w:u w:color="auto"/>
        </w:rPr>
        <w:t>上涨6.99%</w:t>
      </w:r>
      <w:r>
        <w:rPr>
          <w:rFonts w:hint="eastAsia" w:ascii="仿宋" w:hAnsi="仿宋" w:eastAsia="仿宋" w:cs="仿宋"/>
          <w:color w:val="auto"/>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1</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一般公共服务支出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201</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1.50</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kern w:val="2"/>
          <w:sz w:val="32"/>
          <w:szCs w:val="32"/>
          <w:highlight w:val="none"/>
          <w:lang w:val="en-US" w:eastAsia="zh-CN" w:bidi="ar"/>
        </w:rPr>
        <w:t>主要用于2022年职工工会费</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减少0.17</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下降10.18%</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主要原因是：用于2022年职工工会费。</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sz w:val="32"/>
          <w:szCs w:val="32"/>
          <w:highlight w:val="none"/>
        </w:rPr>
        <w:t>2</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社会保障和就业支出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208</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val="en-US" w:eastAsia="zh-CN" w:bidi="ar"/>
        </w:rPr>
        <w:t>11.66</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按照实际用途写明</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减少</w:t>
      </w:r>
      <w:r>
        <w:rPr>
          <w:rFonts w:hint="eastAsia" w:ascii="仿宋" w:hAnsi="仿宋" w:eastAsia="仿宋" w:cs="仿宋"/>
          <w:color w:val="auto"/>
          <w:sz w:val="32"/>
          <w:szCs w:val="32"/>
          <w:highlight w:val="none"/>
          <w:lang w:val="en-US" w:eastAsia="zh-CN" w:bidi="ar"/>
        </w:rPr>
        <w:t>0.75</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下降</w:t>
      </w:r>
      <w:r>
        <w:rPr>
          <w:rFonts w:hint="eastAsia" w:ascii="仿宋" w:hAnsi="仿宋" w:eastAsia="仿宋" w:cs="仿宋"/>
          <w:color w:val="auto"/>
          <w:sz w:val="32"/>
          <w:szCs w:val="32"/>
          <w:highlight w:val="none"/>
          <w:lang w:val="en-US" w:eastAsia="zh-CN" w:bidi="ar"/>
        </w:rPr>
        <w:t>6.04</w:t>
      </w:r>
      <w:r>
        <w:rPr>
          <w:rFonts w:hint="eastAsia" w:ascii="仿宋" w:hAnsi="仿宋" w:eastAsia="仿宋" w:cs="仿宋"/>
          <w:color w:val="auto"/>
          <w:sz w:val="32"/>
          <w:szCs w:val="32"/>
          <w:highlight w:val="none"/>
          <w:lang w:bidi="ar"/>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主要原因是：主要用于部门机关事业单位基本养老保险缴费支出。</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sz w:val="32"/>
          <w:u w:color="auto"/>
          <w:lang w:val="en-US" w:eastAsia="zh-CN"/>
        </w:rPr>
        <w:t>3</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农林水支出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213</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val="en-US" w:eastAsia="zh-CN" w:bidi="ar"/>
        </w:rPr>
        <w:t>117.32</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主要用于事业机构运行、森林资源培育的支出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减少</w:t>
      </w:r>
      <w:r>
        <w:rPr>
          <w:rFonts w:hint="eastAsia" w:ascii="仿宋" w:hAnsi="仿宋" w:eastAsia="仿宋" w:cs="仿宋"/>
          <w:color w:val="auto"/>
          <w:sz w:val="32"/>
          <w:szCs w:val="32"/>
          <w:highlight w:val="none"/>
          <w:lang w:val="en-US" w:eastAsia="zh-CN" w:bidi="ar"/>
        </w:rPr>
        <w:t>4.26</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下降</w:t>
      </w:r>
      <w:r>
        <w:rPr>
          <w:rFonts w:hint="eastAsia" w:ascii="仿宋" w:hAnsi="仿宋" w:eastAsia="仿宋" w:cs="仿宋"/>
          <w:color w:val="auto"/>
          <w:sz w:val="32"/>
          <w:szCs w:val="32"/>
          <w:highlight w:val="none"/>
          <w:lang w:val="en-US" w:eastAsia="zh-CN" w:bidi="ar"/>
        </w:rPr>
        <w:t>3.5</w:t>
      </w:r>
      <w:r>
        <w:rPr>
          <w:rFonts w:hint="eastAsia" w:ascii="仿宋" w:hAnsi="仿宋" w:eastAsia="仿宋" w:cs="仿宋"/>
          <w:color w:val="auto"/>
          <w:sz w:val="32"/>
          <w:szCs w:val="32"/>
          <w:highlight w:val="none"/>
          <w:lang w:bidi="ar"/>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主要原因是：财政缩减开支。</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sz w:val="32"/>
          <w:u w:color="auto"/>
          <w:lang w:val="en-US" w:eastAsia="zh-CN"/>
        </w:rPr>
        <w:t>4</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住房保障支出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221</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val="en-US" w:eastAsia="zh-CN" w:bidi="ar"/>
        </w:rPr>
        <w:t>8.75</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：按照国家政策规定向职工发放的住房公积金、提租补贴、购房补贴等住房改革方面的支出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减少</w:t>
      </w:r>
      <w:r>
        <w:rPr>
          <w:rFonts w:hint="eastAsia" w:ascii="仿宋" w:hAnsi="仿宋" w:eastAsia="仿宋" w:cs="仿宋"/>
          <w:color w:val="auto"/>
          <w:sz w:val="32"/>
          <w:szCs w:val="32"/>
          <w:highlight w:val="none"/>
          <w:lang w:val="en-US" w:eastAsia="zh-CN" w:bidi="ar"/>
        </w:rPr>
        <w:t>0.62</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下降</w:t>
      </w:r>
      <w:r>
        <w:rPr>
          <w:rFonts w:hint="eastAsia" w:ascii="仿宋" w:hAnsi="仿宋" w:eastAsia="仿宋" w:cs="仿宋"/>
          <w:color w:val="auto"/>
          <w:sz w:val="32"/>
          <w:szCs w:val="32"/>
          <w:highlight w:val="none"/>
          <w:lang w:val="en-US" w:eastAsia="zh-CN" w:bidi="ar"/>
        </w:rPr>
        <w:t>6.6</w:t>
      </w:r>
      <w:r>
        <w:rPr>
          <w:rFonts w:hint="eastAsia" w:ascii="仿宋" w:hAnsi="仿宋" w:eastAsia="仿宋" w:cs="仿宋"/>
          <w:color w:val="auto"/>
          <w:sz w:val="32"/>
          <w:szCs w:val="32"/>
          <w:highlight w:val="none"/>
          <w:lang w:bidi="ar"/>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主要原因是：人员变动。</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5.灾害防治及应急管理支出（224 类）24.00万元：主要用于：用于2022年生态保护和修复支撑体系专项中央基建投资项目。较2021年度决算数增加24.00万元，增长100%，主要原因是：2022年生态保护和修复支撑体系专项中央基建投资项目所需。</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6.其他支出（229 类）19.44万元：主要用于：按照实际用途写明。较2021年度决算数减少6.25万元，下降24.33%，主要原因是：退休人员生活补助及伙食补助费调整。</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color w:val="auto"/>
          <w:sz w:val="32"/>
          <w:szCs w:val="32"/>
          <w:highlight w:val="none"/>
          <w:lang w:eastAsia="zh-CN" w:bidi="ar"/>
        </w:rPr>
      </w:pPr>
      <w:r>
        <w:rPr>
          <w:rFonts w:hint="default" w:ascii="仿宋_GB2312" w:hAnsi="微软雅黑" w:eastAsia="仿宋_GB2312" w:cs="仿宋_GB2312"/>
          <w:i w:val="0"/>
          <w:iCs w:val="0"/>
          <w:caps w:val="0"/>
          <w:color w:val="auto"/>
          <w:spacing w:val="0"/>
          <w:sz w:val="31"/>
          <w:szCs w:val="31"/>
          <w:highlight w:val="none"/>
          <w:shd w:val="clear" w:color="auto" w:fill="FFFFFF"/>
        </w:rPr>
        <w:t>结余分配</w:t>
      </w:r>
      <w:r>
        <w:rPr>
          <w:rFonts w:hint="eastAsia" w:ascii="仿宋_GB2312" w:hAnsi="微软雅黑" w:eastAsia="仿宋_GB2312" w:cs="仿宋_GB2312"/>
          <w:color w:val="auto"/>
          <w:sz w:val="31"/>
          <w:szCs w:val="31"/>
          <w:highlight w:val="none"/>
          <w:shd w:val="clear" w:color="auto" w:fill="FFFFFF"/>
        </w:rPr>
        <w:t>0.00</w:t>
      </w:r>
      <w:r>
        <w:rPr>
          <w:rFonts w:hint="default" w:ascii="仿宋_GB2312" w:hAnsi="微软雅黑" w:eastAsia="仿宋_GB2312" w:cs="仿宋_GB2312"/>
          <w:i w:val="0"/>
          <w:iCs w:val="0"/>
          <w:caps w:val="0"/>
          <w:color w:val="auto"/>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auto"/>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auto"/>
          <w:spacing w:val="0"/>
          <w:sz w:val="31"/>
          <w:szCs w:val="31"/>
          <w:highlight w:val="none"/>
          <w:shd w:val="clear" w:color="auto" w:fill="FFFFFF"/>
        </w:rPr>
        <w:t>年决算</w:t>
      </w:r>
      <w:r>
        <w:rPr>
          <w:rFonts w:hint="eastAsia" w:ascii="仿宋_GB2312" w:hAnsi="微软雅黑" w:eastAsia="仿宋_GB2312" w:cs="仿宋_GB2312"/>
          <w:color w:val="auto"/>
          <w:sz w:val="31"/>
          <w:szCs w:val="31"/>
          <w:highlight w:val="none"/>
          <w:shd w:val="clear" w:color="auto" w:fill="FFFFFF"/>
        </w:rPr>
        <w:t>0.00</w:t>
      </w:r>
      <w:r>
        <w:rPr>
          <w:rFonts w:hint="default" w:ascii="仿宋_GB2312" w:hAnsi="微软雅黑" w:eastAsia="仿宋_GB2312" w:cs="仿宋_GB2312"/>
          <w:i w:val="0"/>
          <w:iCs w:val="0"/>
          <w:caps w:val="0"/>
          <w:color w:val="auto"/>
          <w:spacing w:val="0"/>
          <w:sz w:val="31"/>
          <w:szCs w:val="31"/>
          <w:highlight w:val="none"/>
          <w:shd w:val="clear" w:color="auto" w:fill="FFFFFF"/>
        </w:rPr>
        <w:t>万元</w:t>
      </w:r>
      <w:r>
        <w:rPr>
          <w:rFonts w:hint="eastAsia" w:ascii="仿宋_GB2312" w:hAnsi="微软雅黑" w:eastAsia="仿宋_GB2312" w:cs="仿宋_GB2312"/>
          <w:i w:val="0"/>
          <w:iCs w:val="0"/>
          <w:caps w:val="0"/>
          <w:color w:val="auto"/>
          <w:spacing w:val="0"/>
          <w:sz w:val="31"/>
          <w:szCs w:val="31"/>
          <w:highlight w:val="none"/>
          <w:shd w:val="clear" w:color="auto" w:fill="FFFFFF"/>
          <w:lang w:val="en-US" w:eastAsia="zh-CN"/>
        </w:rPr>
        <w:t>,</w:t>
      </w:r>
      <w:r>
        <w:rPr>
          <w:rFonts w:hint="eastAsia" w:ascii="仿宋_GB2312" w:hAnsi="微软雅黑" w:eastAsia="仿宋_GB2312" w:cs="仿宋_GB2312"/>
          <w:color w:val="auto"/>
          <w:sz w:val="31"/>
          <w:szCs w:val="31"/>
          <w:highlight w:val="none"/>
          <w:shd w:val="clear" w:color="auto" w:fill="FFFFFF"/>
        </w:rPr>
        <w:t>增加0.00</w:t>
      </w:r>
      <w:r>
        <w:rPr>
          <w:rFonts w:hint="default" w:ascii="仿宋_GB2312" w:hAnsi="微软雅黑" w:eastAsia="仿宋_GB2312" w:cs="仿宋_GB2312"/>
          <w:i w:val="0"/>
          <w:iCs w:val="0"/>
          <w:caps w:val="0"/>
          <w:color w:val="auto"/>
          <w:spacing w:val="0"/>
          <w:sz w:val="31"/>
          <w:szCs w:val="31"/>
          <w:highlight w:val="none"/>
          <w:shd w:val="clear" w:color="auto" w:fill="FFFFFF"/>
        </w:rPr>
        <w:t>万元，</w:t>
      </w:r>
      <w:r>
        <w:rPr>
          <w:rFonts w:hint="eastAsia" w:ascii="仿宋_GB2312" w:hAnsi="微软雅黑" w:eastAsia="仿宋_GB2312" w:cs="仿宋_GB2312"/>
          <w:color w:val="auto"/>
          <w:sz w:val="31"/>
          <w:szCs w:val="31"/>
          <w:highlight w:val="none"/>
          <w:shd w:val="clear" w:color="auto" w:fill="FFFFFF"/>
        </w:rPr>
        <w:t>增长0%</w:t>
      </w:r>
      <w:r>
        <w:rPr>
          <w:rFonts w:hint="default" w:ascii="仿宋_GB2312" w:hAnsi="微软雅黑" w:eastAsia="仿宋_GB2312" w:cs="仿宋_GB2312"/>
          <w:i w:val="0"/>
          <w:iCs w:val="0"/>
          <w:caps w:val="0"/>
          <w:color w:val="auto"/>
          <w:spacing w:val="0"/>
          <w:sz w:val="31"/>
          <w:szCs w:val="31"/>
          <w:highlight w:val="none"/>
          <w:shd w:val="clear" w:color="auto" w:fill="FFFFFF"/>
        </w:rPr>
        <w:t>，主要原因是</w:t>
      </w:r>
      <w:r>
        <w:rPr>
          <w:rFonts w:hint="eastAsia" w:ascii="仿宋" w:hAnsi="仿宋" w:eastAsia="仿宋" w:cs="仿宋"/>
          <w:color w:val="auto"/>
          <w:kern w:val="2"/>
          <w:sz w:val="32"/>
          <w:szCs w:val="32"/>
          <w:highlight w:val="none"/>
          <w:lang w:val="en-US" w:eastAsia="zh-CN" w:bidi="ar"/>
        </w:rPr>
        <w:t>：本单位无</w:t>
      </w:r>
      <w:r>
        <w:rPr>
          <w:rFonts w:hint="default" w:ascii="仿宋_GB2312" w:hAnsi="微软雅黑" w:eastAsia="仿宋_GB2312" w:cs="仿宋_GB2312"/>
          <w:i w:val="0"/>
          <w:iCs w:val="0"/>
          <w:caps w:val="0"/>
          <w:color w:val="auto"/>
          <w:spacing w:val="0"/>
          <w:sz w:val="31"/>
          <w:szCs w:val="31"/>
          <w:highlight w:val="none"/>
          <w:shd w:val="clear" w:color="auto" w:fill="FFFFFF"/>
        </w:rPr>
        <w:t>事业单位按规定提取的专用结余、缴纳所得税和转入非财政拨款结余等</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年末结转和结余</w:t>
      </w:r>
      <w:r>
        <w:rPr>
          <w:rFonts w:hint="eastAsia" w:ascii="仿宋" w:hAnsi="仿宋" w:eastAsia="仿宋" w:cs="仿宋"/>
          <w:color w:val="auto"/>
          <w:sz w:val="32"/>
          <w:u w:color="auto"/>
          <w:lang w:val="en-US" w:eastAsia="zh-CN"/>
        </w:rPr>
        <w:t>0</w:t>
      </w:r>
      <w:r>
        <w:rPr>
          <w:rFonts w:hint="eastAsia" w:ascii="仿宋" w:hAnsi="仿宋" w:eastAsia="仿宋" w:cs="仿宋"/>
          <w:color w:val="auto"/>
          <w:sz w:val="32"/>
          <w:szCs w:val="32"/>
          <w:highlight w:val="none"/>
        </w:rPr>
        <w:t>万元，为本年度或以前年度预算安排、因客观条件发生变化无法按原计划实施，需要延迟到以后年度按有关规定继续使用的资金。较2021年度决算数</w:t>
      </w:r>
      <w:r>
        <w:rPr>
          <w:rFonts w:ascii="仿宋" w:hAnsi="仿宋" w:eastAsia="仿宋" w:cs="仿宋"/>
          <w:color w:val="auto"/>
          <w:sz w:val="32"/>
          <w:u w:color="auto"/>
        </w:rPr>
        <w:t>增加</w:t>
      </w:r>
      <w:r>
        <w:rPr>
          <w:rFonts w:hint="eastAsia" w:ascii="仿宋" w:hAnsi="仿宋" w:eastAsia="仿宋" w:cs="仿宋"/>
          <w:color w:val="auto"/>
          <w:sz w:val="32"/>
          <w:u w:color="auto"/>
          <w:lang w:val="en-US" w:eastAsia="zh-CN"/>
        </w:rPr>
        <w:t>0</w:t>
      </w:r>
      <w:r>
        <w:rPr>
          <w:rFonts w:hint="eastAsia" w:ascii="仿宋" w:hAnsi="仿宋" w:eastAsia="仿宋" w:cs="仿宋"/>
          <w:color w:val="auto"/>
          <w:sz w:val="32"/>
          <w:szCs w:val="32"/>
          <w:highlight w:val="none"/>
        </w:rPr>
        <w:t>万元，</w:t>
      </w:r>
      <w:r>
        <w:rPr>
          <w:rFonts w:ascii="仿宋" w:hAnsi="仿宋" w:eastAsia="仿宋" w:cs="仿宋"/>
          <w:color w:val="auto"/>
          <w:sz w:val="32"/>
          <w:u w:color="auto"/>
        </w:rPr>
        <w:t>增长</w:t>
      </w:r>
      <w:r>
        <w:rPr>
          <w:rFonts w:hint="eastAsia" w:ascii="仿宋" w:hAnsi="仿宋" w:eastAsia="仿宋" w:cs="仿宋"/>
          <w:color w:val="auto"/>
          <w:sz w:val="32"/>
          <w:u w:color="auto"/>
          <w:lang w:val="en-US" w:eastAsia="zh-CN"/>
        </w:rPr>
        <w:t>0</w:t>
      </w:r>
      <w:r>
        <w:rPr>
          <w:rFonts w:ascii="仿宋" w:hAnsi="仿宋" w:eastAsia="仿宋" w:cs="仿宋"/>
          <w:color w:val="auto"/>
          <w:sz w:val="32"/>
          <w:u w:color="auto"/>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主要原因是本单位无</w:t>
      </w:r>
      <w:r>
        <w:rPr>
          <w:rFonts w:hint="eastAsia" w:ascii="仿宋" w:hAnsi="仿宋" w:eastAsia="仿宋" w:cs="仿宋"/>
          <w:color w:val="auto"/>
          <w:sz w:val="32"/>
          <w:szCs w:val="32"/>
          <w:highlight w:val="none"/>
        </w:rPr>
        <w:t>年末结转和结余</w:t>
      </w:r>
      <w:r>
        <w:rPr>
          <w:rFonts w:hint="eastAsia" w:ascii="仿宋" w:hAnsi="仿宋" w:eastAsia="仿宋" w:cs="仿宋"/>
          <w:color w:val="auto"/>
          <w:sz w:val="32"/>
          <w:szCs w:val="32"/>
          <w:highlight w:val="none"/>
          <w:lang w:eastAsia="zh-CN"/>
        </w:rPr>
        <w:t>。</w:t>
      </w:r>
    </w:p>
    <w:p>
      <w:pPr>
        <w:ind w:firstLine="640" w:firstLineChars="200"/>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765675" cy="2822575"/>
            <wp:effectExtent l="4445" t="4445" r="11430" b="11430"/>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二、2022 年度</w:t>
      </w:r>
      <w:bookmarkStart w:id="2" w:name="OLE_LINK1"/>
      <w:r>
        <w:rPr>
          <w:rFonts w:hint="eastAsia" w:ascii="黑体" w:hAnsi="黑体" w:eastAsia="黑体" w:cs="黑体"/>
          <w:color w:val="auto"/>
          <w:sz w:val="32"/>
          <w:szCs w:val="32"/>
          <w:highlight w:val="none"/>
        </w:rPr>
        <w:t>一般公共预算财政拨款支出决算情况</w:t>
      </w:r>
      <w:bookmarkEnd w:id="2"/>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环江县爱山林业试验场</w:t>
      </w:r>
      <w:r>
        <w:rPr>
          <w:rFonts w:hint="eastAsia" w:ascii="仿宋" w:hAnsi="仿宋" w:eastAsia="仿宋" w:cs="仿宋"/>
          <w:color w:val="auto"/>
          <w:sz w:val="32"/>
          <w:szCs w:val="32"/>
          <w:highlight w:val="none"/>
        </w:rPr>
        <w:t>2022年度一般公共预算财政拨款支出</w:t>
      </w:r>
      <w:r>
        <w:rPr>
          <w:rFonts w:hint="eastAsia" w:ascii="仿宋" w:hAnsi="仿宋" w:eastAsia="仿宋" w:cs="仿宋"/>
          <w:color w:val="auto"/>
          <w:sz w:val="32"/>
          <w:u w:color="auto"/>
          <w:lang w:eastAsia="zh-CN"/>
        </w:rPr>
        <w:t>182.66</w:t>
      </w:r>
      <w:r>
        <w:rPr>
          <w:rFonts w:hint="eastAsia" w:ascii="仿宋" w:hAnsi="仿宋" w:eastAsia="仿宋" w:cs="仿宋"/>
          <w:color w:val="auto"/>
          <w:sz w:val="32"/>
          <w:szCs w:val="32"/>
          <w:highlight w:val="none"/>
        </w:rPr>
        <w:t>万元，较2021年度决算数</w:t>
      </w:r>
      <w:r>
        <w:rPr>
          <w:rFonts w:hint="eastAsia" w:ascii="仿宋" w:hAnsi="仿宋" w:eastAsia="仿宋" w:cs="仿宋"/>
          <w:color w:val="auto"/>
          <w:sz w:val="32"/>
          <w:u w:color="auto"/>
        </w:rPr>
        <w:t>增加11.93</w:t>
      </w:r>
      <w:r>
        <w:rPr>
          <w:rFonts w:hint="eastAsia" w:ascii="仿宋" w:hAnsi="仿宋" w:eastAsia="仿宋" w:cs="仿宋"/>
          <w:color w:val="auto"/>
          <w:sz w:val="32"/>
          <w:szCs w:val="32"/>
          <w:highlight w:val="none"/>
        </w:rPr>
        <w:t>万元，</w:t>
      </w:r>
      <w:r>
        <w:rPr>
          <w:rFonts w:hint="eastAsia" w:ascii="仿宋" w:hAnsi="仿宋" w:eastAsia="仿宋" w:cs="仿宋"/>
          <w:color w:val="auto"/>
          <w:sz w:val="32"/>
          <w:u w:color="auto"/>
          <w:lang w:val="en-US" w:eastAsia="zh-CN"/>
        </w:rPr>
        <w:t>增长</w:t>
      </w:r>
      <w:r>
        <w:rPr>
          <w:rFonts w:hint="eastAsia" w:ascii="仿宋" w:hAnsi="仿宋" w:eastAsia="仿宋" w:cs="仿宋"/>
          <w:color w:val="auto"/>
          <w:sz w:val="32"/>
          <w:u w:color="auto"/>
        </w:rPr>
        <w:t>6.99%</w:t>
      </w:r>
      <w:r>
        <w:rPr>
          <w:rFonts w:hint="eastAsia" w:ascii="仿宋" w:hAnsi="仿宋" w:eastAsia="仿宋" w:cs="仿宋"/>
          <w:color w:val="auto"/>
          <w:sz w:val="32"/>
          <w:szCs w:val="32"/>
          <w:highlight w:val="none"/>
        </w:rPr>
        <w:t>。其中：基本支出</w:t>
      </w:r>
      <w:r>
        <w:rPr>
          <w:rFonts w:hint="eastAsia" w:ascii="仿宋" w:hAnsi="仿宋" w:eastAsia="仿宋" w:cs="仿宋"/>
          <w:color w:val="auto"/>
          <w:sz w:val="32"/>
          <w:u w:color="auto"/>
          <w:lang w:val="en-US" w:eastAsia="zh-CN"/>
        </w:rPr>
        <w:t>126.66</w:t>
      </w:r>
      <w:r>
        <w:rPr>
          <w:rFonts w:hint="eastAsia" w:ascii="仿宋" w:hAnsi="仿宋" w:eastAsia="仿宋" w:cs="仿宋"/>
          <w:color w:val="auto"/>
          <w:sz w:val="32"/>
          <w:szCs w:val="32"/>
          <w:highlight w:val="none"/>
        </w:rPr>
        <w:t>万元，项目支出</w:t>
      </w:r>
      <w:r>
        <w:rPr>
          <w:rFonts w:hint="eastAsia" w:ascii="仿宋" w:hAnsi="仿宋" w:eastAsia="仿宋" w:cs="仿宋"/>
          <w:color w:val="auto"/>
          <w:sz w:val="32"/>
          <w:u w:color="auto"/>
          <w:lang w:val="en-US" w:eastAsia="zh-CN"/>
        </w:rPr>
        <w:t>56</w:t>
      </w:r>
      <w:r>
        <w:rPr>
          <w:rFonts w:hint="eastAsia" w:ascii="仿宋" w:hAnsi="仿宋" w:eastAsia="仿宋" w:cs="仿宋"/>
          <w:color w:val="auto"/>
          <w:sz w:val="32"/>
          <w:szCs w:val="32"/>
          <w:highlight w:val="none"/>
        </w:rPr>
        <w:t>万元。</w:t>
      </w:r>
    </w:p>
    <w:p>
      <w:pPr>
        <w:ind w:firstLine="640" w:firstLineChars="200"/>
        <w:jc w:val="left"/>
        <w:rPr>
          <w:rFonts w:ascii="仿宋" w:hAnsi="仿宋" w:eastAsia="仿宋"/>
          <w:color w:val="auto"/>
          <w:sz w:val="32"/>
          <w:szCs w:val="32"/>
          <w:highlight w:val="none"/>
        </w:rPr>
      </w:pPr>
      <w:r>
        <w:rPr>
          <w:rFonts w:hint="eastAsia" w:ascii="仿宋" w:hAnsi="仿宋" w:eastAsia="仿宋" w:cs="仿宋"/>
          <w:color w:val="auto"/>
          <w:sz w:val="32"/>
          <w:szCs w:val="32"/>
          <w:highlight w:val="none"/>
          <w:lang w:eastAsia="zh-CN"/>
        </w:rPr>
        <w:t>本单位</w:t>
      </w:r>
      <w:r>
        <w:rPr>
          <w:rFonts w:hint="eastAsia" w:ascii="仿宋" w:hAnsi="仿宋" w:eastAsia="仿宋" w:cs="仿宋"/>
          <w:color w:val="auto"/>
          <w:sz w:val="32"/>
          <w:szCs w:val="32"/>
          <w:highlight w:val="none"/>
        </w:rPr>
        <w:t>2022 年度一般公共预算财政拨款支出年初预算为</w:t>
      </w:r>
      <w:r>
        <w:rPr>
          <w:rFonts w:hint="eastAsia" w:ascii="仿宋" w:hAnsi="仿宋" w:eastAsia="仿宋"/>
          <w:color w:val="auto"/>
          <w:sz w:val="32"/>
          <w:szCs w:val="32"/>
          <w:highlight w:val="none"/>
          <w:lang w:val="en-US" w:eastAsia="zh-CN"/>
        </w:rPr>
        <w:t>137.33</w:t>
      </w:r>
      <w:r>
        <w:rPr>
          <w:rFonts w:hint="eastAsia" w:ascii="仿宋" w:hAnsi="仿宋" w:eastAsia="仿宋" w:cs="仿宋"/>
          <w:color w:val="auto"/>
          <w:sz w:val="32"/>
          <w:szCs w:val="32"/>
          <w:highlight w:val="none"/>
        </w:rPr>
        <w:t>万元，支出决算为</w:t>
      </w:r>
      <w:r>
        <w:rPr>
          <w:rFonts w:hint="eastAsia" w:ascii="仿宋" w:hAnsi="仿宋" w:eastAsia="仿宋" w:cs="仿宋"/>
          <w:color w:val="auto"/>
          <w:sz w:val="32"/>
          <w:u w:color="auto"/>
          <w:lang w:eastAsia="zh-CN"/>
        </w:rPr>
        <w:t>182.66</w:t>
      </w:r>
      <w:r>
        <w:rPr>
          <w:rFonts w:hint="eastAsia" w:ascii="仿宋" w:hAnsi="仿宋" w:eastAsia="仿宋" w:cs="仿宋"/>
          <w:color w:val="auto"/>
          <w:sz w:val="32"/>
          <w:szCs w:val="32"/>
          <w:highlight w:val="none"/>
        </w:rPr>
        <w:t>万元，完成年初预算的</w:t>
      </w:r>
      <w:r>
        <w:rPr>
          <w:rFonts w:ascii="仿宋" w:hAnsi="仿宋" w:eastAsia="仿宋"/>
          <w:color w:val="auto"/>
          <w:sz w:val="32"/>
          <w:szCs w:val="32"/>
          <w:highlight w:val="none"/>
        </w:rPr>
        <w:t>1</w:t>
      </w:r>
      <w:r>
        <w:rPr>
          <w:rFonts w:hint="eastAsia" w:ascii="仿宋" w:hAnsi="仿宋" w:eastAsia="仿宋"/>
          <w:color w:val="auto"/>
          <w:sz w:val="32"/>
          <w:szCs w:val="32"/>
          <w:highlight w:val="none"/>
          <w:lang w:val="en-US" w:eastAsia="zh-CN"/>
        </w:rPr>
        <w:t>33</w:t>
      </w:r>
      <w:r>
        <w:rPr>
          <w:rFonts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01</w:t>
      </w:r>
      <w:r>
        <w:rPr>
          <w:rFonts w:ascii="仿宋" w:hAnsi="仿宋" w:eastAsia="仿宋" w:cs="仿宋"/>
          <w:color w:val="auto"/>
          <w:sz w:val="32"/>
          <w:u w:color="auto"/>
        </w:rPr>
        <w:t>%</w:t>
      </w:r>
      <w:r>
        <w:rPr>
          <w:rFonts w:hint="eastAsia" w:ascii="仿宋" w:hAnsi="仿宋" w:eastAsia="仿宋" w:cs="仿宋"/>
          <w:color w:val="auto"/>
          <w:sz w:val="32"/>
          <w:szCs w:val="32"/>
          <w:highlight w:val="none"/>
        </w:rPr>
        <w:t>。</w:t>
      </w:r>
      <w:bookmarkStart w:id="3" w:name="OLE_LINK2"/>
      <w:bookmarkEnd w:id="3"/>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color w:val="auto"/>
          <w:sz w:val="32"/>
          <w:szCs w:val="32"/>
          <w:highlight w:val="none"/>
        </w:rPr>
        <w:t>一般公共服务支出</w:t>
      </w:r>
      <w:r>
        <w:rPr>
          <w:rFonts w:ascii="仿宋" w:hAnsi="仿宋" w:eastAsia="仿宋"/>
          <w:color w:val="auto"/>
          <w:sz w:val="32"/>
          <w:u w:color="auto"/>
        </w:rPr>
        <w:t>（20</w:t>
      </w:r>
      <w:r>
        <w:rPr>
          <w:rFonts w:hint="eastAsia" w:ascii="仿宋" w:hAnsi="仿宋" w:eastAsia="仿宋"/>
          <w:color w:val="auto"/>
          <w:sz w:val="32"/>
          <w:u w:color="auto"/>
          <w:lang w:val="en-US" w:eastAsia="zh-CN"/>
        </w:rPr>
        <w:t>1</w:t>
      </w:r>
      <w:r>
        <w:rPr>
          <w:rFonts w:hint="eastAsia" w:ascii="仿宋" w:hAnsi="仿宋" w:eastAsia="仿宋"/>
          <w:color w:val="auto"/>
          <w:sz w:val="32"/>
          <w:szCs w:val="32"/>
          <w:highlight w:val="none"/>
        </w:rPr>
        <w:t>类）年初预算为</w:t>
      </w:r>
      <w:r>
        <w:rPr>
          <w:rFonts w:hint="eastAsia" w:ascii="仿宋" w:hAnsi="仿宋" w:eastAsia="仿宋"/>
          <w:color w:val="auto"/>
          <w:sz w:val="32"/>
          <w:szCs w:val="32"/>
          <w:highlight w:val="none"/>
          <w:lang w:val="en-US" w:eastAsia="zh-CN"/>
        </w:rPr>
        <w:t>1.5</w:t>
      </w:r>
      <w:r>
        <w:rPr>
          <w:rFonts w:hint="eastAsia" w:ascii="仿宋" w:hAnsi="仿宋" w:eastAsia="仿宋"/>
          <w:color w:val="auto"/>
          <w:sz w:val="32"/>
          <w:szCs w:val="32"/>
          <w:highlight w:val="none"/>
        </w:rPr>
        <w:t>万元，支出决算为</w:t>
      </w:r>
      <w:r>
        <w:rPr>
          <w:rFonts w:hint="eastAsia" w:ascii="仿宋" w:hAnsi="仿宋" w:eastAsia="仿宋"/>
          <w:color w:val="auto"/>
          <w:sz w:val="32"/>
          <w:szCs w:val="32"/>
          <w:highlight w:val="none"/>
          <w:lang w:val="en-US" w:eastAsia="zh-CN"/>
        </w:rPr>
        <w:t>1.5</w:t>
      </w:r>
      <w:r>
        <w:rPr>
          <w:rFonts w:hint="eastAsia" w:ascii="仿宋" w:hAnsi="仿宋" w:eastAsia="仿宋"/>
          <w:color w:val="auto"/>
          <w:sz w:val="32"/>
          <w:szCs w:val="32"/>
          <w:highlight w:val="none"/>
        </w:rPr>
        <w:t>万元，完成年初预算的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原因是：本单位此项</w:t>
      </w:r>
      <w:r>
        <w:rPr>
          <w:rFonts w:hint="eastAsia" w:ascii="仿宋" w:hAnsi="仿宋" w:eastAsia="仿宋" w:cs="仿宋"/>
          <w:color w:val="auto"/>
          <w:kern w:val="2"/>
          <w:sz w:val="32"/>
          <w:szCs w:val="32"/>
          <w:highlight w:val="none"/>
          <w:lang w:val="en-US" w:eastAsia="zh-CN" w:bidi="ar"/>
        </w:rPr>
        <w:t>预决算无差异。</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1.50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用于2022年职工工会费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用于2022年职工工会费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1.50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用于2022年职工工会费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用于2022年职工工会费</w:t>
            </w:r>
          </w:p>
        </w:tc>
      </w:tr>
    </w:tbl>
    <w:p>
      <w:pPr>
        <w:jc w:val="left"/>
        <w:rPr>
          <w:rFonts w:hint="eastAsia" w:ascii="仿宋" w:hAnsi="仿宋" w:eastAsia="仿宋"/>
          <w:color w:val="auto"/>
          <w:sz w:val="32"/>
          <w:szCs w:val="32"/>
          <w:highlight w:val="none"/>
        </w:rPr>
      </w:pPr>
    </w:p>
    <w:p>
      <w:pPr>
        <w:jc w:val="center"/>
        <w:rPr>
          <w:rFonts w:ascii="仿宋" w:hAnsi="仿宋" w:eastAsia="仿宋"/>
          <w:color w:val="auto"/>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079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color w:val="auto"/>
          <w:sz w:val="32"/>
          <w:szCs w:val="32"/>
          <w:highlight w:val="none"/>
        </w:rPr>
        <w:t>社会保障和就业支出</w:t>
      </w:r>
      <w:r>
        <w:rPr>
          <w:rFonts w:ascii="仿宋" w:hAnsi="仿宋" w:eastAsia="仿宋"/>
          <w:color w:val="auto"/>
          <w:sz w:val="32"/>
          <w:u w:color="auto"/>
        </w:rPr>
        <w:t>（208</w:t>
      </w:r>
      <w:r>
        <w:rPr>
          <w:rFonts w:hint="eastAsia" w:ascii="仿宋" w:hAnsi="仿宋" w:eastAsia="仿宋"/>
          <w:color w:val="auto"/>
          <w:sz w:val="32"/>
          <w:szCs w:val="32"/>
          <w:highlight w:val="none"/>
        </w:rPr>
        <w:t>类）年初预算为</w:t>
      </w:r>
      <w:r>
        <w:rPr>
          <w:rFonts w:hint="eastAsia" w:ascii="仿宋" w:hAnsi="仿宋" w:eastAsia="仿宋"/>
          <w:color w:val="auto"/>
          <w:sz w:val="32"/>
          <w:szCs w:val="32"/>
          <w:highlight w:val="none"/>
          <w:lang w:val="en-US" w:eastAsia="zh-CN"/>
        </w:rPr>
        <w:t>12.01</w:t>
      </w:r>
      <w:r>
        <w:rPr>
          <w:rFonts w:hint="eastAsia" w:ascii="仿宋" w:hAnsi="仿宋" w:eastAsia="仿宋"/>
          <w:color w:val="auto"/>
          <w:sz w:val="32"/>
          <w:szCs w:val="32"/>
          <w:highlight w:val="none"/>
        </w:rPr>
        <w:t>万元，支出决算为</w:t>
      </w:r>
      <w:r>
        <w:rPr>
          <w:rFonts w:hint="eastAsia" w:ascii="仿宋" w:hAnsi="仿宋" w:eastAsia="仿宋"/>
          <w:color w:val="auto"/>
          <w:sz w:val="32"/>
          <w:szCs w:val="32"/>
          <w:highlight w:val="none"/>
          <w:lang w:val="en-US" w:eastAsia="zh-CN"/>
        </w:rPr>
        <w:t>11.66</w:t>
      </w:r>
      <w:r>
        <w:rPr>
          <w:rFonts w:hint="eastAsia" w:ascii="仿宋" w:hAnsi="仿宋" w:eastAsia="仿宋"/>
          <w:color w:val="auto"/>
          <w:sz w:val="32"/>
          <w:szCs w:val="32"/>
          <w:highlight w:val="none"/>
        </w:rPr>
        <w:t>万元，完成年初预算的</w:t>
      </w:r>
      <w:r>
        <w:rPr>
          <w:rFonts w:ascii="仿宋" w:hAnsi="仿宋" w:eastAsia="仿宋"/>
          <w:color w:val="auto"/>
          <w:sz w:val="32"/>
          <w:szCs w:val="32"/>
          <w:highlight w:val="none"/>
        </w:rPr>
        <w:t>97.0</w:t>
      </w:r>
      <w:r>
        <w:rPr>
          <w:rFonts w:hint="eastAsia" w:ascii="仿宋" w:hAnsi="仿宋" w:eastAsia="仿宋"/>
          <w:color w:val="auto"/>
          <w:sz w:val="32"/>
          <w:szCs w:val="32"/>
          <w:highlight w:val="none"/>
          <w:lang w:val="en-US" w:eastAsia="zh-CN"/>
        </w:rPr>
        <w:t>9</w:t>
      </w:r>
      <w:r>
        <w:rPr>
          <w:rFonts w:ascii="仿宋" w:hAnsi="仿宋" w:eastAsia="仿宋"/>
          <w:color w:val="auto"/>
          <w:sz w:val="32"/>
          <w:szCs w:val="32"/>
          <w:highlight w:val="none"/>
        </w:rPr>
        <w:t>%</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原因是：因人员变动，</w:t>
      </w:r>
      <w:r>
        <w:rPr>
          <w:rFonts w:hint="eastAsia" w:ascii="仿宋" w:hAnsi="仿宋" w:eastAsia="仿宋"/>
          <w:color w:val="auto"/>
          <w:sz w:val="32"/>
          <w:szCs w:val="32"/>
          <w:highlight w:val="none"/>
        </w:rPr>
        <w:t>社会保障和就业支出</w:t>
      </w:r>
      <w:r>
        <w:rPr>
          <w:rFonts w:hint="eastAsia" w:ascii="仿宋" w:hAnsi="仿宋" w:eastAsia="仿宋"/>
          <w:color w:val="auto"/>
          <w:sz w:val="32"/>
          <w:szCs w:val="32"/>
          <w:highlight w:val="none"/>
          <w:lang w:val="en-US" w:eastAsia="zh-CN"/>
        </w:rPr>
        <w:t>有所减少。</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12.01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11.66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97.08%</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为事业单位按规定提取的职工福利基金、事业基金和缴纳的所得税等。</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因人员变动，社会保障和就业支出有所减少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12.01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11.66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按实际用途填写</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color w:val="auto"/>
          <w:sz w:val="32"/>
          <w:szCs w:val="32"/>
          <w:highlight w:val="none"/>
        </w:rPr>
      </w:pPr>
    </w:p>
    <w:p>
      <w:pPr>
        <w:jc w:val="center"/>
        <w:rPr>
          <w:rFonts w:ascii="仿宋" w:hAnsi="仿宋" w:eastAsia="仿宋"/>
          <w:color w:val="auto"/>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079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农林水支出</w:t>
      </w:r>
      <w:r>
        <w:rPr>
          <w:rFonts w:ascii="仿宋" w:hAnsi="仿宋" w:eastAsia="仿宋"/>
          <w:sz w:val="32"/>
          <w:u w:color="auto"/>
        </w:rPr>
        <w:t>（213</w:t>
      </w:r>
      <w:r>
        <w:rPr>
          <w:rFonts w:hint="eastAsia" w:ascii="仿宋" w:hAnsi="仿宋" w:eastAsia="仿宋"/>
          <w:sz w:val="32"/>
          <w:szCs w:val="32"/>
          <w:highlight w:val="none"/>
        </w:rPr>
        <w:t>类）年初预算为</w:t>
      </w:r>
      <w:r>
        <w:rPr>
          <w:rFonts w:ascii="仿宋" w:hAnsi="仿宋" w:eastAsia="仿宋"/>
          <w:sz w:val="32"/>
          <w:szCs w:val="32"/>
          <w:highlight w:val="none"/>
        </w:rPr>
        <w:t>114.82</w:t>
      </w:r>
      <w:r>
        <w:rPr>
          <w:rFonts w:hint="eastAsia" w:ascii="仿宋" w:hAnsi="仿宋" w:eastAsia="仿宋"/>
          <w:sz w:val="32"/>
          <w:szCs w:val="32"/>
          <w:highlight w:val="none"/>
        </w:rPr>
        <w:t>万元，支出决算为</w:t>
      </w:r>
      <w:r>
        <w:rPr>
          <w:rFonts w:ascii="仿宋" w:hAnsi="仿宋" w:eastAsia="仿宋"/>
          <w:sz w:val="32"/>
          <w:szCs w:val="32"/>
          <w:highlight w:val="none"/>
        </w:rPr>
        <w:t>117.32</w:t>
      </w:r>
      <w:r>
        <w:rPr>
          <w:rFonts w:hint="eastAsia" w:ascii="仿宋" w:hAnsi="仿宋" w:eastAsia="仿宋"/>
          <w:sz w:val="32"/>
          <w:szCs w:val="32"/>
          <w:highlight w:val="none"/>
        </w:rPr>
        <w:t>万元，完成年初预算的</w:t>
      </w:r>
      <w:r>
        <w:rPr>
          <w:rFonts w:ascii="仿宋" w:hAnsi="仿宋" w:eastAsia="仿宋"/>
          <w:sz w:val="32"/>
          <w:szCs w:val="32"/>
          <w:highlight w:val="none"/>
        </w:rPr>
        <w:t>102.18%</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w:t>
      </w:r>
      <w:r>
        <w:rPr>
          <w:rFonts w:hint="eastAsia" w:ascii="仿宋" w:hAnsi="仿宋" w:eastAsia="仿宋"/>
          <w:color w:val="auto"/>
          <w:sz w:val="32"/>
          <w:szCs w:val="32"/>
          <w:highlight w:val="none"/>
          <w:lang w:val="en-US" w:eastAsia="zh-CN"/>
        </w:rPr>
        <w:t>因是：</w:t>
      </w:r>
      <w:r>
        <w:rPr>
          <w:rFonts w:hint="eastAsia" w:ascii="仿宋" w:hAnsi="仿宋" w:eastAsia="仿宋"/>
          <w:sz w:val="32"/>
          <w:szCs w:val="32"/>
          <w:highlight w:val="none"/>
        </w:rPr>
        <w:t>日常运转发生的基本支出和按规定预留的绩效工资浮动</w:t>
      </w:r>
      <w:r>
        <w:rPr>
          <w:rFonts w:hint="eastAsia" w:ascii="仿宋" w:hAnsi="仿宋" w:eastAsia="仿宋"/>
          <w:sz w:val="32"/>
          <w:szCs w:val="32"/>
          <w:highlight w:val="none"/>
          <w:lang w:val="en-US" w:eastAsia="zh-CN"/>
        </w:rPr>
        <w:t>。</w:t>
      </w:r>
    </w:p>
    <w:p>
      <w:pPr>
        <w:jc w:val="left"/>
        <w:rPr>
          <w:rFonts w:hint="eastAsia" w:ascii="仿宋" w:hAnsi="仿宋" w:eastAsia="仿宋"/>
          <w:color w:val="auto"/>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2130104</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事业运行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1.16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主要用于事业机构运行、森林资源培育的支出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仿宋"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日常运转发生的基本支出增加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2130204</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事业机构</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82.82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84.15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101.61%</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2130205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森林资源培育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32.00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32.00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bookmarkStart w:id="6" w:name="_GoBack"/>
            <w:r>
              <w:rPr>
                <w:rFonts w:hint="eastAsia" w:ascii="仿宋" w:hAnsi="仿宋" w:eastAsia="仿宋" w:cs="仿宋"/>
                <w:color w:val="auto"/>
                <w:sz w:val="18"/>
                <w:szCs w:val="18"/>
                <w:highlight w:val="none"/>
                <w:lang w:val="en-US" w:eastAsia="zh-CN"/>
              </w:rPr>
              <w:t>无差异</w:t>
            </w:r>
            <w:bookmarkEnd w:id="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114.82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117.32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color w:val="auto"/>
          <w:sz w:val="32"/>
          <w:szCs w:val="32"/>
          <w:highlight w:val="none"/>
        </w:rPr>
      </w:pPr>
    </w:p>
    <w:p>
      <w:pPr>
        <w:jc w:val="center"/>
        <w:rPr>
          <w:rFonts w:ascii="仿宋" w:hAnsi="仿宋" w:eastAsia="仿宋"/>
          <w:color w:val="auto"/>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color w:val="auto"/>
          <w:sz w:val="32"/>
          <w:szCs w:val="32"/>
          <w:highlight w:val="none"/>
        </w:rPr>
        <w:t>住房保障支出</w:t>
      </w:r>
      <w:r>
        <w:rPr>
          <w:rFonts w:ascii="仿宋" w:hAnsi="仿宋" w:eastAsia="仿宋"/>
          <w:color w:val="auto"/>
          <w:sz w:val="32"/>
          <w:u w:color="auto"/>
        </w:rPr>
        <w:t>（221</w:t>
      </w:r>
      <w:r>
        <w:rPr>
          <w:rFonts w:hint="eastAsia" w:ascii="仿宋" w:hAnsi="仿宋" w:eastAsia="仿宋"/>
          <w:color w:val="auto"/>
          <w:sz w:val="32"/>
          <w:szCs w:val="32"/>
          <w:highlight w:val="none"/>
        </w:rPr>
        <w:t>类）年初预算为</w:t>
      </w:r>
      <w:r>
        <w:rPr>
          <w:rFonts w:hint="eastAsia" w:ascii="仿宋" w:hAnsi="仿宋" w:eastAsia="仿宋"/>
          <w:color w:val="auto"/>
          <w:sz w:val="32"/>
          <w:szCs w:val="32"/>
          <w:highlight w:val="none"/>
          <w:lang w:val="en-US" w:eastAsia="zh-CN"/>
        </w:rPr>
        <w:t>9</w:t>
      </w:r>
      <w:r>
        <w:rPr>
          <w:rFonts w:hint="eastAsia" w:ascii="仿宋" w:hAnsi="仿宋" w:eastAsia="仿宋"/>
          <w:color w:val="auto"/>
          <w:sz w:val="32"/>
          <w:szCs w:val="32"/>
          <w:highlight w:val="none"/>
        </w:rPr>
        <w:t>万元，支出决算为</w:t>
      </w:r>
      <w:r>
        <w:rPr>
          <w:rFonts w:hint="eastAsia" w:ascii="仿宋" w:hAnsi="仿宋" w:eastAsia="仿宋"/>
          <w:color w:val="auto"/>
          <w:sz w:val="32"/>
          <w:szCs w:val="32"/>
          <w:highlight w:val="none"/>
          <w:lang w:val="en-US" w:eastAsia="zh-CN"/>
        </w:rPr>
        <w:t>8.75</w:t>
      </w:r>
      <w:r>
        <w:rPr>
          <w:rFonts w:hint="eastAsia" w:ascii="仿宋" w:hAnsi="仿宋" w:eastAsia="仿宋"/>
          <w:color w:val="auto"/>
          <w:sz w:val="32"/>
          <w:szCs w:val="32"/>
          <w:highlight w:val="none"/>
        </w:rPr>
        <w:t>万元，完成年初预算的</w:t>
      </w:r>
      <w:r>
        <w:rPr>
          <w:rFonts w:ascii="仿宋" w:hAnsi="仿宋" w:eastAsia="仿宋"/>
          <w:color w:val="auto"/>
          <w:sz w:val="32"/>
          <w:szCs w:val="32"/>
          <w:highlight w:val="none"/>
        </w:rPr>
        <w:t>97.</w:t>
      </w:r>
      <w:r>
        <w:rPr>
          <w:rFonts w:hint="eastAsia" w:ascii="仿宋" w:hAnsi="仿宋" w:eastAsia="仿宋"/>
          <w:color w:val="auto"/>
          <w:sz w:val="32"/>
          <w:szCs w:val="32"/>
          <w:highlight w:val="none"/>
          <w:lang w:val="en-US" w:eastAsia="zh-CN"/>
        </w:rPr>
        <w:t>22</w:t>
      </w:r>
      <w:r>
        <w:rPr>
          <w:rFonts w:ascii="仿宋" w:hAnsi="仿宋" w:eastAsia="仿宋"/>
          <w:color w:val="auto"/>
          <w:sz w:val="32"/>
          <w:szCs w:val="32"/>
          <w:highlight w:val="none"/>
        </w:rPr>
        <w:t>%</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w:t>
      </w:r>
      <w:r>
        <w:rPr>
          <w:rFonts w:hint="eastAsia" w:ascii="仿宋" w:hAnsi="仿宋" w:eastAsia="仿宋" w:cs="仿宋"/>
          <w:color w:val="auto"/>
          <w:kern w:val="2"/>
          <w:sz w:val="32"/>
          <w:szCs w:val="32"/>
          <w:highlight w:val="none"/>
          <w:lang w:val="en-US" w:eastAsia="zh-CN" w:bidi="ar"/>
        </w:rPr>
        <w:t>人员变动。</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8.75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97.22%</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事业单位人员住房公积金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人员变动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8.75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97.22%</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 xml:space="preserve"> </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 xml:space="preserve"> </w:t>
            </w:r>
          </w:p>
        </w:tc>
      </w:tr>
    </w:tbl>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079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灾害防治及应急管理支出</w:t>
      </w:r>
      <w:r>
        <w:rPr>
          <w:rFonts w:ascii="仿宋" w:hAnsi="仿宋" w:eastAsia="仿宋"/>
          <w:sz w:val="32"/>
          <w:u w:color="auto"/>
        </w:rPr>
        <w:t>（224</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24.00</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2022年生态保护和修复支撑体系专项中央基建投资项目所需。</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2249999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其他灾害防治及应急管理支出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24.00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2022年生态保护和修复支撑体系专项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中央基建投资项目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24.00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160645" cy="2658110"/>
            <wp:effectExtent l="4445" t="4445" r="16510" b="1968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19.44</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预发2022年度奖励性补贴。</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77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947"/>
        <w:gridCol w:w="1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94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90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19.44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94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预发2022年度奖励性补贴。</w:t>
            </w:r>
          </w:p>
        </w:tc>
        <w:tc>
          <w:tcPr>
            <w:tcW w:w="190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预发2022年度奖励性补贴。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19.44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94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90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01895" cy="3129915"/>
            <wp:effectExtent l="4445" t="4445" r="22860" b="8890"/>
            <wp:docPr id="1"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三、2022年度一般公共预算财政拨款基本支出决算情况说明</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640" w:firstLineChars="20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环江毛南族自治县爱山林业试验场2022年度一般公共预算财政拨款基本支出126.66万元，其中：人员经费支出123.16万元，公用经费支出3.50万元，支出具体情况如下：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ascii="仿宋" w:hAnsi="仿宋" w:eastAsia="仿宋" w:cs="仿宋"/>
          <w:sz w:val="32"/>
          <w:u w:color="auto"/>
        </w:rPr>
        <w:t>105.71万元，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123.22%</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发放的绩效考评奖在工资福利支出中核算。</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34.60万元，30102津贴补贴3.03万元，30103奖金26.02万元，30107绩效工资16.37万元，30108机关事业单位基本养老保险缴费11.66万元，30110职工基本医疗保险缴费4.63万元，30112其他社会保障缴费0.66万元，30113住房公积金8.75万元。</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ascii="仿宋" w:hAnsi="仿宋" w:eastAsia="仿宋" w:cs="仿宋"/>
          <w:sz w:val="32"/>
          <w:u w:color="auto"/>
        </w:rPr>
        <w:t>3.50万元，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与年初预算一致。</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30201办公费0.56万元，30205水费0.15万元，30206电费0.27万元，30207邮电费0.35万元，30211差旅费0.48万元，30228工会经费1.50万元，30299其他商品和服务支出0.18万元。</w:t>
      </w:r>
    </w:p>
    <w:p>
      <w:pPr>
        <w:jc w:val="center"/>
        <w:rPr>
          <w:rFonts w:hint="eastAsia" w:ascii="仿宋" w:hAnsi="仿宋" w:eastAsia="仿宋" w:cs="仿宋"/>
          <w:color w:val="auto"/>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079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ascii="仿宋" w:hAnsi="仿宋" w:eastAsia="仿宋" w:cs="仿宋"/>
          <w:sz w:val="32"/>
          <w:u w:color="auto"/>
        </w:rPr>
        <w:t>17.45万元，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108.79%</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退休人员生活补助及伙食补助费调整。</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30305生活补助16.05万元，30399其他对个人和家庭的补助1.40万元。</w:t>
      </w:r>
    </w:p>
    <w:p>
      <w:pPr>
        <w:jc w:val="center"/>
        <w:rPr>
          <w:rFonts w:hint="eastAsia" w:ascii="仿宋" w:hAnsi="仿宋" w:eastAsia="仿宋" w:cs="仿宋"/>
          <w:color w:val="auto"/>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0795"/>
            <wp:docPr id="5"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债务利息及费用支出</w:t>
      </w:r>
      <w:r>
        <w:rPr>
          <w:rFonts w:ascii="仿宋" w:hAnsi="仿宋" w:eastAsia="仿宋" w:cs="仿宋"/>
          <w:color w:val="auto"/>
          <w:sz w:val="32"/>
          <w:u w:color="auto"/>
        </w:rPr>
        <w:t>0.00万元，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0%</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kern w:val="2"/>
          <w:sz w:val="32"/>
          <w:szCs w:val="32"/>
          <w:highlight w:val="none"/>
          <w:lang w:val="en-US" w:eastAsia="zh-CN" w:bidi="ar"/>
        </w:rPr>
        <w:t>主要原因是：本单位无债务利息及费用支出。</w:t>
      </w:r>
    </w:p>
    <w:p>
      <w:pPr>
        <w:jc w:val="left"/>
        <w:rPr>
          <w:rFonts w:hint="default" w:ascii="仿宋" w:hAnsi="仿宋" w:eastAsia="仿宋" w:cs="仿宋"/>
          <w:color w:val="auto"/>
          <w:sz w:val="32"/>
          <w:szCs w:val="32"/>
          <w:highlight w:val="none"/>
          <w:lang w:val="en-US" w:eastAsia="zh-CN"/>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资本性支出</w:t>
      </w:r>
      <w:r>
        <w:rPr>
          <w:rFonts w:ascii="仿宋" w:hAnsi="仿宋" w:eastAsia="仿宋" w:cs="仿宋"/>
          <w:color w:val="auto"/>
          <w:sz w:val="32"/>
          <w:u w:color="auto"/>
        </w:rPr>
        <w:t>0.00万元，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0%</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kern w:val="2"/>
          <w:sz w:val="32"/>
          <w:szCs w:val="32"/>
          <w:highlight w:val="none"/>
          <w:lang w:val="en-US" w:eastAsia="zh-CN" w:bidi="ar"/>
        </w:rPr>
        <w:t>主要原因是：本单位无资本性支出。</w:t>
      </w:r>
    </w:p>
    <w:p>
      <w:pPr>
        <w:jc w:val="left"/>
        <w:rPr>
          <w:rFonts w:hint="default" w:ascii="仿宋" w:hAnsi="仿宋" w:eastAsia="仿宋" w:cs="仿宋"/>
          <w:color w:val="auto"/>
          <w:sz w:val="32"/>
          <w:szCs w:val="32"/>
          <w:highlight w:val="none"/>
          <w:lang w:val="en-US" w:eastAsia="zh-CN"/>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683760" cy="1739900"/>
            <wp:effectExtent l="4445" t="4445" r="5715" b="825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其他支出</w:t>
      </w:r>
      <w:r>
        <w:rPr>
          <w:rFonts w:hint="eastAsia" w:ascii="仿宋" w:hAnsi="仿宋" w:eastAsia="仿宋" w:cs="仿宋"/>
          <w:color w:val="auto"/>
          <w:sz w:val="32"/>
          <w:u w:color="auto"/>
          <w:lang w:val="en-US" w:eastAsia="zh-CN"/>
        </w:rPr>
        <w:t>0</w:t>
      </w:r>
      <w:r>
        <w:rPr>
          <w:rFonts w:ascii="仿宋" w:hAnsi="仿宋" w:eastAsia="仿宋" w:cs="仿宋"/>
          <w:color w:val="auto"/>
          <w:sz w:val="32"/>
          <w:u w:color="auto"/>
        </w:rPr>
        <w:t>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0%</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kern w:val="2"/>
          <w:sz w:val="32"/>
          <w:szCs w:val="32"/>
          <w:highlight w:val="none"/>
          <w:lang w:val="en-US" w:eastAsia="zh-CN" w:bidi="ar"/>
        </w:rPr>
        <w:t>主要原因是：主要用于本部门年度绩效考评奖励的发放。</w:t>
      </w:r>
    </w:p>
    <w:p>
      <w:pPr>
        <w:jc w:val="left"/>
        <w:rPr>
          <w:rFonts w:hint="default" w:ascii="仿宋" w:hAnsi="仿宋" w:eastAsia="仿宋" w:cs="仿宋"/>
          <w:color w:val="auto"/>
          <w:sz w:val="32"/>
          <w:szCs w:val="32"/>
          <w:highlight w:val="none"/>
          <w:lang w:val="en-US" w:eastAsia="zh-CN"/>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p>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3856355" cy="2816225"/>
            <wp:effectExtent l="4445" t="4445" r="6350" b="17780"/>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四、2022年度政府性基金支出决算情况</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本单位</w:t>
      </w:r>
      <w:r>
        <w:rPr>
          <w:rFonts w:hint="eastAsia" w:ascii="仿宋" w:hAnsi="仿宋" w:eastAsia="仿宋" w:cs="仿宋"/>
          <w:color w:val="auto"/>
          <w:sz w:val="32"/>
          <w:szCs w:val="32"/>
          <w:highlight w:val="none"/>
        </w:rPr>
        <w:t>2022年度政府性基金支出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万元，较2021年度决算数</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万元，</w:t>
      </w:r>
      <w:r>
        <w:rPr>
          <w:rFonts w:ascii="仿宋" w:hAnsi="仿宋" w:eastAsia="仿宋" w:cs="仿宋"/>
          <w:color w:val="auto"/>
          <w:sz w:val="32"/>
          <w:szCs w:val="32"/>
          <w:highlight w:val="none"/>
        </w:rPr>
        <w:t>增长0%</w:t>
      </w:r>
      <w:r>
        <w:rPr>
          <w:rFonts w:hint="eastAsia" w:ascii="仿宋" w:hAnsi="仿宋" w:eastAsia="仿宋" w:cs="仿宋"/>
          <w:color w:val="auto"/>
          <w:sz w:val="32"/>
          <w:szCs w:val="32"/>
          <w:highlight w:val="none"/>
        </w:rPr>
        <w:t>其中：基本支出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万元，项目支出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本单位</w:t>
      </w:r>
      <w:r>
        <w:rPr>
          <w:rFonts w:hint="eastAsia" w:ascii="仿宋" w:hAnsi="仿宋" w:eastAsia="仿宋" w:cs="仿宋"/>
          <w:color w:val="auto"/>
          <w:sz w:val="32"/>
          <w:szCs w:val="32"/>
          <w:highlight w:val="none"/>
        </w:rPr>
        <w:t>2022年度政府性基金支出年初预算为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万元，支出决算为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w:t>
      </w:r>
    </w:p>
    <w:p>
      <w:pPr>
        <w:ind w:firstLine="640" w:firstLineChars="200"/>
        <w:jc w:val="left"/>
        <w:rPr>
          <w:rFonts w:hint="eastAsia" w:ascii="仿宋" w:hAnsi="仿宋" w:eastAsia="仿宋" w:cs="仿宋"/>
          <w:color w:val="auto"/>
          <w:sz w:val="32"/>
          <w:szCs w:val="32"/>
          <w:highlight w:val="none"/>
        </w:rPr>
      </w:pPr>
      <w:r>
        <w:rPr>
          <w:rFonts w:hint="eastAsia" w:ascii="仿宋_GB2312" w:hAnsi="Times New Roman" w:eastAsia="仿宋_GB2312" w:cs="Times New Roman"/>
          <w:color w:val="auto"/>
          <w:sz w:val="32"/>
          <w:szCs w:val="32"/>
          <w:lang w:val="en-US" w:eastAsia="zh-CN"/>
        </w:rPr>
        <w:t>本</w:t>
      </w:r>
      <w:r>
        <w:rPr>
          <w:rFonts w:hint="eastAsia" w:ascii="仿宋_GB2312" w:hAnsi="Times New Roman" w:eastAsia="仿宋_GB2312" w:cs="Times New Roman"/>
          <w:color w:val="auto"/>
          <w:sz w:val="32"/>
          <w:szCs w:val="32"/>
          <w:lang w:eastAsia="zh-CN"/>
        </w:rPr>
        <w:t>单位</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五、2022年度国有资本经营预算支出决算情况</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本单位</w:t>
      </w:r>
      <w:r>
        <w:rPr>
          <w:rFonts w:hint="eastAsia" w:ascii="仿宋" w:hAnsi="仿宋" w:eastAsia="仿宋" w:cs="仿宋"/>
          <w:color w:val="auto"/>
          <w:sz w:val="32"/>
          <w:szCs w:val="32"/>
          <w:highlight w:val="none"/>
        </w:rPr>
        <w:t>2022年度国有资本经营预算支出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万元。其中：基本支出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万元，项目支出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本单位</w:t>
      </w:r>
      <w:r>
        <w:rPr>
          <w:rFonts w:hint="eastAsia" w:ascii="仿宋" w:hAnsi="仿宋" w:eastAsia="仿宋" w:cs="仿宋"/>
          <w:color w:val="auto"/>
          <w:sz w:val="32"/>
          <w:szCs w:val="32"/>
          <w:highlight w:val="none"/>
        </w:rPr>
        <w:t>2022 年度国有资本经营预算支出年初预算为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万元，支出决算为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w:t>
      </w:r>
    </w:p>
    <w:p>
      <w:pPr>
        <w:ind w:firstLine="640" w:firstLineChars="200"/>
        <w:jc w:val="left"/>
        <w:rPr>
          <w:rFonts w:hint="eastAsia" w:ascii="仿宋" w:hAnsi="仿宋" w:eastAsia="仿宋" w:cs="仿宋"/>
          <w:color w:val="auto"/>
          <w:sz w:val="32"/>
          <w:szCs w:val="32"/>
          <w:highlight w:val="none"/>
        </w:rPr>
      </w:pPr>
      <w:bookmarkStart w:id="4" w:name="PO_part3A5B1C1DiffReason1"/>
      <w:r>
        <w:rPr>
          <w:rFonts w:hint="eastAsia" w:ascii="仿宋_GB2312" w:hAnsi="Times New Roman" w:eastAsia="仿宋_GB2312" w:cs="Times New Roman"/>
          <w:color w:val="auto"/>
          <w:sz w:val="32"/>
          <w:szCs w:val="32"/>
          <w:lang w:val="en-US" w:eastAsia="zh-CN"/>
        </w:rPr>
        <w:t>本</w:t>
      </w:r>
      <w:r>
        <w:rPr>
          <w:rFonts w:hint="eastAsia" w:ascii="仿宋_GB2312" w:hAnsi="Times New Roman" w:eastAsia="仿宋_GB2312" w:cs="Times New Roman"/>
          <w:color w:val="auto"/>
          <w:sz w:val="32"/>
          <w:szCs w:val="32"/>
          <w:lang w:eastAsia="zh-CN"/>
        </w:rPr>
        <w:t>单位</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仿宋_GB2312" w:eastAsia="仿宋_GB2312" w:cs="仿宋_GB2312"/>
          <w:color w:val="auto"/>
          <w:sz w:val="32"/>
          <w:u w:color="auto"/>
          <w:lang w:val="en-US" w:eastAsia="zh-CN"/>
        </w:rPr>
        <w:t>安排的支出</w:t>
      </w:r>
      <w:r>
        <w:rPr>
          <w:rFonts w:hint="eastAsia" w:ascii="仿宋_GB2312" w:hAnsi="Times New Roman" w:eastAsia="仿宋_GB2312" w:cs="Times New Roman"/>
          <w:color w:val="auto"/>
          <w:sz w:val="32"/>
          <w:szCs w:val="32"/>
          <w:lang w:eastAsia="zh-CN"/>
        </w:rPr>
        <w:t>。</w:t>
      </w:r>
      <w:bookmarkEnd w:id="4"/>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六、一般公共预算财政拨款安排的“三公”经费支出决算情况说明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2022年度一般公共预算财政拨款安排的“三公”经费支出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万元，完成年初预算的</w:t>
      </w:r>
      <w:r>
        <w:rPr>
          <w:rFonts w:hint="eastAsia" w:ascii="仿宋" w:hAnsi="仿宋" w:eastAsia="仿宋" w:cs="仿宋"/>
          <w:color w:val="auto"/>
          <w:sz w:val="32"/>
          <w:szCs w:val="32"/>
          <w:highlight w:val="none"/>
          <w:lang w:val="en-US" w:eastAsia="zh-CN"/>
        </w:rPr>
        <w:t>0</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，比上年</w:t>
      </w:r>
      <w:r>
        <w:rPr>
          <w:rFonts w:ascii="仿宋" w:hAnsi="仿宋" w:eastAsia="仿宋" w:cs="仿宋"/>
          <w:color w:val="auto"/>
          <w:sz w:val="32"/>
          <w:szCs w:val="32"/>
          <w:highlight w:val="none"/>
        </w:rPr>
        <w:t>增加</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r>
        <w:rPr>
          <w:rFonts w:hint="eastAsia" w:ascii="仿宋" w:hAnsi="仿宋" w:eastAsia="仿宋" w:cs="仿宋"/>
          <w:color w:val="auto"/>
          <w:kern w:val="2"/>
          <w:sz w:val="32"/>
          <w:szCs w:val="32"/>
          <w:highlight w:val="none"/>
          <w:lang w:val="en-US" w:eastAsia="zh-CN" w:bidi="ar"/>
        </w:rPr>
        <w:t>主要原因是：本单位没有“三公”经费支出。</w:t>
      </w:r>
      <w:r>
        <w:rPr>
          <w:rFonts w:hint="eastAsia" w:ascii="仿宋" w:hAnsi="仿宋" w:eastAsia="仿宋" w:cs="仿宋"/>
          <w:color w:val="auto"/>
          <w:sz w:val="32"/>
          <w:szCs w:val="32"/>
          <w:highlight w:val="none"/>
        </w:rPr>
        <w:t>其中：因公出国（境）费支出决算</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万元，公务用车购置及运行费支出决算</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万元，公务接待费支出决算</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具体情况如下：</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（一）因公出国（境）费支出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，比上年</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 xml:space="preserve"> 万元。</w:t>
      </w:r>
      <w:r>
        <w:rPr>
          <w:rFonts w:hint="eastAsia" w:ascii="仿宋" w:hAnsi="仿宋" w:eastAsia="仿宋" w:cs="仿宋"/>
          <w:color w:val="auto"/>
          <w:sz w:val="32"/>
          <w:szCs w:val="32"/>
          <w:highlight w:val="none"/>
          <w:lang w:val="en-US" w:eastAsia="zh-CN"/>
        </w:rPr>
        <w:t>原因是：</w:t>
      </w:r>
      <w:r>
        <w:rPr>
          <w:rFonts w:hint="eastAsia" w:ascii="仿宋_GB2312" w:hAnsi="Times New Roman" w:eastAsia="仿宋_GB2312" w:cs="Times New Roman"/>
          <w:color w:val="auto"/>
          <w:sz w:val="32"/>
          <w:szCs w:val="32"/>
          <w:lang w:val="en-US" w:eastAsia="zh-CN"/>
        </w:rPr>
        <w:t>（请根实际情况自行补充原因）。</w:t>
      </w:r>
      <w:r>
        <w:rPr>
          <w:rFonts w:hint="eastAsia" w:ascii="仿宋_GB2312" w:hAnsi="Times New Roman" w:eastAsia="仿宋_GB2312" w:cs="Times New Roman"/>
          <w:color w:val="auto"/>
          <w:sz w:val="32"/>
          <w:szCs w:val="32"/>
        </w:rPr>
        <w:t>全年使用财政拨款安排</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场</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（局、办、镇）机关、</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个所属单位出国团组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个，参加其他单位组织的出国团组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w:t>
      </w:r>
      <w:r>
        <w:rPr>
          <w:rFonts w:hint="eastAsia" w:ascii="仿宋" w:hAnsi="仿宋" w:eastAsia="仿宋" w:cs="仿宋"/>
          <w:color w:val="auto"/>
          <w:sz w:val="32"/>
          <w:szCs w:val="32"/>
          <w:highlight w:val="none"/>
        </w:rPr>
        <w:t>，全年因公出国（境）团组共计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个，累计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人次。</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highlight w:val="none"/>
        </w:rPr>
        <w:t>（二）公务用车购置及运行维护费</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万元。其中：公务用车购置支出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u w:color="auto"/>
        </w:rPr>
        <w:t>0%</w:t>
      </w:r>
      <w:r>
        <w:rPr>
          <w:rFonts w:hint="eastAsia" w:ascii="仿宋" w:hAnsi="仿宋" w:eastAsia="仿宋" w:cs="仿宋"/>
          <w:color w:val="auto"/>
          <w:sz w:val="32"/>
          <w:szCs w:val="32"/>
          <w:highlight w:val="none"/>
        </w:rPr>
        <w:t>，比上年</w:t>
      </w:r>
      <w:r>
        <w:rPr>
          <w:rFonts w:ascii="仿宋" w:hAnsi="仿宋" w:eastAsia="仿宋" w:cs="仿宋"/>
          <w:color w:val="auto"/>
          <w:sz w:val="32"/>
          <w:u w:color="auto"/>
        </w:rPr>
        <w:t>增加0.00</w:t>
      </w:r>
      <w:r>
        <w:rPr>
          <w:rFonts w:hint="eastAsia" w:ascii="仿宋" w:hAnsi="仿宋" w:eastAsia="仿宋" w:cs="仿宋"/>
          <w:color w:val="auto"/>
          <w:sz w:val="32"/>
          <w:szCs w:val="32"/>
          <w:highlight w:val="none"/>
        </w:rPr>
        <w:t xml:space="preserve"> 万元。</w:t>
      </w:r>
      <w:r>
        <w:rPr>
          <w:rFonts w:hint="eastAsia" w:ascii="仿宋" w:hAnsi="仿宋" w:eastAsia="仿宋" w:cs="仿宋"/>
          <w:color w:val="auto"/>
          <w:sz w:val="32"/>
          <w:szCs w:val="32"/>
        </w:rPr>
        <w:t>主要原因是</w:t>
      </w:r>
      <w:bookmarkStart w:id="5" w:name="PO_part3A6B2IncReason1"/>
      <w:r>
        <w:rPr>
          <w:rFonts w:hint="eastAsia" w:ascii="仿宋" w:hAnsi="仿宋" w:eastAsia="仿宋" w:cs="仿宋"/>
          <w:color w:val="auto"/>
          <w:sz w:val="32"/>
          <w:szCs w:val="32"/>
        </w:rPr>
        <w:t>本部门无公务用车购置</w:t>
      </w:r>
      <w:bookmarkEnd w:id="5"/>
      <w:r>
        <w:rPr>
          <w:rFonts w:hint="eastAsia" w:ascii="仿宋" w:hAnsi="仿宋" w:eastAsia="仿宋" w:cs="仿宋"/>
          <w:color w:val="auto"/>
          <w:sz w:val="32"/>
          <w:szCs w:val="32"/>
        </w:rPr>
        <w:t>。</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公务用车运行维护支出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u w:color="auto"/>
        </w:rPr>
        <w:t>0%</w:t>
      </w:r>
      <w:r>
        <w:rPr>
          <w:rFonts w:hint="eastAsia" w:ascii="仿宋" w:hAnsi="仿宋" w:eastAsia="仿宋" w:cs="仿宋"/>
          <w:color w:val="auto"/>
          <w:sz w:val="32"/>
          <w:szCs w:val="32"/>
          <w:highlight w:val="none"/>
        </w:rPr>
        <w:t>，比上年</w:t>
      </w:r>
      <w:r>
        <w:rPr>
          <w:rFonts w:ascii="仿宋" w:hAnsi="仿宋" w:eastAsia="仿宋" w:cs="仿宋"/>
          <w:color w:val="auto"/>
          <w:sz w:val="32"/>
          <w:u w:color="auto"/>
        </w:rPr>
        <w:t>增加0.00</w:t>
      </w:r>
      <w:r>
        <w:rPr>
          <w:rFonts w:hint="eastAsia" w:ascii="仿宋" w:hAnsi="仿宋" w:eastAsia="仿宋" w:cs="仿宋"/>
          <w:color w:val="auto"/>
          <w:sz w:val="32"/>
          <w:szCs w:val="32"/>
          <w:highlight w:val="none"/>
        </w:rPr>
        <w:t>万元。主要原因是：本部门无公务用车。2022年，</w:t>
      </w:r>
      <w:r>
        <w:rPr>
          <w:rFonts w:hint="eastAsia" w:ascii="仿宋" w:hAnsi="仿宋" w:eastAsia="仿宋" w:cs="仿宋"/>
          <w:color w:val="auto"/>
          <w:sz w:val="32"/>
          <w:u w:color="auto"/>
          <w:lang w:eastAsia="zh-CN"/>
        </w:rPr>
        <w:t>本单位</w:t>
      </w:r>
      <w:r>
        <w:rPr>
          <w:rFonts w:hint="eastAsia" w:ascii="仿宋" w:hAnsi="仿宋" w:eastAsia="仿宋" w:cs="仿宋"/>
          <w:color w:val="auto"/>
          <w:sz w:val="32"/>
          <w:szCs w:val="32"/>
          <w:highlight w:val="none"/>
        </w:rPr>
        <w:t>及</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u w:val="single"/>
          <w:lang w:val="en-US" w:eastAsia="zh-CN"/>
        </w:rPr>
        <w:t>个</w:t>
      </w:r>
      <w:r>
        <w:rPr>
          <w:rFonts w:hint="eastAsia" w:ascii="仿宋" w:hAnsi="仿宋" w:eastAsia="仿宋" w:cs="仿宋"/>
          <w:color w:val="auto"/>
          <w:sz w:val="32"/>
          <w:szCs w:val="32"/>
          <w:highlight w:val="none"/>
        </w:rPr>
        <w:t>所属单位开支财政拨款的公务用车保有量为</w:t>
      </w:r>
      <w:r>
        <w:rPr>
          <w:rFonts w:ascii="仿宋" w:hAnsi="仿宋" w:eastAsia="仿宋" w:cs="仿宋"/>
          <w:color w:val="auto"/>
          <w:sz w:val="32"/>
          <w:u w:color="auto"/>
        </w:rPr>
        <w:t>0</w:t>
      </w:r>
      <w:r>
        <w:rPr>
          <w:rFonts w:hint="eastAsia" w:ascii="仿宋" w:hAnsi="仿宋" w:eastAsia="仿宋" w:cs="仿宋"/>
          <w:color w:val="auto"/>
          <w:sz w:val="32"/>
          <w:szCs w:val="32"/>
          <w:highlight w:val="none"/>
        </w:rPr>
        <w:t>辆，全年运行费支出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 xml:space="preserve">平均每辆 </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（三）公务接待费支出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万元，完成年初预算的</w:t>
      </w:r>
      <w:r>
        <w:rPr>
          <w:rFonts w:hint="eastAsia" w:ascii="仿宋" w:hAnsi="仿宋" w:eastAsia="仿宋" w:cs="仿宋"/>
          <w:color w:val="auto"/>
          <w:sz w:val="32"/>
          <w:szCs w:val="32"/>
          <w:highlight w:val="none"/>
          <w:lang w:val="en-US" w:eastAsia="zh-CN"/>
        </w:rPr>
        <w:t>0</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 比上年</w:t>
      </w:r>
      <w:r>
        <w:rPr>
          <w:rFonts w:ascii="仿宋" w:hAnsi="仿宋" w:eastAsia="仿宋" w:cs="仿宋"/>
          <w:color w:val="auto"/>
          <w:sz w:val="32"/>
          <w:szCs w:val="32"/>
          <w:highlight w:val="none"/>
        </w:rPr>
        <w:t>增加</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r>
        <w:rPr>
          <w:rFonts w:hint="eastAsia" w:ascii="仿宋" w:hAnsi="仿宋" w:eastAsia="仿宋" w:cs="仿宋"/>
          <w:color w:val="auto"/>
          <w:kern w:val="2"/>
          <w:sz w:val="32"/>
          <w:szCs w:val="32"/>
          <w:highlight w:val="none"/>
          <w:lang w:val="en-US" w:eastAsia="zh-CN" w:bidi="ar"/>
        </w:rPr>
        <w:t>主要原因是：本单位无公务接待费。</w:t>
      </w:r>
      <w:r>
        <w:rPr>
          <w:rFonts w:hint="eastAsia" w:ascii="仿宋" w:hAnsi="仿宋" w:eastAsia="仿宋" w:cs="仿宋"/>
          <w:color w:val="auto"/>
          <w:sz w:val="32"/>
          <w:szCs w:val="32"/>
          <w:highlight w:val="none"/>
        </w:rPr>
        <w:t>国内公务接待批次</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次，人次</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次，国（境）外公务接待批次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次，人次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七、其他重要事项情况说明</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 机关运行经费支出情况说明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减少3.5</w:t>
      </w:r>
      <w:r>
        <w:rPr>
          <w:rFonts w:hint="eastAsia" w:ascii="仿宋" w:hAnsi="仿宋" w:eastAsia="仿宋" w:cs="仿宋"/>
          <w:sz w:val="32"/>
          <w:szCs w:val="32"/>
          <w:highlight w:val="none"/>
        </w:rPr>
        <w:t>万元，</w:t>
      </w:r>
      <w:r>
        <w:rPr>
          <w:rFonts w:ascii="仿宋" w:hAnsi="仿宋" w:eastAsia="仿宋" w:cs="仿宋"/>
          <w:sz w:val="32"/>
          <w:szCs w:val="32"/>
          <w:highlight w:val="none"/>
        </w:rPr>
        <w:t>下降100%</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rPr>
        <w:t>原因是：本部门无机关运行经费支出。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（二）政府采购支出情况说明</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本部门2022年度政府采购支出总额</w:t>
      </w:r>
      <w:r>
        <w:rPr>
          <w:rFonts w:hint="eastAsia" w:ascii="仿宋" w:hAnsi="仿宋" w:eastAsia="仿宋" w:cs="仿宋"/>
          <w:color w:val="auto"/>
          <w:sz w:val="32"/>
          <w:szCs w:val="32"/>
          <w:highlight w:val="none"/>
          <w:lang w:val="en-US" w:eastAsia="zh-CN"/>
        </w:rPr>
        <w:t>2.33</w:t>
      </w:r>
      <w:r>
        <w:rPr>
          <w:rFonts w:hint="eastAsia" w:ascii="仿宋" w:hAnsi="仿宋" w:eastAsia="仿宋" w:cs="仿宋"/>
          <w:color w:val="auto"/>
          <w:sz w:val="32"/>
          <w:szCs w:val="32"/>
          <w:highlight w:val="none"/>
        </w:rPr>
        <w:t>万元，其中：政府采购货物支出</w:t>
      </w:r>
      <w:r>
        <w:rPr>
          <w:rFonts w:hint="eastAsia" w:ascii="仿宋" w:hAnsi="仿宋" w:eastAsia="仿宋" w:cs="仿宋"/>
          <w:color w:val="auto"/>
          <w:sz w:val="32"/>
          <w:szCs w:val="32"/>
          <w:highlight w:val="none"/>
          <w:lang w:val="en-US" w:eastAsia="zh-CN"/>
        </w:rPr>
        <w:t>2.33</w:t>
      </w:r>
      <w:r>
        <w:rPr>
          <w:rFonts w:hint="eastAsia" w:ascii="仿宋" w:hAnsi="仿宋" w:eastAsia="仿宋" w:cs="仿宋"/>
          <w:color w:val="auto"/>
          <w:sz w:val="32"/>
          <w:szCs w:val="32"/>
          <w:highlight w:val="none"/>
        </w:rPr>
        <w:t>万元、政府采购工程支出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万元、政府采购服务支出</w:t>
      </w:r>
      <w:r>
        <w:rPr>
          <w:rFonts w:hint="eastAsia" w:ascii="仿宋" w:hAnsi="仿宋" w:eastAsia="仿宋" w:cs="仿宋"/>
          <w:color w:val="auto"/>
          <w:sz w:val="32"/>
          <w:szCs w:val="32"/>
          <w:highlight w:val="none"/>
          <w:lang w:val="en-US" w:eastAsia="zh-CN"/>
        </w:rPr>
        <w:t>2.33</w:t>
      </w:r>
      <w:r>
        <w:rPr>
          <w:rFonts w:hint="eastAsia" w:ascii="仿宋" w:hAnsi="仿宋" w:eastAsia="仿宋" w:cs="仿宋"/>
          <w:color w:val="auto"/>
          <w:sz w:val="32"/>
          <w:szCs w:val="32"/>
          <w:highlight w:val="none"/>
        </w:rPr>
        <w:t>万元。授予中小企业合同金额</w:t>
      </w:r>
      <w:r>
        <w:rPr>
          <w:rFonts w:hint="eastAsia" w:ascii="仿宋" w:hAnsi="仿宋" w:eastAsia="仿宋" w:cs="仿宋"/>
          <w:color w:val="auto"/>
          <w:sz w:val="32"/>
          <w:szCs w:val="32"/>
          <w:highlight w:val="none"/>
          <w:lang w:val="en-US" w:eastAsia="zh-CN"/>
        </w:rPr>
        <w:t>2.33</w:t>
      </w:r>
      <w:r>
        <w:rPr>
          <w:rFonts w:hint="eastAsia" w:ascii="仿宋" w:hAnsi="仿宋" w:eastAsia="仿宋" w:cs="仿宋"/>
          <w:color w:val="auto"/>
          <w:sz w:val="32"/>
          <w:szCs w:val="32"/>
          <w:highlight w:val="none"/>
        </w:rPr>
        <w:t>万元，占政府采购支出总额的</w:t>
      </w:r>
      <w:r>
        <w:rPr>
          <w:rFonts w:hint="eastAsia" w:ascii="仿宋" w:hAnsi="仿宋" w:eastAsia="仿宋" w:cs="仿宋"/>
          <w:color w:val="auto"/>
          <w:sz w:val="32"/>
          <w:szCs w:val="32"/>
          <w:highlight w:val="none"/>
          <w:lang w:val="en-US" w:eastAsia="zh-CN"/>
        </w:rPr>
        <w:t>100</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，其中：授予小微企业合同金额</w:t>
      </w:r>
      <w:r>
        <w:rPr>
          <w:rFonts w:hint="eastAsia" w:ascii="仿宋" w:hAnsi="仿宋" w:eastAsia="仿宋" w:cs="仿宋"/>
          <w:color w:val="auto"/>
          <w:sz w:val="32"/>
          <w:szCs w:val="32"/>
          <w:highlight w:val="none"/>
          <w:lang w:val="en-US" w:eastAsia="zh-CN"/>
        </w:rPr>
        <w:t>100</w:t>
      </w:r>
      <w:r>
        <w:rPr>
          <w:rFonts w:hint="eastAsia" w:ascii="仿宋" w:hAnsi="仿宋" w:eastAsia="仿宋" w:cs="仿宋"/>
          <w:color w:val="auto"/>
          <w:sz w:val="32"/>
          <w:szCs w:val="32"/>
          <w:highlight w:val="none"/>
        </w:rPr>
        <w:t>万元，占授予中小企业合同金额的</w:t>
      </w:r>
      <w:r>
        <w:rPr>
          <w:rFonts w:hint="eastAsia" w:ascii="仿宋" w:hAnsi="仿宋" w:eastAsia="仿宋" w:cs="仿宋"/>
          <w:color w:val="auto"/>
          <w:sz w:val="32"/>
          <w:szCs w:val="32"/>
          <w:highlight w:val="none"/>
          <w:lang w:val="en-US" w:eastAsia="zh-CN"/>
        </w:rPr>
        <w:t>100</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（三）国有资产占用情况说明</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截至2022年12月31日，本部门共有车辆</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辆，其中：副部（省）级领导干部用车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辆、机要通信用车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辆、应急保障用车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辆、执法执勤用车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辆、特种专业技术用车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辆、其他用车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辆；单位价值50万元以上通用设备</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台（套）；单位价值</w:t>
      </w:r>
      <w:r>
        <w:rPr>
          <w:rFonts w:hint="eastAsia" w:ascii="仿宋" w:hAnsi="仿宋" w:eastAsia="仿宋" w:cs="仿宋"/>
          <w:color w:val="auto"/>
          <w:sz w:val="32"/>
          <w:szCs w:val="32"/>
          <w:highlight w:val="none"/>
          <w:lang w:val="en-US" w:eastAsia="zh-CN"/>
        </w:rPr>
        <w:t>100万</w:t>
      </w:r>
      <w:r>
        <w:rPr>
          <w:rFonts w:hint="eastAsia" w:ascii="仿宋" w:hAnsi="仿宋" w:eastAsia="仿宋" w:cs="仿宋"/>
          <w:color w:val="auto"/>
          <w:sz w:val="32"/>
          <w:szCs w:val="32"/>
          <w:highlight w:val="none"/>
        </w:rPr>
        <w:t>元以上专用设备</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台（套）。</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（四）预算绩效管理工作开展情况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1.绩效管理工作开展情况。根据财政预算管理要求，本部门组织对2022年度一般公共预算项目支出全面开展绩效自评。其中，一等项目</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个，二等项目</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个，共涉及资金</w:t>
      </w:r>
      <w:r>
        <w:rPr>
          <w:rFonts w:hint="eastAsia" w:ascii="仿宋" w:hAnsi="仿宋" w:eastAsia="仿宋" w:cs="仿宋"/>
          <w:color w:val="auto"/>
          <w:sz w:val="32"/>
          <w:szCs w:val="32"/>
          <w:lang w:val="en-US" w:eastAsia="zh-CN"/>
        </w:rPr>
        <w:t>182.66</w:t>
      </w:r>
      <w:r>
        <w:rPr>
          <w:rFonts w:hint="eastAsia" w:ascii="仿宋" w:hAnsi="仿宋" w:eastAsia="仿宋" w:cs="仿宋"/>
          <w:color w:val="auto"/>
          <w:sz w:val="32"/>
          <w:szCs w:val="32"/>
        </w:rPr>
        <w:t>万元，占一般公共预算项目支出总额的</w:t>
      </w:r>
      <w:r>
        <w:rPr>
          <w:rFonts w:hint="eastAsia" w:ascii="仿宋" w:hAnsi="仿宋" w:eastAsia="仿宋" w:cs="仿宋"/>
          <w:color w:val="auto"/>
          <w:sz w:val="32"/>
          <w:szCs w:val="32"/>
          <w:lang w:val="en-US" w:eastAsia="zh-CN"/>
        </w:rPr>
        <w:t>95.3</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部门整体绩效自评得分99.83，等级一等，预算执行率95.83%。</w:t>
      </w:r>
      <w:r>
        <w:rPr>
          <w:rFonts w:hint="eastAsia" w:ascii="仿宋" w:hAnsi="仿宋" w:eastAsia="仿宋" w:cs="仿宋"/>
          <w:color w:val="auto"/>
          <w:sz w:val="32"/>
          <w:szCs w:val="32"/>
        </w:rPr>
        <w:t>组织对2022年度本单位等0个政府性基金预算项目支出开展绩效自评，共涉及资金0万元，占政府性基金预算项目支出总额的0%。组织对2022年度本单位等0个国有资本经营预算项目支出开展绩效自评，共涉及资金0万元，占国有资本经营预算项目支出总额的0%</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组织对“爱山森林公园项目”等4个项目进行了部门评价，涉及一般公共预算支出</w:t>
      </w:r>
      <w:r>
        <w:rPr>
          <w:rFonts w:hint="eastAsia" w:ascii="仿宋" w:hAnsi="仿宋" w:eastAsia="仿宋" w:cs="仿宋"/>
          <w:color w:val="auto"/>
          <w:sz w:val="32"/>
          <w:szCs w:val="32"/>
          <w:lang w:val="en-US" w:eastAsia="zh-CN"/>
        </w:rPr>
        <w:t>182.66</w:t>
      </w:r>
      <w:r>
        <w:rPr>
          <w:rFonts w:hint="eastAsia" w:ascii="仿宋" w:hAnsi="仿宋" w:eastAsia="仿宋" w:cs="仿宋"/>
          <w:color w:val="auto"/>
          <w:sz w:val="32"/>
          <w:szCs w:val="32"/>
        </w:rPr>
        <w:t>万元，政府性基金预算支出0万元，国有资本经营预算支出0万元。从评价情况来看，总体效果良好，项目达到预期执行效果。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组织对1个部门（单位）开展整体支出绩效评价试点，涉及一般公共预算支出</w:t>
      </w:r>
      <w:r>
        <w:rPr>
          <w:rFonts w:hint="eastAsia" w:ascii="仿宋" w:hAnsi="仿宋" w:eastAsia="仿宋" w:cs="仿宋"/>
          <w:color w:val="auto"/>
          <w:sz w:val="32"/>
          <w:szCs w:val="32"/>
          <w:lang w:val="en-US" w:eastAsia="zh-CN"/>
        </w:rPr>
        <w:t>182.66</w:t>
      </w:r>
      <w:r>
        <w:rPr>
          <w:rFonts w:hint="eastAsia" w:ascii="仿宋" w:hAnsi="仿宋" w:eastAsia="仿宋" w:cs="仿宋"/>
          <w:color w:val="auto"/>
          <w:sz w:val="32"/>
          <w:szCs w:val="32"/>
        </w:rPr>
        <w:t>万元，政府性基金预算支出0万元。从评价情况来看，总体效果良好，项目达到预期执行效果。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部门决算中项目绩效自评结果自评得分100分。2022年项目绩效目标完成情况：2022年我单位已按要求完成年度森林抚育管理工作（除草、施肥、病虫害防治）900亩，抚育质量合格率达90%以上；按要求完成护林防火、森林资源管护和档案建设等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我部门根据年初设定的绩效目标，爱山森林公园项目自评得分为100分。发现的主要问题及原因：一是抚育质量合格率还能进一步提升；二是森林抚育管理工作（除草、施肥、病虫害防治）病虫害防治还需要进一步开展。下一步改进措施：一是进一步提高森林抚育合格率；二是加强病虫害防治，尤其是松材线虫病防治。</w:t>
      </w:r>
    </w:p>
    <w:p>
      <w:pPr>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一、财政拨款收入：指</w:t>
      </w:r>
      <w:r>
        <w:rPr>
          <w:rFonts w:hint="eastAsia" w:ascii="仿宋" w:hAnsi="仿宋" w:eastAsia="仿宋" w:cs="仿宋"/>
          <w:color w:val="auto"/>
          <w:sz w:val="32"/>
          <w:u w:color="auto"/>
          <w:lang w:val="en-US" w:eastAsia="zh-CN"/>
        </w:rPr>
        <w:t>环江县</w:t>
      </w:r>
      <w:r>
        <w:rPr>
          <w:rFonts w:ascii="仿宋" w:hAnsi="仿宋" w:eastAsia="仿宋" w:cs="仿宋"/>
          <w:color w:val="auto"/>
          <w:sz w:val="32"/>
          <w:u w:color="auto"/>
        </w:rPr>
        <w:t>财政部门当年拨付的资金。</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二、事业收入：指事业单位开展专业业务活动及辅助活动所取得的收入。</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四、其他收入：指除上述“财政拨款收入”“事业收入”“经营收入”等以外的收入。</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六、年初结转和结余：指以前年度尚未完成、结转到本年 按有关规定继续使用的资金</w:t>
      </w:r>
      <w:r>
        <w:rPr>
          <w:rFonts w:hint="eastAsia" w:ascii="仿宋" w:hAnsi="仿宋" w:eastAsia="仿宋" w:cs="仿宋"/>
          <w:color w:val="auto"/>
          <w:sz w:val="32"/>
          <w:szCs w:val="32"/>
          <w:highlight w:val="none"/>
          <w:lang w:eastAsia="zh-CN"/>
        </w:rPr>
        <w:t>。</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十二、“三公”经费：纳入</w:t>
      </w:r>
      <w:r>
        <w:rPr>
          <w:rFonts w:hint="eastAsia" w:ascii="仿宋" w:hAnsi="仿宋" w:eastAsia="仿宋" w:cs="仿宋"/>
          <w:color w:val="auto"/>
          <w:sz w:val="32"/>
          <w:u w:color="auto"/>
          <w:lang w:val="en-US" w:eastAsia="zh-CN"/>
        </w:rPr>
        <w:t>环江县</w:t>
      </w:r>
      <w:r>
        <w:rPr>
          <w:rFonts w:ascii="仿宋" w:hAnsi="仿宋" w:eastAsia="仿宋" w:cs="仿宋"/>
          <w:color w:val="auto"/>
          <w:sz w:val="32"/>
          <w:u w:color="auto"/>
        </w:rPr>
        <w:t>财政预决算管理的“三公”经费，是指</w:t>
      </w:r>
      <w:r>
        <w:rPr>
          <w:rFonts w:hint="eastAsia" w:ascii="仿宋" w:hAnsi="仿宋" w:eastAsia="仿宋" w:cs="仿宋"/>
          <w:color w:val="auto"/>
          <w:sz w:val="32"/>
          <w:u w:color="auto"/>
          <w:lang w:val="en-US" w:eastAsia="zh-CN"/>
        </w:rPr>
        <w:t>环江县</w:t>
      </w:r>
      <w:r>
        <w:rPr>
          <w:rFonts w:ascii="仿宋" w:hAnsi="仿宋" w:eastAsia="仿宋" w:cs="仿宋"/>
          <w:color w:val="auto"/>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OTZkYjkwN2Q1MTBhY2U1NDI3ZmEwNzcyMDM4OGM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57C0E"/>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16E65C2"/>
    <w:rsid w:val="020C171D"/>
    <w:rsid w:val="0216715F"/>
    <w:rsid w:val="02E0291A"/>
    <w:rsid w:val="03F54751"/>
    <w:rsid w:val="047E6AFF"/>
    <w:rsid w:val="04E54546"/>
    <w:rsid w:val="050D64D6"/>
    <w:rsid w:val="05992762"/>
    <w:rsid w:val="06A42993"/>
    <w:rsid w:val="07B0770E"/>
    <w:rsid w:val="0935495F"/>
    <w:rsid w:val="0942143F"/>
    <w:rsid w:val="0AED7908"/>
    <w:rsid w:val="0CAE02B5"/>
    <w:rsid w:val="0CD411DB"/>
    <w:rsid w:val="0CF66CD7"/>
    <w:rsid w:val="0D100297"/>
    <w:rsid w:val="0D202B45"/>
    <w:rsid w:val="0F273892"/>
    <w:rsid w:val="0F8D4C87"/>
    <w:rsid w:val="104E60CE"/>
    <w:rsid w:val="10505FAA"/>
    <w:rsid w:val="105F7E7E"/>
    <w:rsid w:val="106842E4"/>
    <w:rsid w:val="10FB2F88"/>
    <w:rsid w:val="11E56B5B"/>
    <w:rsid w:val="12584DC2"/>
    <w:rsid w:val="125C77AB"/>
    <w:rsid w:val="12D13E0C"/>
    <w:rsid w:val="13641967"/>
    <w:rsid w:val="14CB726E"/>
    <w:rsid w:val="14EB4B3A"/>
    <w:rsid w:val="15087810"/>
    <w:rsid w:val="15B60291"/>
    <w:rsid w:val="17493B36"/>
    <w:rsid w:val="179C7BF7"/>
    <w:rsid w:val="17E92249"/>
    <w:rsid w:val="18D304F1"/>
    <w:rsid w:val="19F32577"/>
    <w:rsid w:val="19F45B80"/>
    <w:rsid w:val="1B0C078D"/>
    <w:rsid w:val="1B2A50D6"/>
    <w:rsid w:val="1B2B31E2"/>
    <w:rsid w:val="1B4C295A"/>
    <w:rsid w:val="1B973C63"/>
    <w:rsid w:val="1BA1001E"/>
    <w:rsid w:val="1C7F5C6D"/>
    <w:rsid w:val="1D317259"/>
    <w:rsid w:val="1DE97C59"/>
    <w:rsid w:val="1E664F5B"/>
    <w:rsid w:val="1EB34BE1"/>
    <w:rsid w:val="213012E6"/>
    <w:rsid w:val="215E639F"/>
    <w:rsid w:val="21EC3183"/>
    <w:rsid w:val="225E72CD"/>
    <w:rsid w:val="22854BAF"/>
    <w:rsid w:val="23F0560A"/>
    <w:rsid w:val="24242C90"/>
    <w:rsid w:val="246E2F77"/>
    <w:rsid w:val="254B4E2B"/>
    <w:rsid w:val="25555A01"/>
    <w:rsid w:val="272B2AEE"/>
    <w:rsid w:val="27906961"/>
    <w:rsid w:val="283D7C94"/>
    <w:rsid w:val="29480E03"/>
    <w:rsid w:val="2983634D"/>
    <w:rsid w:val="2B383837"/>
    <w:rsid w:val="2B6F1B7B"/>
    <w:rsid w:val="2BB02055"/>
    <w:rsid w:val="2C215167"/>
    <w:rsid w:val="2C575A56"/>
    <w:rsid w:val="2DC43516"/>
    <w:rsid w:val="2F257714"/>
    <w:rsid w:val="2F3275E5"/>
    <w:rsid w:val="30AA08EF"/>
    <w:rsid w:val="30D23D1C"/>
    <w:rsid w:val="30F45421"/>
    <w:rsid w:val="31221CF5"/>
    <w:rsid w:val="31400178"/>
    <w:rsid w:val="31742DBE"/>
    <w:rsid w:val="31CA58BC"/>
    <w:rsid w:val="321E3342"/>
    <w:rsid w:val="3266224D"/>
    <w:rsid w:val="327759C8"/>
    <w:rsid w:val="32A2306C"/>
    <w:rsid w:val="33185FE3"/>
    <w:rsid w:val="342F05A9"/>
    <w:rsid w:val="34EE2E36"/>
    <w:rsid w:val="35442881"/>
    <w:rsid w:val="35792068"/>
    <w:rsid w:val="36777241"/>
    <w:rsid w:val="373747BD"/>
    <w:rsid w:val="37386C69"/>
    <w:rsid w:val="37FB514D"/>
    <w:rsid w:val="38A951DB"/>
    <w:rsid w:val="38B31605"/>
    <w:rsid w:val="39003F4F"/>
    <w:rsid w:val="3A24049A"/>
    <w:rsid w:val="3B8837F2"/>
    <w:rsid w:val="3C07002B"/>
    <w:rsid w:val="3D0D152A"/>
    <w:rsid w:val="3D51281E"/>
    <w:rsid w:val="3DF62756"/>
    <w:rsid w:val="3F1B7587"/>
    <w:rsid w:val="3F422B55"/>
    <w:rsid w:val="3F8F5CFD"/>
    <w:rsid w:val="412970AF"/>
    <w:rsid w:val="41714D36"/>
    <w:rsid w:val="41E57B4F"/>
    <w:rsid w:val="4202745B"/>
    <w:rsid w:val="432F26F6"/>
    <w:rsid w:val="43880F63"/>
    <w:rsid w:val="43BA5936"/>
    <w:rsid w:val="441C5A6F"/>
    <w:rsid w:val="44C35AE0"/>
    <w:rsid w:val="44C44FCC"/>
    <w:rsid w:val="44CC7369"/>
    <w:rsid w:val="457F5108"/>
    <w:rsid w:val="46951B6B"/>
    <w:rsid w:val="47CA6326"/>
    <w:rsid w:val="484A31A7"/>
    <w:rsid w:val="485E4EAB"/>
    <w:rsid w:val="49A34401"/>
    <w:rsid w:val="4A3E30AB"/>
    <w:rsid w:val="4AC14DAC"/>
    <w:rsid w:val="4CB06F8C"/>
    <w:rsid w:val="4D154C85"/>
    <w:rsid w:val="4E1816C7"/>
    <w:rsid w:val="4EC8553A"/>
    <w:rsid w:val="508F4E24"/>
    <w:rsid w:val="51461E90"/>
    <w:rsid w:val="51463753"/>
    <w:rsid w:val="51D8199F"/>
    <w:rsid w:val="52553A93"/>
    <w:rsid w:val="52CE4AD0"/>
    <w:rsid w:val="53521F8B"/>
    <w:rsid w:val="53E22F47"/>
    <w:rsid w:val="54522FF8"/>
    <w:rsid w:val="54966323"/>
    <w:rsid w:val="54A66EE6"/>
    <w:rsid w:val="55450629"/>
    <w:rsid w:val="554738F5"/>
    <w:rsid w:val="56644BD2"/>
    <w:rsid w:val="56692963"/>
    <w:rsid w:val="568B0F48"/>
    <w:rsid w:val="5786217B"/>
    <w:rsid w:val="59337A15"/>
    <w:rsid w:val="59810274"/>
    <w:rsid w:val="5CA96A00"/>
    <w:rsid w:val="5CF730BC"/>
    <w:rsid w:val="5D39083D"/>
    <w:rsid w:val="5E5F0DCE"/>
    <w:rsid w:val="5EBC76FA"/>
    <w:rsid w:val="5FA40A7B"/>
    <w:rsid w:val="5FD56D29"/>
    <w:rsid w:val="5FEC7F3F"/>
    <w:rsid w:val="60F74BC3"/>
    <w:rsid w:val="617D3BF8"/>
    <w:rsid w:val="61841F6A"/>
    <w:rsid w:val="623007A9"/>
    <w:rsid w:val="635209D4"/>
    <w:rsid w:val="637D7558"/>
    <w:rsid w:val="644F19AC"/>
    <w:rsid w:val="65AA4920"/>
    <w:rsid w:val="665B5F70"/>
    <w:rsid w:val="66FF4442"/>
    <w:rsid w:val="673D196D"/>
    <w:rsid w:val="67694F1E"/>
    <w:rsid w:val="68EA6A40"/>
    <w:rsid w:val="69597934"/>
    <w:rsid w:val="69937B0F"/>
    <w:rsid w:val="6A5E3F97"/>
    <w:rsid w:val="6A780043"/>
    <w:rsid w:val="6B964DDC"/>
    <w:rsid w:val="6BDF0C78"/>
    <w:rsid w:val="6C270D16"/>
    <w:rsid w:val="6C3F0015"/>
    <w:rsid w:val="6C783074"/>
    <w:rsid w:val="6D366C72"/>
    <w:rsid w:val="6D9E65C6"/>
    <w:rsid w:val="6DA81947"/>
    <w:rsid w:val="6EB66DE2"/>
    <w:rsid w:val="6ED3075F"/>
    <w:rsid w:val="6F2A2D4B"/>
    <w:rsid w:val="6F8A0C1E"/>
    <w:rsid w:val="703F45D4"/>
    <w:rsid w:val="715D6546"/>
    <w:rsid w:val="71BE069E"/>
    <w:rsid w:val="73953409"/>
    <w:rsid w:val="73E069A3"/>
    <w:rsid w:val="76201E99"/>
    <w:rsid w:val="78104AA8"/>
    <w:rsid w:val="78E257C5"/>
    <w:rsid w:val="794B35BE"/>
    <w:rsid w:val="794E79D3"/>
    <w:rsid w:val="7A5977C7"/>
    <w:rsid w:val="7B0A3A31"/>
    <w:rsid w:val="7B3360ED"/>
    <w:rsid w:val="7B5319F3"/>
    <w:rsid w:val="7BDF037E"/>
    <w:rsid w:val="7BF50948"/>
    <w:rsid w:val="7CE66A78"/>
    <w:rsid w:val="7D23564C"/>
    <w:rsid w:val="7D5E062D"/>
    <w:rsid w:val="7DF76CD8"/>
    <w:rsid w:val="7E607661"/>
    <w:rsid w:val="7F025695"/>
    <w:rsid w:val="7F695C26"/>
    <w:rsid w:val="7F9E265D"/>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basedOn w:val="8"/>
    <w:qFormat/>
    <w:uiPriority w:val="0"/>
    <w:rPr>
      <w:i/>
    </w:rPr>
  </w:style>
  <w:style w:type="character" w:customStyle="1" w:styleId="10">
    <w:name w:val="页眉 Char"/>
    <w:basedOn w:val="8"/>
    <w:link w:val="4"/>
    <w:qFormat/>
    <w:uiPriority w:val="0"/>
    <w:rPr>
      <w:rFonts w:asciiTheme="minorHAnsi" w:hAnsiTheme="minorHAnsi" w:eastAsiaTheme="minorEastAsia" w:cstheme="minorBidi"/>
      <w:kern w:val="2"/>
      <w:sz w:val="18"/>
      <w:szCs w:val="18"/>
    </w:rPr>
  </w:style>
  <w:style w:type="character" w:customStyle="1" w:styleId="11">
    <w:name w:val="页脚 Char"/>
    <w:basedOn w:val="8"/>
    <w:link w:val="3"/>
    <w:qFormat/>
    <w:uiPriority w:val="0"/>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hart" Target="charts/chart14.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4.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4.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其他收入</c:v>
                </c:pt>
              </c:strCache>
            </c:strRef>
          </c:cat>
          <c:val>
            <c:numRef>
              <c:f>Sheet1!$B$2:$B$3</c:f>
              <c:numCache>
                <c:formatCode>General</c:formatCode>
                <c:ptCount val="2"/>
                <c:pt idx="0">
                  <c:v>182.66</c:v>
                </c:pt>
                <c:pt idx="1">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Sheet1!$A$2:$A$28</c:f>
              <c:strCach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strCache>
            </c:strRef>
          </c:cat>
          <c:val>
            <c:numRef>
              <c:f>Sheet1!$B$2:$B$28</c:f>
              <c:numCache>
                <c:formatCode>General</c:formatCode>
                <c:ptCount val="27"/>
                <c:pt idx="0">
                  <c:v>0.56</c:v>
                </c:pt>
                <c:pt idx="1">
                  <c:v>0</c:v>
                </c:pt>
                <c:pt idx="2">
                  <c:v>0</c:v>
                </c:pt>
                <c:pt idx="3">
                  <c:v>0</c:v>
                </c:pt>
                <c:pt idx="4">
                  <c:v>0.15</c:v>
                </c:pt>
                <c:pt idx="5">
                  <c:v>0.27</c:v>
                </c:pt>
                <c:pt idx="6">
                  <c:v>0.35</c:v>
                </c:pt>
                <c:pt idx="7">
                  <c:v>0</c:v>
                </c:pt>
                <c:pt idx="8">
                  <c:v>0</c:v>
                </c:pt>
                <c:pt idx="9">
                  <c:v>0.48</c:v>
                </c:pt>
                <c:pt idx="10">
                  <c:v>0</c:v>
                </c:pt>
                <c:pt idx="11">
                  <c:v>0</c:v>
                </c:pt>
                <c:pt idx="12">
                  <c:v>0</c:v>
                </c:pt>
                <c:pt idx="13">
                  <c:v>0</c:v>
                </c:pt>
                <c:pt idx="14">
                  <c:v>0</c:v>
                </c:pt>
                <c:pt idx="15">
                  <c:v>0</c:v>
                </c:pt>
                <c:pt idx="16">
                  <c:v>0</c:v>
                </c:pt>
                <c:pt idx="17">
                  <c:v>0</c:v>
                </c:pt>
                <c:pt idx="18">
                  <c:v>0</c:v>
                </c:pt>
                <c:pt idx="19">
                  <c:v>0</c:v>
                </c:pt>
                <c:pt idx="20">
                  <c:v>0</c:v>
                </c:pt>
                <c:pt idx="21">
                  <c:v>1.5</c:v>
                </c:pt>
                <c:pt idx="22">
                  <c:v>0</c:v>
                </c:pt>
                <c:pt idx="23">
                  <c:v>0</c:v>
                </c:pt>
                <c:pt idx="24">
                  <c:v>0</c:v>
                </c:pt>
                <c:pt idx="25">
                  <c:v>0</c:v>
                </c:pt>
                <c:pt idx="26">
                  <c:v>0.18</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Sheet1!$A$2:$A$13</c:f>
              <c:strCach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strCache>
            </c:strRef>
          </c:cat>
          <c:val>
            <c:numRef>
              <c:f>Sheet1!$B$2:$B$13</c:f>
              <c:numCache>
                <c:formatCode>General</c:formatCode>
                <c:ptCount val="12"/>
                <c:pt idx="0">
                  <c:v>0</c:v>
                </c:pt>
                <c:pt idx="1">
                  <c:v>0</c:v>
                </c:pt>
                <c:pt idx="2">
                  <c:v>0</c:v>
                </c:pt>
                <c:pt idx="3">
                  <c:v>0</c:v>
                </c:pt>
                <c:pt idx="4">
                  <c:v>16.05</c:v>
                </c:pt>
                <c:pt idx="5">
                  <c:v>0</c:v>
                </c:pt>
                <c:pt idx="6">
                  <c:v>0</c:v>
                </c:pt>
                <c:pt idx="7">
                  <c:v>0</c:v>
                </c:pt>
                <c:pt idx="8">
                  <c:v>0</c:v>
                </c:pt>
                <c:pt idx="9">
                  <c:v>0</c:v>
                </c:pt>
                <c:pt idx="10">
                  <c:v>0</c:v>
                </c:pt>
                <c:pt idx="11">
                  <c:v>1.4</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39907</c:v>
                </c:pt>
                <c:pt idx="1">
                  <c:v>39908</c:v>
                </c:pt>
                <c:pt idx="2">
                  <c:v>39909</c:v>
                </c:pt>
                <c:pt idx="3">
                  <c:v>39910</c:v>
                </c:pt>
                <c:pt idx="4">
                  <c:v>39999</c:v>
                </c:pt>
              </c:numCache>
            </c:num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教育支出</c:v>
                </c:pt>
                <c:pt idx="1">
                  <c:v>社会保障和就业支出</c:v>
                </c:pt>
                <c:pt idx="2">
                  <c:v>卫生健康支出</c:v>
                </c:pt>
                <c:pt idx="3">
                  <c:v>农林水支出</c:v>
                </c:pt>
                <c:pt idx="4">
                  <c:v>住房保障支出</c:v>
                </c:pt>
              </c:strCache>
            </c:strRef>
          </c:cat>
          <c:val>
            <c:numRef>
              <c:f>Sheet1!$B$2:$B$6</c:f>
              <c:numCache>
                <c:formatCode>General</c:formatCode>
                <c:ptCount val="5"/>
                <c:pt idx="0">
                  <c:v>0</c:v>
                </c:pt>
                <c:pt idx="1">
                  <c:v>12.41</c:v>
                </c:pt>
                <c:pt idx="2">
                  <c:v>0</c:v>
                </c:pt>
                <c:pt idx="3">
                  <c:v>121.58</c:v>
                </c:pt>
                <c:pt idx="4">
                  <c:v>9.37</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教育支出</c:v>
                </c:pt>
                <c:pt idx="1">
                  <c:v>社会保障和就业支出</c:v>
                </c:pt>
                <c:pt idx="2">
                  <c:v>卫生健康支出</c:v>
                </c:pt>
                <c:pt idx="3">
                  <c:v>农林水支出</c:v>
                </c:pt>
                <c:pt idx="4">
                  <c:v>住房保障支出</c:v>
                </c:pt>
              </c:strCache>
            </c:strRef>
          </c:cat>
          <c:val>
            <c:numRef>
              <c:f>Sheet1!$C$2:$C$6</c:f>
              <c:numCache>
                <c:formatCode>General</c:formatCode>
                <c:ptCount val="5"/>
                <c:pt idx="0">
                  <c:v>0</c:v>
                </c:pt>
                <c:pt idx="1">
                  <c:v>11.66</c:v>
                </c:pt>
                <c:pt idx="2">
                  <c:v>0</c:v>
                </c:pt>
                <c:pt idx="3">
                  <c:v>117.32</c:v>
                </c:pt>
                <c:pt idx="4">
                  <c:v>8.75</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1.5</c:v>
                </c:pt>
                <c:pt idx="1">
                  <c:v>1.5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11.66</c:v>
                </c:pt>
                <c:pt idx="1">
                  <c:v>11.66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农林水支出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Sheet1!$A$2:$A$5</c:f>
              <c:strCache>
                <c:ptCount val="4"/>
                <c:pt idx="0">
                  <c:v>2130104</c:v>
                </c:pt>
                <c:pt idx="1">
                  <c:v>2130204</c:v>
                </c:pt>
                <c:pt idx="2">
                  <c:v>2130205</c:v>
                </c:pt>
                <c:pt idx="3">
                  <c:v>213x</c:v>
                </c:pt>
              </c:strCache>
            </c:strRef>
          </c:cat>
          <c:val>
            <c:numRef>
              <c:f>Sheet1!$B$2:$B$5</c:f>
              <c:numCache>
                <c:formatCode>General</c:formatCode>
                <c:ptCount val="4"/>
                <c:pt idx="0">
                  <c:v>1.16</c:v>
                </c:pt>
                <c:pt idx="1">
                  <c:v>84.15</c:v>
                </c:pt>
                <c:pt idx="2">
                  <c:v>32</c:v>
                </c:pt>
                <c:pt idx="3">
                  <c:v>117.32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8.75</c:v>
                </c:pt>
                <c:pt idx="1">
                  <c:v>8.75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灾害防治及应急管理支出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2249999</c:v>
                </c:pt>
                <c:pt idx="1">
                  <c:v>224x</c:v>
                </c:pt>
              </c:strCache>
            </c:strRef>
          </c:cat>
          <c:val>
            <c:numRef>
              <c:f>Sheet1!$B$2:$B$3</c:f>
              <c:numCache>
                <c:formatCode>General</c:formatCode>
                <c:ptCount val="2"/>
                <c:pt idx="0">
                  <c:v>24</c:v>
                </c:pt>
                <c:pt idx="1">
                  <c:v>24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19.44</c:v>
                </c:pt>
                <c:pt idx="1">
                  <c:v>19.44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Sheet1!$A$2:$A$14</c:f>
              <c:strCach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strCache>
            </c:strRef>
          </c:cat>
          <c:val>
            <c:numRef>
              <c:f>Sheet1!$B$2:$B$14</c:f>
              <c:numCache>
                <c:formatCode>General</c:formatCode>
                <c:ptCount val="13"/>
                <c:pt idx="0">
                  <c:v>356.71</c:v>
                </c:pt>
                <c:pt idx="1">
                  <c:v>162.24</c:v>
                </c:pt>
                <c:pt idx="2">
                  <c:v>100.19</c:v>
                </c:pt>
                <c:pt idx="3">
                  <c:v>24.3</c:v>
                </c:pt>
                <c:pt idx="4">
                  <c:v>238.59</c:v>
                </c:pt>
                <c:pt idx="5">
                  <c:v>131.11</c:v>
                </c:pt>
                <c:pt idx="6">
                  <c:v>0</c:v>
                </c:pt>
                <c:pt idx="7">
                  <c:v>53.35</c:v>
                </c:pt>
                <c:pt idx="8">
                  <c:v>50.92</c:v>
                </c:pt>
                <c:pt idx="9">
                  <c:v>3.75</c:v>
                </c:pt>
                <c:pt idx="10">
                  <c:v>98.52</c:v>
                </c:pt>
                <c:pt idx="11">
                  <c:v>0</c:v>
                </c:pt>
                <c:pt idx="12">
                  <c:v>5.29</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0</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2023-11-24T02:09:14Z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DB2B7A118B0844A8849DBCA284668F88</vt:lpwstr>
  </property>
</Properties>
</file>