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环江毛南族自治县农村经济经营</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指导中心</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hint="eastAsia" w:ascii="黑体" w:hAnsi="黑体" w:eastAsia="黑体" w:cs="黑体"/>
          <w:b/>
          <w:bCs/>
          <w:sz w:val="36"/>
          <w:szCs w:val="36"/>
          <w:highlight w:val="none"/>
        </w:rPr>
      </w:pPr>
    </w:p>
    <w:p>
      <w:pPr>
        <w:ind w:firstLine="2891" w:firstLineChars="800"/>
        <w:jc w:val="both"/>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hint="eastAsia" w:ascii="仿宋" w:hAnsi="仿宋" w:eastAsia="仿宋" w:cs="仿宋"/>
          <w:sz w:val="32"/>
          <w:szCs w:val="32"/>
          <w:highlight w:val="none"/>
          <w:lang w:val="en-US" w:eastAsia="zh-CN"/>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部门</w:t>
      </w:r>
      <w:r>
        <w:rPr>
          <w:rFonts w:hint="eastAsia" w:ascii="黑体" w:hAnsi="黑体" w:eastAsia="黑体" w:cs="黑体"/>
          <w:sz w:val="32"/>
          <w:szCs w:val="32"/>
          <w:highlight w:val="none"/>
        </w:rPr>
        <w:t>概况</w:t>
      </w: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keepNext w:val="0"/>
        <w:keepLines w:val="0"/>
        <w:pageBreakBefore w:val="0"/>
        <w:widowControl w:val="0"/>
        <w:kinsoku/>
        <w:wordWrap/>
        <w:overflowPunct/>
        <w:topLinePunct w:val="0"/>
        <w:bidi w:val="0"/>
        <w:snapToGrid/>
        <w:spacing w:line="52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第二部分：2022年度部门决算报表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第三部分：2022年度部门决算情况说明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keepNext w:val="0"/>
        <w:keepLines w:val="0"/>
        <w:pageBreakBefore w:val="0"/>
        <w:widowControl w:val="0"/>
        <w:kinsoku/>
        <w:wordWrap/>
        <w:overflowPunct/>
        <w:topLinePunct w:val="0"/>
        <w:bidi w:val="0"/>
        <w:snapToGrid/>
        <w:spacing w:line="52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方正小标宋简体" w:hAnsi="方正小标宋简体" w:eastAsia="方正小标宋简体" w:cs="方正小标宋简体"/>
          <w:i w:val="0"/>
          <w:iCs w:val="0"/>
          <w:caps w:val="0"/>
          <w:color w:val="333333"/>
          <w:spacing w:val="0"/>
          <w:sz w:val="40"/>
          <w:szCs w:val="40"/>
          <w:shd w:val="clear" w:fill="FFFFFF"/>
        </w:rPr>
        <w:t>自治县农村经济经营指导中心基本情况</w:t>
      </w:r>
    </w:p>
    <w:p>
      <w:pPr>
        <w:keepNext w:val="0"/>
        <w:keepLines w:val="0"/>
        <w:pageBreakBefore w:val="0"/>
        <w:kinsoku/>
        <w:wordWrap/>
        <w:overflowPunct/>
        <w:topLinePunct w:val="0"/>
        <w:autoSpaceDE/>
        <w:autoSpaceDN/>
        <w:bidi w:val="0"/>
        <w:adjustRightInd/>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1、完善和创新农村经济经营体制方式，深入开展农村经济监测工作，指导农村各类合作经济的发展和管理；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2、负责农村集体经济组织的“三资”及农村财务管理；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3、规范完善农村土地承包责任制，负责农村土地承包合同纠纷的调解与仲裁；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4、引导规范农村土地流转，制定农村土地流转管理办法；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5、负责减轻农民负担的监督管理；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6、协调农村内部各种经济关系；围绕特色产业，大力培育农民专业合作经济组织、引进培育农产品加工龙头企业建设，提高农业组织化程度和生产效益，促进农业区域化、规模化、产业化发展；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666666"/>
          <w:spacing w:val="0"/>
          <w:sz w:val="32"/>
          <w:szCs w:val="32"/>
        </w:rPr>
      </w:pPr>
      <w:r>
        <w:rPr>
          <w:rFonts w:hint="eastAsia" w:ascii="仿宋" w:hAnsi="仿宋" w:eastAsia="仿宋" w:cs="仿宋"/>
          <w:i w:val="0"/>
          <w:iCs w:val="0"/>
          <w:caps w:val="0"/>
          <w:color w:val="333333"/>
          <w:spacing w:val="0"/>
          <w:sz w:val="32"/>
          <w:szCs w:val="32"/>
          <w:shd w:val="clear" w:fill="FFFFFF"/>
        </w:rPr>
        <w:t>7、负责农村经济收益分配和农村合作经济发展情况的调查与统计等。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8、完成县委、县府及上级业务主管部门布置的其他各项工作任务。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sz w:val="32"/>
          <w:szCs w:val="32"/>
          <w:highlight w:val="none"/>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32"/>
          <w:szCs w:val="32"/>
          <w:lang w:val="en-US" w:eastAsia="zh-CN"/>
        </w:rPr>
        <w:t>自治县</w:t>
      </w:r>
      <w:r>
        <w:rPr>
          <w:rFonts w:hint="eastAsia" w:ascii="仿宋" w:hAnsi="仿宋" w:eastAsia="仿宋" w:cs="仿宋"/>
          <w:kern w:val="0"/>
          <w:sz w:val="32"/>
          <w:szCs w:val="32"/>
        </w:rPr>
        <w:t>农经</w:t>
      </w:r>
      <w:r>
        <w:rPr>
          <w:rFonts w:hint="eastAsia" w:ascii="仿宋" w:hAnsi="仿宋" w:eastAsia="仿宋" w:cs="仿宋"/>
          <w:kern w:val="0"/>
          <w:sz w:val="32"/>
          <w:szCs w:val="32"/>
          <w:lang w:val="en-US" w:eastAsia="zh-CN"/>
        </w:rPr>
        <w:t>中心</w:t>
      </w:r>
      <w:r>
        <w:rPr>
          <w:rFonts w:hint="eastAsia" w:ascii="仿宋" w:hAnsi="仿宋" w:eastAsia="仿宋" w:cs="仿宋"/>
          <w:sz w:val="32"/>
          <w:szCs w:val="32"/>
        </w:rPr>
        <w:t>属于财政全额拨款的参照公务员管理的事业单位，</w:t>
      </w:r>
      <w:r>
        <w:rPr>
          <w:rFonts w:hint="eastAsia" w:ascii="仿宋" w:hAnsi="仿宋" w:eastAsia="仿宋" w:cs="仿宋"/>
          <w:kern w:val="0"/>
          <w:sz w:val="32"/>
          <w:szCs w:val="32"/>
        </w:rPr>
        <w:t>根据工作的基本职能，设有办公室和农经综合股两个</w:t>
      </w:r>
      <w:r>
        <w:rPr>
          <w:rFonts w:hint="eastAsia" w:ascii="仿宋" w:hAnsi="仿宋" w:eastAsia="仿宋" w:cs="仿宋"/>
          <w:kern w:val="0"/>
          <w:sz w:val="32"/>
          <w:szCs w:val="32"/>
          <w:lang w:eastAsia="zh-CN"/>
        </w:rPr>
        <w:t>，</w:t>
      </w:r>
      <w:r>
        <w:rPr>
          <w:rFonts w:hint="eastAsia" w:ascii="仿宋" w:hAnsi="仿宋" w:eastAsia="仿宋" w:cs="仿宋"/>
          <w:i w:val="0"/>
          <w:iCs w:val="0"/>
          <w:caps w:val="0"/>
          <w:color w:val="333333"/>
          <w:spacing w:val="0"/>
          <w:sz w:val="32"/>
          <w:szCs w:val="32"/>
          <w:shd w:val="clear" w:fill="FFFFFF"/>
        </w:rPr>
        <w:t>人员编制总数为8人，其中行政编制0人，事业编制8人，机关后勤服务中心聘用人员控制数0人。实有财政供养人数</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人，其中行政在职0人，事业在职</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人，离退休人员</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人（其中离休0人）。编外在职实有人数（政府</w:t>
      </w:r>
      <w:r>
        <w:rPr>
          <w:rFonts w:hint="eastAsia" w:ascii="仿宋" w:hAnsi="仿宋" w:eastAsia="仿宋" w:cs="仿宋"/>
          <w:i w:val="0"/>
          <w:iCs w:val="0"/>
          <w:caps w:val="0"/>
          <w:color w:val="333333"/>
          <w:spacing w:val="0"/>
          <w:sz w:val="32"/>
          <w:szCs w:val="32"/>
          <w:shd w:val="clear" w:fill="FFFFFF"/>
          <w:lang w:val="en-US" w:eastAsia="zh-CN"/>
        </w:rPr>
        <w:t>购</w:t>
      </w:r>
      <w:r>
        <w:rPr>
          <w:rFonts w:hint="eastAsia" w:ascii="仿宋" w:hAnsi="仿宋" w:eastAsia="仿宋" w:cs="仿宋"/>
          <w:i w:val="0"/>
          <w:iCs w:val="0"/>
          <w:caps w:val="0"/>
          <w:color w:val="333333"/>
          <w:spacing w:val="0"/>
          <w:sz w:val="32"/>
          <w:szCs w:val="32"/>
          <w:shd w:val="clear" w:fill="FFFFFF"/>
        </w:rPr>
        <w:t>买人员）</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人。</w:t>
      </w:r>
    </w:p>
    <w:p>
      <w:pPr>
        <w:jc w:val="both"/>
        <w:rPr>
          <w:rFonts w:hint="eastAsia" w:ascii="黑体" w:hAnsi="黑体" w:eastAsia="黑体" w:cs="黑体"/>
          <w:sz w:val="32"/>
          <w:szCs w:val="32"/>
          <w:highlight w:val="none"/>
        </w:rPr>
      </w:pPr>
    </w:p>
    <w:p>
      <w:pPr>
        <w:ind w:firstLine="640" w:firstLineChars="200"/>
        <w:jc w:val="both"/>
        <w:rPr>
          <w:rFonts w:hint="eastAsia" w:ascii="宋体" w:hAnsi="宋体" w:eastAsia="宋体" w:cs="宋体"/>
          <w:sz w:val="44"/>
          <w:szCs w:val="44"/>
          <w:highlight w:val="none"/>
        </w:rPr>
      </w:pPr>
      <w:r>
        <w:rPr>
          <w:rFonts w:hint="eastAsia" w:ascii="黑体" w:hAnsi="黑体" w:eastAsia="黑体" w:cs="黑体"/>
          <w:sz w:val="32"/>
          <w:szCs w:val="32"/>
          <w:highlight w:val="none"/>
        </w:rPr>
        <w:t>第二部分：</w:t>
      </w:r>
      <w:r>
        <w:rPr>
          <w:rFonts w:hint="eastAsia" w:ascii="宋体" w:hAnsi="宋体" w:eastAsia="宋体" w:cs="宋体"/>
          <w:i w:val="0"/>
          <w:iCs w:val="0"/>
          <w:caps w:val="0"/>
          <w:color w:val="333333"/>
          <w:spacing w:val="0"/>
          <w:sz w:val="44"/>
          <w:szCs w:val="44"/>
          <w:shd w:val="clear" w:fill="FFFFFF"/>
        </w:rPr>
        <w:t>自治县农村经济经营指导中</w:t>
      </w:r>
      <w:r>
        <w:rPr>
          <w:rFonts w:hint="eastAsia" w:ascii="宋体" w:hAnsi="宋体" w:eastAsia="宋体" w:cs="宋体"/>
          <w:i w:val="0"/>
          <w:iCs w:val="0"/>
          <w:caps w:val="0"/>
          <w:color w:val="333333"/>
          <w:spacing w:val="0"/>
          <w:sz w:val="44"/>
          <w:szCs w:val="44"/>
          <w:shd w:val="clear" w:fill="FFFFFF"/>
          <w:lang w:val="en-US" w:eastAsia="zh-CN"/>
        </w:rPr>
        <w:t>心</w:t>
      </w:r>
      <w:r>
        <w:rPr>
          <w:rFonts w:hint="eastAsia" w:ascii="宋体" w:hAnsi="宋体" w:eastAsia="宋体" w:cs="宋体"/>
          <w:sz w:val="44"/>
          <w:szCs w:val="44"/>
          <w:highlight w:val="none"/>
        </w:rPr>
        <w:t>2022年度部门决算报表</w:t>
      </w:r>
    </w:p>
    <w:p>
      <w:pPr>
        <w:jc w:val="both"/>
        <w:rPr>
          <w:rFonts w:hint="eastAsia" w:ascii="黑体" w:hAnsi="黑体" w:eastAsia="黑体" w:cs="黑体"/>
          <w:sz w:val="32"/>
          <w:szCs w:val="32"/>
          <w:highlight w:val="none"/>
        </w:rPr>
      </w:pPr>
    </w:p>
    <w:p>
      <w:pPr>
        <w:jc w:val="both"/>
        <w:rPr>
          <w:rFonts w:hint="eastAsia" w:ascii="黑体" w:hAnsi="黑体" w:eastAsia="黑体" w:cs="黑体"/>
          <w:sz w:val="32"/>
          <w:szCs w:val="32"/>
          <w:highlight w:val="none"/>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tbl>
      <w:tblPr>
        <w:tblStyle w:val="6"/>
        <w:tblW w:w="13988" w:type="dxa"/>
        <w:tblInd w:w="0" w:type="dxa"/>
        <w:shd w:val="clear" w:color="auto" w:fill="auto"/>
        <w:tblLayout w:type="fixed"/>
        <w:tblCellMar>
          <w:top w:w="0" w:type="dxa"/>
          <w:left w:w="0" w:type="dxa"/>
          <w:bottom w:w="0" w:type="dxa"/>
          <w:right w:w="0" w:type="dxa"/>
        </w:tblCellMar>
      </w:tblPr>
      <w:tblGrid>
        <w:gridCol w:w="5352"/>
        <w:gridCol w:w="945"/>
        <w:gridCol w:w="1140"/>
        <w:gridCol w:w="3885"/>
        <w:gridCol w:w="944"/>
        <w:gridCol w:w="1722"/>
      </w:tblGrid>
      <w:tr>
        <w:tblPrEx>
          <w:shd w:val="clear" w:color="auto" w:fill="auto"/>
          <w:tblCellMar>
            <w:top w:w="0" w:type="dxa"/>
            <w:left w:w="0" w:type="dxa"/>
            <w:bottom w:w="0" w:type="dxa"/>
            <w:right w:w="0" w:type="dxa"/>
          </w:tblCellMar>
        </w:tblPrEx>
        <w:trPr>
          <w:trHeight w:val="390" w:hRule="atLeast"/>
        </w:trPr>
        <w:tc>
          <w:tcPr>
            <w:tcW w:w="13988"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shd w:val="clear" w:color="auto" w:fill="auto"/>
          <w:tblCellMar>
            <w:top w:w="0" w:type="dxa"/>
            <w:left w:w="0" w:type="dxa"/>
            <w:bottom w:w="0" w:type="dxa"/>
            <w:right w:w="0" w:type="dxa"/>
          </w:tblCellMar>
        </w:tblPrEx>
        <w:trPr>
          <w:trHeight w:val="255" w:hRule="atLeast"/>
        </w:trPr>
        <w:tc>
          <w:tcPr>
            <w:tcW w:w="535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8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4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2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trHeight w:val="255" w:hRule="atLeast"/>
        </w:trPr>
        <w:tc>
          <w:tcPr>
            <w:tcW w:w="535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9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88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4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2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7437"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551"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2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r>
      <w:tr>
        <w:tblPrEx>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r>
      <w:tr>
        <w:tblPrEx>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35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388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4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r>
      <w:tr>
        <w:tblPrEx>
          <w:shd w:val="clear" w:color="auto" w:fill="auto"/>
          <w:tblCellMar>
            <w:top w:w="0" w:type="dxa"/>
            <w:left w:w="0" w:type="dxa"/>
            <w:bottom w:w="0" w:type="dxa"/>
            <w:right w:w="0" w:type="dxa"/>
          </w:tblCellMar>
        </w:tblPrEx>
        <w:trPr>
          <w:trHeight w:val="308" w:hRule="atLeast"/>
        </w:trPr>
        <w:tc>
          <w:tcPr>
            <w:tcW w:w="13988"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shd w:val="clear" w:color="auto" w:fill="auto"/>
          <w:tblCellMar>
            <w:top w:w="0" w:type="dxa"/>
            <w:left w:w="0" w:type="dxa"/>
            <w:bottom w:w="0" w:type="dxa"/>
            <w:right w:w="0" w:type="dxa"/>
          </w:tblCellMar>
        </w:tblPrEx>
        <w:trPr>
          <w:trHeight w:val="308" w:hRule="atLeast"/>
        </w:trPr>
        <w:tc>
          <w:tcPr>
            <w:tcW w:w="13988"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jc w:val="both"/>
        <w:rPr>
          <w:rFonts w:hint="eastAsia" w:ascii="黑体" w:hAnsi="黑体" w:eastAsia="黑体" w:cs="黑体"/>
          <w:sz w:val="32"/>
          <w:szCs w:val="32"/>
          <w:highlight w:val="none"/>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tbl>
      <w:tblPr>
        <w:tblStyle w:val="6"/>
        <w:tblW w:w="13988" w:type="dxa"/>
        <w:tblInd w:w="0" w:type="dxa"/>
        <w:shd w:val="clear" w:color="auto" w:fill="auto"/>
        <w:tblLayout w:type="fixed"/>
        <w:tblCellMar>
          <w:top w:w="0" w:type="dxa"/>
          <w:left w:w="0" w:type="dxa"/>
          <w:bottom w:w="0" w:type="dxa"/>
          <w:right w:w="0" w:type="dxa"/>
        </w:tblCellMar>
      </w:tblPr>
      <w:tblGrid>
        <w:gridCol w:w="2547"/>
        <w:gridCol w:w="495"/>
        <w:gridCol w:w="225"/>
        <w:gridCol w:w="60"/>
        <w:gridCol w:w="2835"/>
        <w:gridCol w:w="1440"/>
        <w:gridCol w:w="1215"/>
        <w:gridCol w:w="975"/>
        <w:gridCol w:w="930"/>
        <w:gridCol w:w="930"/>
        <w:gridCol w:w="1022"/>
        <w:gridCol w:w="1314"/>
      </w:tblGrid>
      <w:tr>
        <w:trPr>
          <w:trHeight w:val="390"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shd w:val="clear" w:color="auto" w:fill="auto"/>
          <w:tblCellMar>
            <w:top w:w="0" w:type="dxa"/>
            <w:left w:w="0" w:type="dxa"/>
            <w:bottom w:w="0" w:type="dxa"/>
            <w:right w:w="0" w:type="dxa"/>
          </w:tblCellMar>
        </w:tblPrEx>
        <w:trPr>
          <w:trHeight w:val="255" w:hRule="atLeast"/>
        </w:trPr>
        <w:tc>
          <w:tcPr>
            <w:tcW w:w="254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4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8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83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2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1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255" w:hRule="atLeast"/>
        </w:trPr>
        <w:tc>
          <w:tcPr>
            <w:tcW w:w="6162"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14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1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336"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6162" w:type="dxa"/>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1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3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3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2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1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3267"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895"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6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895"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67"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895"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2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1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6162"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2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1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6162"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606.07</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606.07</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415.63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2130124</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农村合作经济</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267"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289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4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rPr>
          <w:rFonts w:ascii="宋体" w:hAnsi="宋体" w:eastAsia="宋体" w:cs="宋体"/>
          <w:color w:val="000000"/>
          <w:kern w:val="0"/>
          <w:sz w:val="30"/>
          <w:szCs w:val="30"/>
          <w:highlight w:val="none"/>
          <w:lang w:bidi="ar"/>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8" w:type="dxa"/>
        <w:tblInd w:w="0" w:type="dxa"/>
        <w:shd w:val="clear" w:color="auto" w:fill="auto"/>
        <w:tblLayout w:type="fixed"/>
        <w:tblCellMar>
          <w:top w:w="0" w:type="dxa"/>
          <w:left w:w="0" w:type="dxa"/>
          <w:bottom w:w="0" w:type="dxa"/>
          <w:right w:w="0" w:type="dxa"/>
        </w:tblCellMar>
      </w:tblPr>
      <w:tblGrid>
        <w:gridCol w:w="2487"/>
        <w:gridCol w:w="240"/>
        <w:gridCol w:w="345"/>
        <w:gridCol w:w="3960"/>
        <w:gridCol w:w="1275"/>
        <w:gridCol w:w="1305"/>
        <w:gridCol w:w="1095"/>
        <w:gridCol w:w="870"/>
        <w:gridCol w:w="825"/>
        <w:gridCol w:w="1586"/>
      </w:tblGrid>
      <w:tr>
        <w:tblPrEx>
          <w:shd w:val="clear" w:color="auto" w:fill="auto"/>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shd w:val="clear" w:color="auto" w:fill="auto"/>
          <w:tblCellMar>
            <w:top w:w="0" w:type="dxa"/>
            <w:left w:w="0" w:type="dxa"/>
            <w:bottom w:w="0" w:type="dxa"/>
            <w:right w:w="0" w:type="dxa"/>
          </w:tblCellMar>
        </w:tblPrEx>
        <w:trPr>
          <w:trHeight w:val="255" w:hRule="atLeast"/>
        </w:trPr>
        <w:tc>
          <w:tcPr>
            <w:tcW w:w="248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96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8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255" w:hRule="atLeast"/>
        </w:trPr>
        <w:tc>
          <w:tcPr>
            <w:tcW w:w="703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12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0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7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8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703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9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87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8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8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8" w:hRule="atLeast"/>
        </w:trPr>
        <w:tc>
          <w:tcPr>
            <w:tcW w:w="307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6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07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96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07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396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03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703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606.07</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128.89</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477.18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477.18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447.48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328.48</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2130124</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农村合作经济</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07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3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3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jc w:val="left"/>
        <w:rPr>
          <w:rFonts w:hint="eastAsia"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tbl>
      <w:tblPr>
        <w:tblStyle w:val="6"/>
        <w:tblW w:w="13988" w:type="dxa"/>
        <w:tblInd w:w="0" w:type="dxa"/>
        <w:shd w:val="clear" w:color="auto" w:fill="auto"/>
        <w:tblLayout w:type="fixed"/>
        <w:tblCellMar>
          <w:top w:w="0" w:type="dxa"/>
          <w:left w:w="0" w:type="dxa"/>
          <w:bottom w:w="0" w:type="dxa"/>
          <w:right w:w="0" w:type="dxa"/>
        </w:tblCellMar>
      </w:tblPr>
      <w:tblGrid>
        <w:gridCol w:w="3522"/>
        <w:gridCol w:w="780"/>
        <w:gridCol w:w="1125"/>
        <w:gridCol w:w="2880"/>
        <w:gridCol w:w="1020"/>
        <w:gridCol w:w="917"/>
        <w:gridCol w:w="1242"/>
        <w:gridCol w:w="996"/>
        <w:gridCol w:w="1506"/>
      </w:tblGrid>
      <w:tr>
        <w:tblPrEx>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shd w:val="clear" w:color="auto" w:fill="auto"/>
          <w:tblCellMar>
            <w:top w:w="0" w:type="dxa"/>
            <w:left w:w="0" w:type="dxa"/>
            <w:bottom w:w="0" w:type="dxa"/>
            <w:right w:w="0" w:type="dxa"/>
          </w:tblCellMar>
        </w:tblPrEx>
        <w:trPr>
          <w:trHeight w:val="255" w:hRule="atLeast"/>
        </w:trPr>
        <w:tc>
          <w:tcPr>
            <w:tcW w:w="352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2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8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4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9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255" w:hRule="atLeast"/>
        </w:trPr>
        <w:tc>
          <w:tcPr>
            <w:tcW w:w="542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28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2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4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9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427"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561"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292" w:hRule="atLeast"/>
        </w:trPr>
        <w:tc>
          <w:tcPr>
            <w:tcW w:w="352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2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1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5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615" w:hRule="atLeast"/>
        </w:trPr>
        <w:tc>
          <w:tcPr>
            <w:tcW w:w="352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8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1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52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2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12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606.07</w:t>
            </w:r>
          </w:p>
        </w:tc>
        <w:tc>
          <w:tcPr>
            <w:tcW w:w="9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248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506"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r>
    </w:tbl>
    <w:p>
      <w:pP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8" w:type="dxa"/>
        <w:tblInd w:w="0" w:type="dxa"/>
        <w:shd w:val="clear" w:color="auto" w:fill="auto"/>
        <w:tblLayout w:type="fixed"/>
        <w:tblCellMar>
          <w:top w:w="0" w:type="dxa"/>
          <w:left w:w="0" w:type="dxa"/>
          <w:bottom w:w="0" w:type="dxa"/>
          <w:right w:w="0" w:type="dxa"/>
        </w:tblCellMar>
      </w:tblPr>
      <w:tblGrid>
        <w:gridCol w:w="3687"/>
        <w:gridCol w:w="240"/>
        <w:gridCol w:w="240"/>
        <w:gridCol w:w="3975"/>
        <w:gridCol w:w="1890"/>
        <w:gridCol w:w="1950"/>
        <w:gridCol w:w="2006"/>
      </w:tblGrid>
      <w:tr>
        <w:tblPrEx>
          <w:shd w:val="clear" w:color="auto" w:fill="auto"/>
          <w:tblCellMar>
            <w:top w:w="0" w:type="dxa"/>
            <w:left w:w="0" w:type="dxa"/>
            <w:bottom w:w="0" w:type="dxa"/>
            <w:right w:w="0" w:type="dxa"/>
          </w:tblCellMar>
        </w:tblPrEx>
        <w:trPr>
          <w:trHeight w:val="390" w:hRule="atLeast"/>
        </w:trPr>
        <w:tc>
          <w:tcPr>
            <w:tcW w:w="13988"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368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9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8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0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55" w:hRule="atLeast"/>
        </w:trPr>
        <w:tc>
          <w:tcPr>
            <w:tcW w:w="8142"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18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5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00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814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4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3927"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215"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9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0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77" w:hRule="atLeast"/>
        </w:trPr>
        <w:tc>
          <w:tcPr>
            <w:tcW w:w="3927"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15"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927"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4215"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9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00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9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814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606.07</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128.89</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477.18</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2012999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其他共产党事务支出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2013601</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564.33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477.18</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农业农村</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534.63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447.48</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415.63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87.15</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328.48</w:t>
            </w:r>
          </w:p>
        </w:tc>
      </w:tr>
      <w:tr>
        <w:tblPrEx>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2130122</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农业生产发展</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2130124</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农村合作经济</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巩固脱贫衔接乡村振兴</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其他巩固脱贫衔接乡村振兴支出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392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2299999</w:t>
            </w:r>
          </w:p>
        </w:tc>
        <w:tc>
          <w:tcPr>
            <w:tcW w:w="42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8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19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17.63</w:t>
            </w:r>
          </w:p>
        </w:tc>
        <w:tc>
          <w:tcPr>
            <w:tcW w:w="2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1512"/>
        <w:gridCol w:w="2880"/>
        <w:gridCol w:w="1230"/>
        <w:gridCol w:w="1200"/>
        <w:gridCol w:w="1710"/>
        <w:gridCol w:w="972"/>
        <w:gridCol w:w="1023"/>
        <w:gridCol w:w="2543"/>
        <w:gridCol w:w="918"/>
      </w:tblGrid>
      <w:tr>
        <w:tblPrEx>
          <w:shd w:val="clear" w:color="auto" w:fill="auto"/>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shd w:val="clear" w:color="auto" w:fill="auto"/>
          <w:tblCellMar>
            <w:top w:w="0" w:type="dxa"/>
            <w:left w:w="0" w:type="dxa"/>
            <w:bottom w:w="0" w:type="dxa"/>
            <w:right w:w="0" w:type="dxa"/>
          </w:tblCellMar>
        </w:tblPrEx>
        <w:trPr>
          <w:trHeight w:val="255" w:hRule="atLeast"/>
        </w:trPr>
        <w:tc>
          <w:tcPr>
            <w:tcW w:w="151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288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3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7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2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54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1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255" w:hRule="atLeast"/>
        </w:trPr>
        <w:tc>
          <w:tcPr>
            <w:tcW w:w="5622"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120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71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7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2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346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622"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366" w:type="dxa"/>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8" w:hRule="atLeast"/>
        </w:trPr>
        <w:tc>
          <w:tcPr>
            <w:tcW w:w="1512"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8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7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7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2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5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1512"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8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7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7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2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5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1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113.88</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27.45</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12"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8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20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71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97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2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25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39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118.53</w:t>
            </w:r>
          </w:p>
        </w:tc>
        <w:tc>
          <w:tcPr>
            <w:tcW w:w="7448" w:type="dxa"/>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r>
      <w:tr>
        <w:tblPrEx>
          <w:shd w:val="clear" w:color="auto" w:fill="auto"/>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4875"/>
        <w:gridCol w:w="68"/>
        <w:gridCol w:w="22"/>
        <w:gridCol w:w="90"/>
        <w:gridCol w:w="848"/>
        <w:gridCol w:w="1326"/>
        <w:gridCol w:w="1326"/>
        <w:gridCol w:w="1326"/>
        <w:gridCol w:w="1326"/>
        <w:gridCol w:w="1327"/>
        <w:gridCol w:w="1454"/>
      </w:tblGrid>
      <w:tr>
        <w:tblPrEx>
          <w:shd w:val="clear" w:color="auto" w:fill="auto"/>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trHeight w:val="255" w:hRule="atLeast"/>
        </w:trPr>
        <w:tc>
          <w:tcPr>
            <w:tcW w:w="487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4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shd w:val="clear" w:color="auto" w:fill="auto"/>
          <w:tblCellMar>
            <w:top w:w="0" w:type="dxa"/>
            <w:left w:w="0" w:type="dxa"/>
            <w:bottom w:w="0" w:type="dxa"/>
            <w:right w:w="0" w:type="dxa"/>
          </w:tblCellMar>
        </w:tblPrEx>
        <w:trPr>
          <w:trHeight w:val="255" w:hRule="atLeast"/>
        </w:trPr>
        <w:tc>
          <w:tcPr>
            <w:tcW w:w="5903"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6"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27"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45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5903" w:type="dxa"/>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32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97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45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4943"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60" w:type="dxa"/>
            <w:gridSpan w:val="3"/>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2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45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943"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943"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2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45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5903"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5903"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3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4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r>
      <w:tr>
        <w:tblPrEx>
          <w:shd w:val="clear" w:color="auto" w:fill="auto"/>
          <w:tblCellMar>
            <w:top w:w="0" w:type="dxa"/>
            <w:left w:w="0" w:type="dxa"/>
            <w:bottom w:w="0" w:type="dxa"/>
            <w:right w:w="0" w:type="dxa"/>
          </w:tblCellMar>
        </w:tblPrEx>
        <w:trPr>
          <w:trHeight w:val="308" w:hRule="atLeast"/>
        </w:trPr>
        <w:tc>
          <w:tcPr>
            <w:tcW w:w="494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6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4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94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96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4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30"/>
          <w:szCs w:val="30"/>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7345"/>
        <w:gridCol w:w="90"/>
        <w:gridCol w:w="11"/>
        <w:gridCol w:w="79"/>
        <w:gridCol w:w="1278"/>
        <w:gridCol w:w="1551"/>
        <w:gridCol w:w="1354"/>
        <w:gridCol w:w="2280"/>
      </w:tblGrid>
      <w:tr>
        <w:tblPrEx>
          <w:shd w:val="clear" w:color="auto" w:fill="auto"/>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shd w:val="clear" w:color="auto" w:fill="auto"/>
          <w:tblCellMar>
            <w:top w:w="0" w:type="dxa"/>
            <w:left w:w="0" w:type="dxa"/>
            <w:bottom w:w="0" w:type="dxa"/>
            <w:right w:w="0" w:type="dxa"/>
          </w:tblCellMar>
        </w:tblPrEx>
        <w:trPr>
          <w:trHeight w:val="255" w:hRule="atLeast"/>
        </w:trPr>
        <w:tc>
          <w:tcPr>
            <w:tcW w:w="7345"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7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5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5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28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55" w:hRule="atLeast"/>
        </w:trPr>
        <w:tc>
          <w:tcPr>
            <w:tcW w:w="734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9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278"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551"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354"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228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8803" w:type="dxa"/>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8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08" w:hRule="atLeast"/>
        </w:trPr>
        <w:tc>
          <w:tcPr>
            <w:tcW w:w="7446"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357"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08" w:hRule="atLeast"/>
        </w:trPr>
        <w:tc>
          <w:tcPr>
            <w:tcW w:w="744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57"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2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46"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57"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55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35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22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8803"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5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5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8803"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13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22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r>
      <w:tr>
        <w:tblPrEx>
          <w:shd w:val="clear" w:color="auto" w:fill="auto"/>
          <w:tblCellMar>
            <w:top w:w="0" w:type="dxa"/>
            <w:left w:w="0" w:type="dxa"/>
            <w:bottom w:w="0" w:type="dxa"/>
            <w:right w:w="0" w:type="dxa"/>
          </w:tblCellMar>
        </w:tblPrEx>
        <w:trPr>
          <w:trHeight w:val="308" w:hRule="atLeast"/>
        </w:trPr>
        <w:tc>
          <w:tcPr>
            <w:tcW w:w="74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3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3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55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13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1398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tbl>
      <w:tblPr>
        <w:tblStyle w:val="6"/>
        <w:tblW w:w="13988" w:type="dxa"/>
        <w:tblInd w:w="0" w:type="dxa"/>
        <w:shd w:val="clear" w:color="auto" w:fill="auto"/>
        <w:tblLayout w:type="fixed"/>
        <w:tblCellMar>
          <w:top w:w="0" w:type="dxa"/>
          <w:left w:w="0" w:type="dxa"/>
          <w:bottom w:w="0" w:type="dxa"/>
          <w:right w:w="0" w:type="dxa"/>
        </w:tblCellMar>
      </w:tblPr>
      <w:tblGrid>
        <w:gridCol w:w="4320"/>
        <w:gridCol w:w="1033"/>
        <w:gridCol w:w="802"/>
        <w:gridCol w:w="803"/>
        <w:gridCol w:w="803"/>
        <w:gridCol w:w="802"/>
        <w:gridCol w:w="802"/>
        <w:gridCol w:w="1033"/>
        <w:gridCol w:w="803"/>
        <w:gridCol w:w="802"/>
        <w:gridCol w:w="803"/>
        <w:gridCol w:w="1182"/>
      </w:tblGrid>
      <w:tr>
        <w:tblPrEx>
          <w:shd w:val="clear" w:color="auto" w:fill="auto"/>
          <w:tblCellMar>
            <w:top w:w="0" w:type="dxa"/>
            <w:left w:w="0" w:type="dxa"/>
            <w:bottom w:w="0" w:type="dxa"/>
            <w:right w:w="0" w:type="dxa"/>
          </w:tblCellMar>
        </w:tblPrEx>
        <w:trPr>
          <w:trHeight w:val="540" w:hRule="atLeast"/>
        </w:trPr>
        <w:tc>
          <w:tcPr>
            <w:tcW w:w="1398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财政拨款“三公”经费支出决算表</w:t>
            </w:r>
          </w:p>
        </w:tc>
      </w:tr>
      <w:tr>
        <w:tblPrEx>
          <w:shd w:val="clear" w:color="auto" w:fill="auto"/>
          <w:tblCellMar>
            <w:top w:w="0" w:type="dxa"/>
            <w:left w:w="0" w:type="dxa"/>
            <w:bottom w:w="0" w:type="dxa"/>
            <w:right w:w="0" w:type="dxa"/>
          </w:tblCellMar>
        </w:tblPrEx>
        <w:trPr>
          <w:trHeight w:val="255" w:hRule="atLeast"/>
        </w:trPr>
        <w:tc>
          <w:tcPr>
            <w:tcW w:w="4320"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eastAsia" w:ascii="Arial" w:hAnsi="Arial" w:cs="Arial"/>
                <w:i w:val="0"/>
                <w:color w:val="000000"/>
                <w:sz w:val="20"/>
                <w:szCs w:val="20"/>
                <w:u w:val="none"/>
              </w:rPr>
            </w:pPr>
          </w:p>
        </w:tc>
        <w:tc>
          <w:tcPr>
            <w:tcW w:w="103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3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18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55" w:hRule="atLeast"/>
        </w:trPr>
        <w:tc>
          <w:tcPr>
            <w:tcW w:w="695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部门：广西河池市环江毛南族自治县农村经济经营指导中心</w:t>
            </w: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03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3"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802" w:type="dxa"/>
            <w:tcBorders>
              <w:top w:val="nil"/>
              <w:left w:val="nil"/>
              <w:bottom w:val="nil"/>
              <w:right w:val="nil"/>
            </w:tcBorders>
            <w:shd w:val="clear" w:color="auto" w:fill="auto"/>
            <w:noWrap/>
            <w:tcMar>
              <w:top w:w="15" w:type="dxa"/>
              <w:left w:w="15" w:type="dxa"/>
              <w:right w:w="15" w:type="dxa"/>
            </w:tcMar>
            <w:vAlign w:val="bottom"/>
          </w:tcPr>
          <w:p>
            <w:pPr>
              <w:keepNext w:val="0"/>
              <w:keepLines w:val="0"/>
              <w:suppressLineNumbers w:val="0"/>
              <w:spacing w:before="0" w:beforeAutospacing="0" w:after="0" w:afterAutospacing="0"/>
              <w:ind w:left="0" w:right="0"/>
              <w:rPr>
                <w:rFonts w:hint="default" w:ascii="Arial" w:hAnsi="Arial" w:cs="Arial"/>
                <w:i w:val="0"/>
                <w:color w:val="000000"/>
                <w:sz w:val="20"/>
                <w:szCs w:val="20"/>
                <w:u w:val="none"/>
              </w:rPr>
            </w:pPr>
          </w:p>
        </w:tc>
        <w:tc>
          <w:tcPr>
            <w:tcW w:w="198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8563"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5425"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432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40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8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0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3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40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18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shd w:val="clear" w:color="auto" w:fill="auto"/>
          <w:tblCellMar>
            <w:top w:w="0" w:type="dxa"/>
            <w:left w:w="0" w:type="dxa"/>
            <w:bottom w:w="0" w:type="dxa"/>
            <w:right w:w="0" w:type="dxa"/>
          </w:tblCellMar>
        </w:tblPrEx>
        <w:trPr>
          <w:trHeight w:val="615" w:hRule="atLeast"/>
        </w:trPr>
        <w:tc>
          <w:tcPr>
            <w:tcW w:w="432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8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0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03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18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3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0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8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1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r>
      <w:tr>
        <w:tblPrEx>
          <w:shd w:val="clear" w:color="auto" w:fill="auto"/>
          <w:tblCellMar>
            <w:top w:w="0" w:type="dxa"/>
            <w:left w:w="0" w:type="dxa"/>
            <w:bottom w:w="0" w:type="dxa"/>
            <w:right w:w="0" w:type="dxa"/>
          </w:tblCellMar>
        </w:tblPrEx>
        <w:trPr>
          <w:trHeight w:val="615" w:hRule="atLeast"/>
        </w:trPr>
        <w:tc>
          <w:tcPr>
            <w:tcW w:w="1398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b/>
          <w:bCs/>
          <w:sz w:val="32"/>
          <w:u w:color="auto"/>
          <w:lang w:val="en-US" w:eastAsia="zh-CN"/>
        </w:rPr>
      </w:pPr>
      <w:r>
        <w:rPr>
          <w:rFonts w:hint="eastAsia" w:ascii="黑体" w:hAnsi="黑体" w:eastAsia="黑体" w:cs="黑体"/>
          <w:b/>
          <w:bCs/>
          <w:sz w:val="32"/>
          <w:szCs w:val="32"/>
          <w:highlight w:val="none"/>
        </w:rPr>
        <w:t>第三部分：</w:t>
      </w:r>
      <w:r>
        <w:rPr>
          <w:rFonts w:hint="eastAsia" w:ascii="黑体" w:hAnsi="黑体" w:eastAsia="黑体" w:cs="黑体"/>
          <w:b/>
          <w:bCs/>
          <w:sz w:val="32"/>
          <w:u w:color="auto"/>
          <w:lang w:val="en-US" w:eastAsia="zh-CN"/>
        </w:rPr>
        <w:t>环江毛南族自治县农村经济经营指导中心</w:t>
      </w:r>
    </w:p>
    <w:p>
      <w:pPr>
        <w:jc w:val="center"/>
        <w:rPr>
          <w:rFonts w:ascii="仿宋" w:hAnsi="仿宋" w:eastAsia="仿宋" w:cs="仿宋"/>
          <w:b/>
          <w:bCs/>
          <w:sz w:val="32"/>
          <w:szCs w:val="32"/>
          <w:highlight w:val="none"/>
        </w:rPr>
      </w:pPr>
      <w:r>
        <w:rPr>
          <w:rFonts w:hint="eastAsia" w:ascii="黑体" w:hAnsi="黑体" w:eastAsia="黑体" w:cs="黑体"/>
          <w:b/>
          <w:bCs/>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w:t>
      </w:r>
      <w:r>
        <w:rPr>
          <w:rFonts w:hint="eastAsia" w:ascii="仿宋" w:hAnsi="仿宋" w:eastAsia="仿宋" w:cs="仿宋"/>
          <w:sz w:val="32"/>
          <w:szCs w:val="32"/>
          <w:highlight w:val="none"/>
          <w:lang w:val="en-US" w:eastAsia="zh-CN"/>
        </w:rPr>
        <w:t>加</w:t>
      </w:r>
      <w:r>
        <w:rPr>
          <w:rFonts w:hint="eastAsia" w:ascii="仿宋" w:hAnsi="仿宋" w:eastAsia="仿宋" w:cs="仿宋"/>
          <w:sz w:val="32"/>
          <w:u w:color="auto"/>
          <w:lang w:val="en-US" w:eastAsia="zh-CN"/>
        </w:rPr>
        <w:t>252.59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增长71.46</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606.07</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kern w:val="0"/>
          <w:sz w:val="32"/>
          <w:szCs w:val="32"/>
        </w:rPr>
        <w:t>为</w:t>
      </w:r>
      <w:r>
        <w:rPr>
          <w:rFonts w:hint="eastAsia" w:ascii="仿宋" w:hAnsi="仿宋" w:eastAsia="仿宋" w:cs="仿宋"/>
          <w:kern w:val="0"/>
          <w:sz w:val="32"/>
          <w:szCs w:val="32"/>
          <w:lang w:val="en-US" w:eastAsia="zh-CN"/>
        </w:rPr>
        <w:t>自治县</w:t>
      </w:r>
      <w:r>
        <w:rPr>
          <w:rFonts w:hint="eastAsia" w:ascii="仿宋" w:hAnsi="仿宋" w:eastAsia="仿宋" w:cs="仿宋"/>
          <w:kern w:val="0"/>
          <w:sz w:val="32"/>
          <w:szCs w:val="32"/>
        </w:rPr>
        <w:t>本级财政当年拨付的资金</w:t>
      </w:r>
      <w:r>
        <w:rPr>
          <w:rFonts w:hint="eastAsia" w:ascii="仿宋" w:hAnsi="仿宋" w:eastAsia="仿宋" w:cs="仿宋"/>
          <w:kern w:val="2"/>
          <w:sz w:val="32"/>
          <w:szCs w:val="32"/>
          <w:highlight w:val="none"/>
          <w:lang w:val="en-US" w:eastAsia="zh-CN" w:bidi="ar"/>
        </w:rPr>
        <w:t>。较2021年度决算数</w:t>
      </w:r>
      <w:r>
        <w:rPr>
          <w:rFonts w:hint="eastAsia" w:ascii="仿宋" w:hAnsi="仿宋" w:eastAsia="仿宋" w:cs="仿宋"/>
          <w:sz w:val="32"/>
          <w:u w:color="auto"/>
          <w:lang w:val="en-US" w:eastAsia="zh-CN"/>
        </w:rPr>
        <w:t>增加252.59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增长71.46</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主要原因：财政追加拨款用于农村土地承包管理的工作经费及上级补助资金拨入。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黑体" w:eastAsia="仿宋_GB2312" w:cs="仿宋_GB2312"/>
          <w:kern w:val="0"/>
          <w:sz w:val="32"/>
          <w:szCs w:val="32"/>
          <w:lang w:val="en-US" w:eastAsia="zh-CN"/>
        </w:rPr>
      </w:pPr>
      <w:r>
        <w:rPr>
          <w:rFonts w:hint="eastAsia" w:ascii="仿宋_GB2312" w:eastAsia="仿宋_GB2312" w:cs="仿宋_GB2312"/>
          <w:kern w:val="0"/>
          <w:sz w:val="32"/>
          <w:szCs w:val="32"/>
        </w:rPr>
        <w:t>2.政府性基金预算财政拨款收入</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万元，为</w:t>
      </w:r>
      <w:r>
        <w:rPr>
          <w:rFonts w:hint="eastAsia" w:ascii="仿宋_GB2312" w:eastAsia="仿宋_GB2312" w:cs="仿宋_GB2312"/>
          <w:kern w:val="0"/>
          <w:sz w:val="32"/>
          <w:szCs w:val="32"/>
          <w:lang w:val="en-US" w:eastAsia="zh-CN"/>
        </w:rPr>
        <w:t>自治县</w:t>
      </w:r>
      <w:r>
        <w:rPr>
          <w:rFonts w:hint="eastAsia" w:ascii="仿宋_GB2312" w:eastAsia="仿宋_GB2312" w:cs="仿宋_GB2312"/>
          <w:kern w:val="0"/>
          <w:sz w:val="32"/>
          <w:szCs w:val="32"/>
        </w:rPr>
        <w:t>本级财政当年拨付的资金。</w:t>
      </w:r>
      <w:r>
        <w:rPr>
          <w:rFonts w:hint="eastAsia" w:ascii="仿宋" w:hAnsi="仿宋" w:eastAsia="仿宋" w:cs="仿宋"/>
          <w:kern w:val="2"/>
          <w:sz w:val="32"/>
          <w:szCs w:val="32"/>
          <w:highlight w:val="none"/>
          <w:lang w:val="en-US" w:eastAsia="zh-CN" w:bidi="ar"/>
        </w:rPr>
        <w:t>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主要原因是：本单位没有该收入。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_GB2312" w:eastAsia="仿宋_GB2312" w:cs="仿宋_GB2312"/>
          <w:kern w:val="0"/>
          <w:sz w:val="32"/>
          <w:szCs w:val="32"/>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主要原因：跨年度实施的</w:t>
      </w:r>
      <w:r>
        <w:rPr>
          <w:rFonts w:hint="eastAsia" w:ascii="仿宋" w:hAnsi="仿宋" w:eastAsia="仿宋" w:cs="仿宋"/>
          <w:color w:val="auto"/>
          <w:kern w:val="2"/>
          <w:sz w:val="32"/>
          <w:szCs w:val="32"/>
          <w:highlight w:val="none"/>
          <w:lang w:val="en-US" w:eastAsia="zh-CN" w:bidi="ar"/>
        </w:rPr>
        <w:t>项目已在本年执行完毕，不需要结转至下年继续执行。</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sz w:val="32"/>
          <w:szCs w:val="32"/>
          <w:highlight w:val="none"/>
        </w:rPr>
        <w:drawing>
          <wp:inline distT="0" distB="0" distL="114300" distR="114300">
            <wp:extent cx="4289425" cy="3201035"/>
            <wp:effectExtent l="4445" t="4445" r="11430"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增加252.59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增长71.46</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pageBreakBefore w:val="0"/>
        <w:kinsoku/>
        <w:wordWrap/>
        <w:overflowPunct/>
        <w:topLinePunct w:val="0"/>
        <w:autoSpaceDE w:val="0"/>
        <w:autoSpaceDN w:val="0"/>
        <w:bidi w:val="0"/>
        <w:adjustRightInd w:val="0"/>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 xml:space="preserve">一般公共服务支出 </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lang w:val="en-US" w:eastAsia="zh-CN"/>
        </w:rPr>
        <w:t>4.26万元，主要用于其他工资福利支出，较2021年增加3.21万元，增长305.71%，主要用于其他工资福利支出和上缴工会经费。</w:t>
      </w:r>
    </w:p>
    <w:p>
      <w:pPr>
        <w:keepNext w:val="0"/>
        <w:keepLines w:val="0"/>
        <w:pageBreakBefore w:val="0"/>
        <w:kinsoku/>
        <w:wordWrap/>
        <w:overflowPunct/>
        <w:topLinePunct w:val="0"/>
        <w:autoSpaceDE w:val="0"/>
        <w:autoSpaceDN w:val="0"/>
        <w:bidi w:val="0"/>
        <w:adjustRightInd w:val="0"/>
        <w:spacing w:line="560" w:lineRule="exact"/>
        <w:ind w:firstLine="627" w:firstLineChars="196"/>
        <w:jc w:val="both"/>
        <w:textAlignment w:val="auto"/>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社会保障和就业支出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208类）12.01万元</w:t>
      </w:r>
      <w:r>
        <w:rPr>
          <w:rFonts w:hint="eastAsia" w:ascii="仿宋" w:hAnsi="仿宋" w:eastAsia="仿宋" w:cs="仿宋_GB2312"/>
          <w:kern w:val="0"/>
          <w:sz w:val="32"/>
          <w:szCs w:val="32"/>
        </w:rPr>
        <w:t xml:space="preserve"> </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主要用于按国家规定发放行政事业单位单位基本养老保险的等方面的支出，较20</w:t>
      </w:r>
      <w:r>
        <w:rPr>
          <w:rFonts w:hint="eastAsia" w:ascii="仿宋" w:hAnsi="仿宋" w:eastAsia="仿宋" w:cs="仿宋_GB2312"/>
          <w:kern w:val="0"/>
          <w:sz w:val="32"/>
          <w:szCs w:val="32"/>
          <w:lang w:val="en-US" w:eastAsia="zh-CN"/>
        </w:rPr>
        <w:t>21</w:t>
      </w:r>
      <w:r>
        <w:rPr>
          <w:rFonts w:hint="eastAsia" w:ascii="仿宋" w:hAnsi="仿宋" w:eastAsia="仿宋" w:cs="仿宋_GB2312"/>
          <w:kern w:val="0"/>
          <w:sz w:val="32"/>
          <w:szCs w:val="32"/>
        </w:rPr>
        <w:t>年度决算数</w:t>
      </w:r>
      <w:r>
        <w:rPr>
          <w:rFonts w:hint="eastAsia" w:ascii="仿宋" w:hAnsi="仿宋" w:eastAsia="仿宋" w:cs="仿宋_GB2312"/>
          <w:kern w:val="0"/>
          <w:sz w:val="32"/>
          <w:szCs w:val="32"/>
          <w:lang w:val="en-US" w:eastAsia="zh-CN"/>
        </w:rPr>
        <w:t>增加2.13</w:t>
      </w:r>
      <w:r>
        <w:rPr>
          <w:rFonts w:hint="eastAsia" w:ascii="仿宋" w:hAnsi="仿宋" w:eastAsia="仿宋" w:cs="仿宋_GB2312"/>
          <w:kern w:val="0"/>
          <w:sz w:val="32"/>
          <w:szCs w:val="32"/>
        </w:rPr>
        <w:t>万元，</w:t>
      </w:r>
      <w:r>
        <w:rPr>
          <w:rFonts w:hint="eastAsia" w:ascii="仿宋" w:hAnsi="仿宋" w:eastAsia="仿宋" w:cs="仿宋_GB2312"/>
          <w:kern w:val="0"/>
          <w:sz w:val="32"/>
          <w:szCs w:val="32"/>
          <w:lang w:val="en-US" w:eastAsia="zh-CN"/>
        </w:rPr>
        <w:t>增长21.56</w:t>
      </w:r>
      <w:r>
        <w:rPr>
          <w:rFonts w:hint="eastAsia" w:ascii="仿宋" w:hAnsi="仿宋" w:eastAsia="仿宋" w:cs="仿宋_GB2312"/>
          <w:kern w:val="0"/>
          <w:sz w:val="32"/>
          <w:szCs w:val="32"/>
        </w:rPr>
        <w:t>%，主要原因是</w:t>
      </w:r>
      <w:r>
        <w:rPr>
          <w:rFonts w:hint="eastAsia" w:ascii="仿宋" w:hAnsi="仿宋" w:eastAsia="仿宋" w:cs="仿宋_GB2312"/>
          <w:kern w:val="0"/>
          <w:sz w:val="32"/>
          <w:szCs w:val="32"/>
          <w:lang w:val="en-US" w:eastAsia="zh-CN"/>
        </w:rPr>
        <w:t>基数调整</w:t>
      </w:r>
      <w:r>
        <w:rPr>
          <w:rFonts w:hint="eastAsia" w:ascii="仿宋" w:hAnsi="仿宋" w:eastAsia="仿宋" w:cs="仿宋_GB2312"/>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.农林水支出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213类）564.33万元</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主要用于</w:t>
      </w:r>
      <w:r>
        <w:rPr>
          <w:rFonts w:hint="eastAsia" w:ascii="仿宋" w:hAnsi="仿宋" w:eastAsia="仿宋" w:cs="仿宋"/>
          <w:bCs/>
          <w:color w:val="333333"/>
          <w:sz w:val="32"/>
          <w:szCs w:val="32"/>
          <w:shd w:val="clear" w:color="auto" w:fill="FFFFFF"/>
          <w:lang w:val="en-US" w:eastAsia="zh-CN"/>
        </w:rPr>
        <w:t>为</w:t>
      </w:r>
      <w:r>
        <w:rPr>
          <w:rFonts w:hint="eastAsia" w:ascii="仿宋" w:hAnsi="仿宋" w:eastAsia="仿宋" w:cs="仿宋"/>
          <w:bCs/>
          <w:color w:val="333333"/>
          <w:sz w:val="32"/>
          <w:szCs w:val="32"/>
          <w:shd w:val="clear" w:color="auto" w:fill="FFFFFF"/>
        </w:rPr>
        <w:t>确保</w:t>
      </w:r>
      <w:r>
        <w:rPr>
          <w:rFonts w:hint="eastAsia" w:ascii="仿宋" w:hAnsi="仿宋" w:eastAsia="仿宋" w:cs="仿宋"/>
          <w:kern w:val="0"/>
          <w:sz w:val="32"/>
          <w:szCs w:val="32"/>
        </w:rPr>
        <w:t>日常运转发生的基本支出</w:t>
      </w:r>
      <w:r>
        <w:rPr>
          <w:rFonts w:hint="eastAsia" w:ascii="仿宋" w:hAnsi="仿宋" w:eastAsia="仿宋" w:cs="仿宋"/>
          <w:kern w:val="0"/>
          <w:sz w:val="32"/>
          <w:szCs w:val="32"/>
          <w:lang w:val="en-US" w:eastAsia="zh-CN"/>
        </w:rPr>
        <w:t>及农业生产发展、农村合作经济和其他巩固脱贫衔接乡村振兴支出。</w:t>
      </w:r>
      <w:r>
        <w:rPr>
          <w:rFonts w:hint="eastAsia" w:ascii="仿宋" w:hAnsi="仿宋" w:eastAsia="仿宋" w:cs="仿宋_GB2312"/>
          <w:kern w:val="0"/>
          <w:sz w:val="32"/>
          <w:szCs w:val="32"/>
          <w:lang w:val="en-US" w:eastAsia="zh-CN"/>
        </w:rPr>
        <w:t>较2021年增加258.84</w:t>
      </w:r>
      <w:r>
        <w:rPr>
          <w:rFonts w:hint="eastAsia" w:ascii="仿宋" w:hAnsi="仿宋" w:eastAsia="仿宋" w:cs="仿宋_GB2312"/>
          <w:kern w:val="0"/>
          <w:sz w:val="32"/>
          <w:szCs w:val="32"/>
        </w:rPr>
        <w:t>万元，同比</w:t>
      </w:r>
      <w:r>
        <w:rPr>
          <w:rFonts w:hint="eastAsia" w:ascii="仿宋" w:hAnsi="仿宋" w:eastAsia="仿宋" w:cs="仿宋_GB2312"/>
          <w:kern w:val="0"/>
          <w:sz w:val="32"/>
          <w:szCs w:val="32"/>
          <w:lang w:val="en-US" w:eastAsia="zh-CN"/>
        </w:rPr>
        <w:t>增长84.73</w:t>
      </w:r>
      <w:r>
        <w:rPr>
          <w:rFonts w:hint="eastAsia" w:ascii="仿宋" w:hAnsi="仿宋" w:eastAsia="仿宋" w:cs="仿宋_GB2312"/>
          <w:kern w:val="0"/>
          <w:sz w:val="32"/>
          <w:szCs w:val="32"/>
        </w:rPr>
        <w:t>%，</w:t>
      </w:r>
      <w:r>
        <w:rPr>
          <w:rFonts w:hint="eastAsia" w:ascii="仿宋" w:hAnsi="仿宋" w:eastAsia="仿宋" w:cs="仿宋_GB2312"/>
          <w:kern w:val="0"/>
          <w:sz w:val="32"/>
          <w:szCs w:val="32"/>
          <w:lang w:val="en-US" w:eastAsia="zh-CN"/>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财政追加拨款用于农村土地承包管理的工作经费及上级补助资金支出。</w:t>
      </w:r>
    </w:p>
    <w:p>
      <w:pPr>
        <w:keepNext w:val="0"/>
        <w:keepLines w:val="0"/>
        <w:pageBreakBefore w:val="0"/>
        <w:kinsoku/>
        <w:wordWrap/>
        <w:overflowPunct/>
        <w:topLinePunct w:val="0"/>
        <w:autoSpaceDE w:val="0"/>
        <w:autoSpaceDN w:val="0"/>
        <w:bidi w:val="0"/>
        <w:adjustRightInd w:val="0"/>
        <w:spacing w:line="560" w:lineRule="exact"/>
        <w:ind w:firstLine="640" w:firstLineChars="200"/>
        <w:jc w:val="both"/>
        <w:textAlignment w:val="auto"/>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.住房保障支出</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221类）7.83万元</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主要用于按照国家政策规定向职工发放的住房公积金、提租补贴、购房补贴等住房改革方面的支出。较20</w:t>
      </w:r>
      <w:r>
        <w:rPr>
          <w:rFonts w:hint="eastAsia" w:ascii="仿宋" w:hAnsi="仿宋" w:eastAsia="仿宋" w:cs="仿宋_GB2312"/>
          <w:kern w:val="0"/>
          <w:sz w:val="32"/>
          <w:szCs w:val="32"/>
          <w:lang w:val="en-US" w:eastAsia="zh-CN"/>
        </w:rPr>
        <w:t>21</w:t>
      </w:r>
      <w:r>
        <w:rPr>
          <w:rFonts w:hint="eastAsia" w:ascii="仿宋" w:hAnsi="仿宋" w:eastAsia="仿宋" w:cs="仿宋_GB2312"/>
          <w:kern w:val="0"/>
          <w:sz w:val="32"/>
          <w:szCs w:val="32"/>
        </w:rPr>
        <w:t>年度决算数</w:t>
      </w:r>
      <w:r>
        <w:rPr>
          <w:rFonts w:hint="eastAsia" w:ascii="仿宋" w:hAnsi="仿宋" w:eastAsia="仿宋" w:cs="仿宋_GB2312"/>
          <w:kern w:val="0"/>
          <w:sz w:val="32"/>
          <w:szCs w:val="32"/>
          <w:lang w:val="en-US" w:eastAsia="zh-CN"/>
        </w:rPr>
        <w:t>减少0.55</w:t>
      </w:r>
      <w:r>
        <w:rPr>
          <w:rFonts w:hint="eastAsia" w:ascii="仿宋" w:hAnsi="仿宋" w:eastAsia="仿宋" w:cs="仿宋_GB2312"/>
          <w:kern w:val="0"/>
          <w:sz w:val="32"/>
          <w:szCs w:val="32"/>
        </w:rPr>
        <w:t>万元，</w:t>
      </w:r>
      <w:r>
        <w:rPr>
          <w:rFonts w:hint="eastAsia" w:ascii="仿宋_GB2312" w:hAnsi="黑体" w:eastAsia="仿宋_GB2312" w:cs="仿宋_GB2312"/>
          <w:kern w:val="0"/>
          <w:sz w:val="32"/>
          <w:szCs w:val="32"/>
        </w:rPr>
        <w:t>下降</w:t>
      </w:r>
      <w:r>
        <w:rPr>
          <w:rFonts w:hint="eastAsia" w:ascii="仿宋_GB2312" w:hAnsi="黑体" w:eastAsia="仿宋_GB2312" w:cs="仿宋_GB2312"/>
          <w:kern w:val="0"/>
          <w:sz w:val="32"/>
          <w:szCs w:val="32"/>
          <w:lang w:val="en-US" w:eastAsia="zh-CN"/>
        </w:rPr>
        <w:t>6.56</w:t>
      </w:r>
      <w:r>
        <w:rPr>
          <w:rFonts w:hint="eastAsia" w:ascii="仿宋_GB2312" w:hAnsi="黑体" w:eastAsia="仿宋_GB2312" w:cs="仿宋_GB2312"/>
          <w:kern w:val="0"/>
          <w:sz w:val="32"/>
          <w:szCs w:val="32"/>
        </w:rPr>
        <w:t>%</w:t>
      </w:r>
      <w:r>
        <w:rPr>
          <w:rFonts w:hint="eastAsia" w:ascii="仿宋" w:hAnsi="仿宋" w:eastAsia="仿宋" w:cs="仿宋_GB2312"/>
          <w:kern w:val="0"/>
          <w:sz w:val="32"/>
          <w:szCs w:val="32"/>
        </w:rPr>
        <w:t>，主要原因是</w:t>
      </w:r>
      <w:r>
        <w:rPr>
          <w:rFonts w:hint="eastAsia" w:ascii="仿宋" w:hAnsi="仿宋" w:eastAsia="仿宋" w:cs="仿宋_GB2312"/>
          <w:kern w:val="0"/>
          <w:sz w:val="32"/>
          <w:szCs w:val="32"/>
          <w:lang w:val="en-US" w:eastAsia="zh-CN"/>
        </w:rPr>
        <w:t>基数调整</w:t>
      </w:r>
      <w:r>
        <w:rPr>
          <w:rFonts w:hint="eastAsia" w:ascii="仿宋" w:hAnsi="仿宋" w:eastAsia="仿宋" w:cs="仿宋_GB2312"/>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_GB2312"/>
          <w:kern w:val="0"/>
          <w:sz w:val="32"/>
          <w:szCs w:val="32"/>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5.</w:t>
      </w:r>
      <w:r>
        <w:rPr>
          <w:rFonts w:hint="eastAsia" w:ascii="仿宋" w:hAnsi="仿宋" w:eastAsia="仿宋" w:cs="仿宋"/>
          <w:kern w:val="0"/>
          <w:sz w:val="32"/>
          <w:szCs w:val="32"/>
        </w:rPr>
        <w:t>其他支出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229类）17.63万元</w:t>
      </w:r>
      <w:r>
        <w:rPr>
          <w:rFonts w:hint="eastAsia" w:ascii="仿宋" w:hAnsi="仿宋" w:eastAsia="仿宋" w:cs="仿宋"/>
          <w:kern w:val="0"/>
          <w:sz w:val="32"/>
          <w:szCs w:val="32"/>
        </w:rPr>
        <w:t>，为按自治县规定评定的</w:t>
      </w:r>
      <w:r>
        <w:rPr>
          <w:rFonts w:hint="eastAsia" w:ascii="仿宋" w:hAnsi="仿宋" w:eastAsia="仿宋" w:cs="仿宋"/>
          <w:color w:val="333333"/>
          <w:sz w:val="31"/>
          <w:szCs w:val="31"/>
          <w:shd w:val="clear" w:color="auto" w:fill="FFFFFF"/>
        </w:rPr>
        <w:t>绩效考评奖、伙食补助</w:t>
      </w:r>
      <w:r>
        <w:rPr>
          <w:rFonts w:hint="eastAsia" w:ascii="仿宋" w:hAnsi="仿宋" w:eastAsia="仿宋" w:cs="仿宋"/>
          <w:kern w:val="0"/>
          <w:sz w:val="32"/>
          <w:szCs w:val="32"/>
        </w:rPr>
        <w:t>等支出。较20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年度决算数</w:t>
      </w:r>
      <w:r>
        <w:rPr>
          <w:rFonts w:hint="eastAsia" w:ascii="仿宋" w:hAnsi="仿宋" w:eastAsia="仿宋" w:cs="仿宋"/>
          <w:kern w:val="0"/>
          <w:sz w:val="32"/>
          <w:szCs w:val="32"/>
          <w:lang w:val="en-US" w:eastAsia="zh-CN"/>
        </w:rPr>
        <w:t>减少11.29</w:t>
      </w:r>
      <w:r>
        <w:rPr>
          <w:rFonts w:hint="eastAsia" w:ascii="仿宋" w:hAnsi="仿宋" w:eastAsia="仿宋" w:cs="仿宋"/>
          <w:kern w:val="0"/>
          <w:sz w:val="32"/>
          <w:szCs w:val="32"/>
        </w:rPr>
        <w:t>万元，</w:t>
      </w:r>
      <w:r>
        <w:rPr>
          <w:rFonts w:hint="eastAsia" w:ascii="仿宋" w:hAnsi="仿宋" w:eastAsia="仿宋" w:cs="仿宋"/>
          <w:kern w:val="0"/>
          <w:sz w:val="32"/>
          <w:szCs w:val="32"/>
          <w:lang w:val="en-US" w:eastAsia="zh-CN"/>
        </w:rPr>
        <w:t>下降39.04</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人员变动导致绩效考评奖支出减少</w:t>
      </w:r>
      <w:r>
        <w:rPr>
          <w:rFonts w:hint="eastAsia" w:ascii="仿宋" w:hAnsi="仿宋" w:eastAsia="仿宋" w:cs="仿宋"/>
          <w:kern w:val="0"/>
          <w:sz w:val="32"/>
          <w:szCs w:val="32"/>
        </w:rPr>
        <w:t>。</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：本年无结余分配。</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增长1</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主要原因是：本年无结转和结余。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42460" cy="2451100"/>
            <wp:effectExtent l="4445" t="4445" r="1079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增加252.59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增长71.45</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128.89</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477.18</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114.78</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606.07</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528.03</w:t>
      </w:r>
      <w:r>
        <w:rPr>
          <w:rFonts w:ascii="仿宋" w:hAnsi="仿宋" w:eastAsia="仿宋" w:cs="仿宋"/>
          <w:sz w:val="32"/>
          <w:u w:color="auto"/>
        </w:rPr>
        <w:t>%</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val="0"/>
        <w:autoSpaceDN w:val="0"/>
        <w:bidi w:val="0"/>
        <w:adjustRightInd w:val="0"/>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cs="仿宋"/>
          <w:bCs/>
          <w:kern w:val="0"/>
          <w:sz w:val="32"/>
          <w:szCs w:val="32"/>
          <w:lang w:val="en-US" w:eastAsia="zh-CN"/>
        </w:rPr>
        <w:t>一</w:t>
      </w:r>
      <w:r>
        <w:rPr>
          <w:rFonts w:hint="eastAsia" w:ascii="仿宋" w:hAnsi="仿宋" w:eastAsia="仿宋" w:cs="仿宋"/>
          <w:sz w:val="32"/>
          <w:szCs w:val="32"/>
          <w:lang w:val="en-US" w:eastAsia="zh-CN"/>
        </w:rPr>
        <w:t>般公共服务支出（201类）年初预算为1.46万元，支出决算4.26万元，完成年初预算的291.78%，预决算差异原因主要是用于其他工资福利支出的行政运行年初无预算。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403"/>
        <w:gridCol w:w="855"/>
        <w:gridCol w:w="705"/>
        <w:gridCol w:w="1200"/>
        <w:gridCol w:w="159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7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9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8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1.46</w:t>
            </w:r>
          </w:p>
        </w:tc>
        <w:tc>
          <w:tcPr>
            <w:tcW w:w="7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1.46</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59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Theme="minorEastAsia" w:hAnsiTheme="minorEastAsia" w:eastAsiaTheme="minorEastAsia" w:cstheme="minorEastAsia"/>
                <w:color w:val="auto"/>
                <w:sz w:val="21"/>
                <w:szCs w:val="21"/>
                <w:highlight w:val="none"/>
                <w:lang w:val="en-US" w:eastAsia="zh-CN"/>
              </w:rPr>
              <w:t>职工工会经费单位部分支出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Theme="minorEastAsia" w:hAnsiTheme="minorEastAsia" w:eastAsiaTheme="minorEastAsia" w:cstheme="minorEastAsia"/>
                <w:sz w:val="21"/>
                <w:szCs w:val="21"/>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2013601</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行政运行</w:t>
            </w:r>
          </w:p>
        </w:tc>
        <w:tc>
          <w:tcPr>
            <w:tcW w:w="8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7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2.80</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59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其他工资福利支出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4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8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1.46</w:t>
            </w:r>
          </w:p>
        </w:tc>
        <w:tc>
          <w:tcPr>
            <w:tcW w:w="7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4.26</w:t>
            </w:r>
          </w:p>
        </w:tc>
        <w:tc>
          <w:tcPr>
            <w:tcW w:w="12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59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4"/>
                <w:szCs w:val="24"/>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293870" cy="2016125"/>
            <wp:effectExtent l="4445" t="4445" r="6985" b="17780"/>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kinsoku/>
        <w:wordWrap/>
        <w:overflowPunct/>
        <w:topLinePunct w:val="0"/>
        <w:autoSpaceDE w:val="0"/>
        <w:autoSpaceDN w:val="0"/>
        <w:bidi w:val="0"/>
        <w:adjustRightInd w:val="0"/>
        <w:spacing w:line="600" w:lineRule="exact"/>
        <w:ind w:firstLine="640" w:firstLineChars="200"/>
        <w:jc w:val="both"/>
        <w:textAlignment w:val="auto"/>
        <w:rPr>
          <w:rFonts w:ascii="仿宋" w:hAnsi="仿宋" w:eastAsia="仿宋" w:cs="仿宋"/>
          <w:bCs/>
          <w:kern w:val="0"/>
          <w:sz w:val="32"/>
          <w:szCs w:val="32"/>
        </w:rPr>
      </w:pPr>
      <w:r>
        <w:rPr>
          <w:rFonts w:hint="eastAsia" w:ascii="仿宋" w:hAnsi="仿宋" w:eastAsia="仿宋" w:cs="仿宋"/>
          <w:bCs/>
          <w:kern w:val="0"/>
          <w:sz w:val="32"/>
          <w:szCs w:val="32"/>
          <w:lang w:val="en-US" w:eastAsia="zh-CN"/>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cs="仿宋"/>
          <w:bCs/>
          <w:kern w:val="0"/>
          <w:sz w:val="32"/>
          <w:szCs w:val="32"/>
          <w:lang w:val="en-US" w:eastAsia="zh-CN"/>
        </w:rPr>
        <w:t>12.41万元</w:t>
      </w:r>
      <w:r>
        <w:rPr>
          <w:rFonts w:hint="eastAsia" w:ascii="仿宋" w:hAnsi="仿宋" w:eastAsia="仿宋" w:cs="仿宋"/>
          <w:bCs/>
          <w:kern w:val="0"/>
          <w:sz w:val="32"/>
          <w:szCs w:val="32"/>
        </w:rPr>
        <w:t>，支出决算为</w:t>
      </w:r>
      <w:r>
        <w:rPr>
          <w:rFonts w:hint="eastAsia" w:ascii="仿宋" w:hAnsi="仿宋" w:eastAsia="仿宋" w:cs="仿宋"/>
          <w:bCs/>
          <w:kern w:val="0"/>
          <w:sz w:val="32"/>
          <w:szCs w:val="32"/>
          <w:lang w:val="en-US" w:eastAsia="zh-CN"/>
        </w:rPr>
        <w:t>12.01</w:t>
      </w:r>
      <w:r>
        <w:rPr>
          <w:rFonts w:hint="eastAsia" w:ascii="仿宋" w:hAnsi="仿宋" w:eastAsia="仿宋" w:cs="仿宋"/>
          <w:bCs/>
          <w:kern w:val="0"/>
          <w:sz w:val="32"/>
          <w:szCs w:val="32"/>
        </w:rPr>
        <w:t>万元，完成年初预算的</w:t>
      </w:r>
      <w:r>
        <w:rPr>
          <w:rFonts w:hint="eastAsia" w:ascii="仿宋" w:hAnsi="仿宋" w:eastAsia="仿宋" w:cs="仿宋"/>
          <w:bCs/>
          <w:kern w:val="0"/>
          <w:sz w:val="32"/>
          <w:szCs w:val="32"/>
          <w:lang w:val="en-US" w:eastAsia="zh-CN"/>
        </w:rPr>
        <w:t>96.78</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预决算差异</w:t>
      </w:r>
      <w:r>
        <w:rPr>
          <w:rFonts w:hint="eastAsia" w:ascii="仿宋" w:hAnsi="仿宋" w:eastAsia="仿宋" w:cs="仿宋_GB2312"/>
          <w:kern w:val="0"/>
          <w:sz w:val="32"/>
          <w:szCs w:val="32"/>
        </w:rPr>
        <w:t>原因是</w:t>
      </w:r>
      <w:r>
        <w:rPr>
          <w:rFonts w:hint="eastAsia" w:ascii="仿宋" w:hAnsi="仿宋" w:eastAsia="仿宋" w:cs="仿宋_GB2312"/>
          <w:kern w:val="0"/>
          <w:sz w:val="32"/>
          <w:szCs w:val="32"/>
          <w:lang w:val="en-US" w:eastAsia="zh-CN"/>
        </w:rPr>
        <w:t>年内有人员退休</w:t>
      </w:r>
      <w:r>
        <w:rPr>
          <w:rFonts w:hint="eastAsia" w:ascii="仿宋" w:hAnsi="仿宋" w:eastAsia="仿宋" w:cs="仿宋"/>
          <w:bCs/>
          <w:kern w:val="0"/>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bCs/>
                <w:color w:val="333333"/>
                <w:sz w:val="20"/>
                <w:szCs w:val="20"/>
                <w:shd w:val="clear" w:color="auto" w:fill="FFFFFF"/>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bCs/>
                <w:kern w:val="0"/>
                <w:sz w:val="21"/>
                <w:szCs w:val="21"/>
                <w:lang w:val="en-US" w:eastAsia="zh-CN"/>
              </w:rPr>
              <w:t>人员退休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kinsoku/>
        <w:wordWrap/>
        <w:overflowPunct/>
        <w:topLinePunct w:val="0"/>
        <w:autoSpaceDE w:val="0"/>
        <w:autoSpaceDN w:val="0"/>
        <w:bidi w:val="0"/>
        <w:adjustRightInd w:val="0"/>
        <w:spacing w:line="560" w:lineRule="exact"/>
        <w:ind w:firstLine="640" w:firstLineChars="200"/>
        <w:jc w:val="both"/>
        <w:textAlignment w:val="auto"/>
        <w:rPr>
          <w:rFonts w:ascii="仿宋_GB2312" w:eastAsia="仿宋_GB2312" w:cs="仿宋_GB2312"/>
          <w:kern w:val="0"/>
          <w:sz w:val="32"/>
          <w:szCs w:val="32"/>
        </w:rPr>
      </w:pPr>
      <w:bookmarkStart w:id="1" w:name="OLE_LINK2"/>
      <w:bookmarkEnd w:id="1"/>
      <w:r>
        <w:rPr>
          <w:rFonts w:hint="eastAsia" w:ascii="仿宋" w:hAnsi="仿宋" w:eastAsia="仿宋" w:cs="仿宋"/>
          <w:bCs/>
          <w:kern w:val="0"/>
          <w:sz w:val="32"/>
          <w:szCs w:val="32"/>
          <w:lang w:val="en-US" w:eastAsia="zh-CN"/>
        </w:rPr>
        <w:t>（三）农林水支出---</w:t>
      </w:r>
      <w:r>
        <w:rPr>
          <w:rFonts w:hint="eastAsia" w:ascii="仿宋" w:hAnsi="仿宋" w:eastAsia="仿宋" w:cs="仿宋"/>
          <w:bCs/>
          <w:kern w:val="0"/>
          <w:sz w:val="32"/>
          <w:szCs w:val="32"/>
        </w:rPr>
        <w:t>事业运行（</w:t>
      </w:r>
      <w:r>
        <w:rPr>
          <w:rFonts w:hint="eastAsia" w:ascii="仿宋" w:hAnsi="仿宋" w:eastAsia="仿宋" w:cs="仿宋"/>
          <w:bCs/>
          <w:kern w:val="0"/>
          <w:sz w:val="32"/>
          <w:szCs w:val="32"/>
          <w:lang w:val="en-US" w:eastAsia="zh-CN"/>
        </w:rPr>
        <w:t>213</w:t>
      </w:r>
      <w:r>
        <w:rPr>
          <w:rFonts w:hint="eastAsia" w:ascii="仿宋" w:hAnsi="仿宋" w:eastAsia="仿宋" w:cs="仿宋"/>
          <w:bCs/>
          <w:kern w:val="0"/>
          <w:sz w:val="32"/>
          <w:szCs w:val="32"/>
        </w:rPr>
        <w:t>项）支出年初预算为</w:t>
      </w:r>
      <w:r>
        <w:rPr>
          <w:rFonts w:hint="eastAsia" w:ascii="仿宋" w:hAnsi="仿宋" w:eastAsia="仿宋" w:cs="仿宋"/>
          <w:bCs/>
          <w:kern w:val="0"/>
          <w:sz w:val="32"/>
          <w:szCs w:val="32"/>
          <w:lang w:val="en-US" w:eastAsia="zh-CN"/>
        </w:rPr>
        <w:t>92.13万元</w:t>
      </w:r>
      <w:r>
        <w:rPr>
          <w:rFonts w:hint="eastAsia" w:ascii="仿宋" w:hAnsi="仿宋" w:eastAsia="仿宋" w:cs="仿宋"/>
          <w:bCs/>
          <w:kern w:val="0"/>
          <w:sz w:val="32"/>
          <w:szCs w:val="32"/>
        </w:rPr>
        <w:t>，支出决算为</w:t>
      </w:r>
      <w:r>
        <w:rPr>
          <w:rFonts w:hint="eastAsia" w:ascii="仿宋" w:hAnsi="仿宋" w:eastAsia="仿宋" w:cs="仿宋"/>
          <w:bCs/>
          <w:kern w:val="0"/>
          <w:sz w:val="32"/>
          <w:szCs w:val="32"/>
          <w:lang w:val="en-US" w:eastAsia="zh-CN"/>
        </w:rPr>
        <w:t>564.33万元</w:t>
      </w:r>
      <w:r>
        <w:rPr>
          <w:rFonts w:hint="eastAsia" w:ascii="仿宋" w:hAnsi="仿宋" w:eastAsia="仿宋" w:cs="仿宋"/>
          <w:bCs/>
          <w:kern w:val="0"/>
          <w:sz w:val="32"/>
          <w:szCs w:val="32"/>
        </w:rPr>
        <w:t>，完成年初预算的</w:t>
      </w:r>
      <w:r>
        <w:rPr>
          <w:rFonts w:hint="eastAsia" w:ascii="仿宋" w:hAnsi="仿宋" w:eastAsia="仿宋" w:cs="仿宋"/>
          <w:bCs/>
          <w:kern w:val="0"/>
          <w:sz w:val="32"/>
          <w:szCs w:val="32"/>
          <w:lang w:val="en-US" w:eastAsia="zh-CN"/>
        </w:rPr>
        <w:t>612.54</w:t>
      </w: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val="en-US" w:eastAsia="zh-CN"/>
        </w:rPr>
        <w:t>预决算差异</w:t>
      </w:r>
      <w:r>
        <w:rPr>
          <w:rFonts w:hint="eastAsia" w:ascii="仿宋" w:hAnsi="仿宋" w:eastAsia="仿宋" w:cs="仿宋"/>
          <w:bCs/>
          <w:kern w:val="0"/>
          <w:sz w:val="32"/>
          <w:szCs w:val="32"/>
        </w:rPr>
        <w:t>主要</w:t>
      </w:r>
      <w:r>
        <w:rPr>
          <w:rFonts w:hint="eastAsia" w:ascii="仿宋" w:hAnsi="仿宋" w:eastAsia="仿宋" w:cs="仿宋"/>
          <w:bCs/>
          <w:kern w:val="0"/>
          <w:sz w:val="32"/>
          <w:szCs w:val="32"/>
          <w:lang w:val="en-US" w:eastAsia="zh-CN"/>
        </w:rPr>
        <w:t>原因是：上级专项补助资金年初无预算及财政增拨农村土地承包管理工作经费。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800"/>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415.63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614.54%</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5"/>
                <w:szCs w:val="15"/>
                <w:highlight w:val="none"/>
                <w:lang w:val="en-US" w:eastAsia="zh-CN"/>
              </w:rPr>
            </w:pPr>
            <w:r>
              <w:rPr>
                <w:rFonts w:hint="eastAsia" w:asciiTheme="minorEastAsia" w:hAnsiTheme="minorEastAsia" w:eastAsiaTheme="minorEastAsia" w:cstheme="minorEastAsia"/>
                <w:kern w:val="0"/>
                <w:sz w:val="20"/>
                <w:szCs w:val="20"/>
              </w:rPr>
              <w:t>根据国家规定的基本工资和津补贴标准等安排的人员经费支出，确保移民局机关正常运转的办公费、印刷费、水电费、培训费、差旅费、会议费等日常公用经费支出</w:t>
            </w:r>
            <w:r>
              <w:rPr>
                <w:rFonts w:hint="eastAsia" w:asciiTheme="minorEastAsia" w:hAnsiTheme="minorEastAsia" w:cstheme="minorEastAsia"/>
                <w:kern w:val="0"/>
                <w:sz w:val="20"/>
                <w:szCs w:val="20"/>
                <w:lang w:val="en-US" w:eastAsia="zh-CN"/>
              </w:rPr>
              <w:t>及为开展土地承包管理所需要的运转经费支出等</w:t>
            </w:r>
            <w:r>
              <w:rPr>
                <w:rFonts w:hint="eastAsia" w:asciiTheme="minorEastAsia" w:hAnsiTheme="minorEastAsia" w:eastAsiaTheme="minorEastAsia" w:cstheme="minorEastAsia"/>
                <w:kern w:val="0"/>
                <w:sz w:val="20"/>
                <w:szCs w:val="20"/>
              </w:rPr>
              <w:t>。</w:t>
            </w: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15"/>
                <w:szCs w:val="15"/>
                <w:highlight w:val="none"/>
                <w:lang w:val="en-US" w:eastAsia="zh-CN"/>
              </w:rPr>
            </w:pPr>
            <w:r>
              <w:rPr>
                <w:rFonts w:hint="eastAsia" w:asciiTheme="minorEastAsia" w:hAnsiTheme="minorEastAsia" w:eastAsiaTheme="minorEastAsia" w:cstheme="minorEastAsia"/>
                <w:bCs/>
                <w:kern w:val="0"/>
                <w:sz w:val="21"/>
                <w:szCs w:val="21"/>
                <w:lang w:val="en-US" w:eastAsia="zh-CN"/>
              </w:rPr>
              <w:t>增拨农村土地承包管理工作经费年初无预算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农业生产发展</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61.00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21"/>
                <w:szCs w:val="21"/>
                <w:highlight w:val="none"/>
                <w:lang w:val="en-US" w:eastAsia="zh-CN"/>
              </w:rPr>
            </w:pPr>
            <w:r>
              <w:rPr>
                <w:rFonts w:hint="eastAsia" w:asciiTheme="minorEastAsia" w:hAnsiTheme="minorEastAsia" w:eastAsiaTheme="minorEastAsia" w:cstheme="minorEastAsia"/>
                <w:kern w:val="0"/>
                <w:sz w:val="18"/>
                <w:szCs w:val="18"/>
                <w:lang w:val="en-US" w:eastAsia="zh-CN"/>
              </w:rPr>
              <w:t>农业生产发展支出，如家庭农场、合作社、龙头企业</w:t>
            </w:r>
            <w:r>
              <w:rPr>
                <w:rFonts w:hint="eastAsia" w:asciiTheme="minorEastAsia" w:hAnsiTheme="minorEastAsia" w:eastAsiaTheme="minorEastAsia" w:cstheme="minorEastAsia"/>
                <w:kern w:val="0"/>
                <w:sz w:val="21"/>
                <w:szCs w:val="21"/>
                <w:lang w:val="en-US" w:eastAsia="zh-CN"/>
              </w:rPr>
              <w:t>等</w:t>
            </w: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kern w:val="0"/>
                <w:sz w:val="21"/>
                <w:szCs w:val="21"/>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2130124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农村合作经济</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21"/>
                <w:szCs w:val="21"/>
                <w:highlight w:val="none"/>
                <w:lang w:val="en-US" w:eastAsia="zh-CN"/>
              </w:rPr>
            </w:pPr>
            <w:r>
              <w:rPr>
                <w:rFonts w:hint="eastAsia" w:asciiTheme="minorEastAsia" w:hAnsiTheme="minorEastAsia" w:eastAsiaTheme="minorEastAsia" w:cstheme="minorEastAsia"/>
                <w:kern w:val="0"/>
                <w:sz w:val="18"/>
                <w:szCs w:val="18"/>
                <w:lang w:val="en-US" w:eastAsia="zh-CN"/>
              </w:rPr>
              <w:t>农村合作经济支出，如：生态种养专业合作社等项目</w:t>
            </w: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i w:val="0"/>
                <w:iCs w:val="0"/>
                <w:color w:val="000000"/>
                <w:sz w:val="20"/>
                <w:szCs w:val="20"/>
                <w:highlight w:val="none"/>
                <w:u w:val="none"/>
                <w:lang w:val="en-US" w:eastAsia="zh-CN"/>
              </w:rPr>
              <w:t xml:space="preserve">  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29.70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Theme="minorEastAsia" w:hAnsiTheme="minorEastAsia" w:eastAsiaTheme="minorEastAsia" w:cstheme="minorEastAsia"/>
                <w:kern w:val="0"/>
                <w:sz w:val="18"/>
                <w:szCs w:val="18"/>
                <w:lang w:val="en-US" w:eastAsia="zh-CN"/>
              </w:rPr>
              <w:t>印制农村股份经济合作社股权证经费</w:t>
            </w: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564.33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0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p>
        </w:tc>
        <w:tc>
          <w:tcPr>
            <w:tcW w:w="18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 w:hAnsi="仿宋" w:eastAsia="仿宋" w:cs="仿宋"/>
          <w:bCs/>
          <w:kern w:val="0"/>
          <w:sz w:val="32"/>
          <w:szCs w:val="32"/>
          <w:lang w:val="en-US" w:eastAsia="zh-CN"/>
        </w:rPr>
      </w:pPr>
    </w:p>
    <w:p>
      <w:pPr>
        <w:jc w:val="center"/>
        <w:rPr>
          <w:rFonts w:hint="eastAsia" w:ascii="仿宋" w:hAnsi="仿宋" w:eastAsia="仿宋" w:cs="仿宋"/>
          <w:bCs/>
          <w:kern w:val="0"/>
          <w:sz w:val="32"/>
          <w:szCs w:val="32"/>
          <w:lang w:eastAsia="zh-CN"/>
        </w:rPr>
      </w:pPr>
      <w:r>
        <w:rPr>
          <w:rFonts w:hint="eastAsia" w:ascii="仿宋" w:hAnsi="仿宋" w:eastAsia="仿宋" w:cs="仿宋"/>
          <w:sz w:val="32"/>
          <w:szCs w:val="32"/>
          <w:highlight w:val="none"/>
        </w:rPr>
        <w:drawing>
          <wp:inline distT="0" distB="0" distL="114300" distR="114300">
            <wp:extent cx="4474845" cy="2997200"/>
            <wp:effectExtent l="5080" t="4445" r="15875"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leftChars="0" w:right="0" w:rightChars="0"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四）</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w:t>
      </w:r>
      <w:r>
        <w:rPr>
          <w:rFonts w:hint="eastAsia" w:ascii="仿宋" w:hAnsi="仿宋" w:eastAsia="仿宋" w:cs="仿宋"/>
          <w:bCs/>
          <w:kern w:val="0"/>
          <w:sz w:val="32"/>
          <w:szCs w:val="32"/>
        </w:rPr>
        <w:t>年初预算为</w:t>
      </w:r>
      <w:r>
        <w:rPr>
          <w:rFonts w:hint="eastAsia" w:ascii="仿宋" w:hAnsi="仿宋" w:eastAsia="仿宋" w:cs="仿宋"/>
          <w:bCs/>
          <w:kern w:val="0"/>
          <w:sz w:val="32"/>
          <w:szCs w:val="32"/>
          <w:lang w:val="en-US" w:eastAsia="zh-CN"/>
        </w:rPr>
        <w:t>8.78</w:t>
      </w:r>
      <w:r>
        <w:rPr>
          <w:rFonts w:hint="eastAsia" w:ascii="仿宋" w:hAnsi="仿宋" w:eastAsia="仿宋" w:cs="仿宋"/>
          <w:bCs/>
          <w:kern w:val="0"/>
          <w:sz w:val="32"/>
          <w:szCs w:val="32"/>
        </w:rPr>
        <w:t>万元，支出决算为</w:t>
      </w:r>
      <w:r>
        <w:rPr>
          <w:rFonts w:hint="eastAsia" w:ascii="仿宋" w:hAnsi="仿宋" w:eastAsia="仿宋" w:cs="仿宋"/>
          <w:bCs/>
          <w:kern w:val="0"/>
          <w:sz w:val="32"/>
          <w:szCs w:val="32"/>
          <w:lang w:val="en-US" w:eastAsia="zh-CN"/>
        </w:rPr>
        <w:t>7.83</w:t>
      </w:r>
      <w:r>
        <w:rPr>
          <w:rFonts w:hint="eastAsia" w:ascii="仿宋" w:hAnsi="仿宋" w:eastAsia="仿宋" w:cs="仿宋"/>
          <w:bCs/>
          <w:kern w:val="0"/>
          <w:sz w:val="32"/>
          <w:szCs w:val="32"/>
        </w:rPr>
        <w:t>万元，完成年初预算的</w:t>
      </w:r>
      <w:r>
        <w:rPr>
          <w:rFonts w:hint="eastAsia" w:ascii="仿宋" w:hAnsi="仿宋" w:eastAsia="仿宋" w:cs="仿宋"/>
          <w:bCs/>
          <w:kern w:val="0"/>
          <w:sz w:val="32"/>
          <w:szCs w:val="32"/>
          <w:lang w:val="en-US" w:eastAsia="zh-CN"/>
        </w:rPr>
        <w:t>89.18</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预决算差异</w:t>
      </w:r>
      <w:r>
        <w:rPr>
          <w:rFonts w:hint="eastAsia" w:ascii="仿宋" w:hAnsi="仿宋" w:eastAsia="仿宋" w:cs="仿宋"/>
          <w:bCs/>
          <w:kern w:val="0"/>
          <w:sz w:val="32"/>
          <w:szCs w:val="32"/>
        </w:rPr>
        <w:t>主</w:t>
      </w:r>
      <w:r>
        <w:rPr>
          <w:rFonts w:hint="eastAsia" w:ascii="仿宋" w:hAnsi="仿宋" w:eastAsia="仿宋" w:cs="仿宋_GB2312"/>
          <w:kern w:val="0"/>
          <w:sz w:val="32"/>
          <w:szCs w:val="32"/>
        </w:rPr>
        <w:t>要原因是</w:t>
      </w:r>
      <w:r>
        <w:rPr>
          <w:rFonts w:hint="eastAsia" w:ascii="仿宋" w:hAnsi="仿宋" w:eastAsia="仿宋" w:cs="仿宋_GB2312"/>
          <w:kern w:val="0"/>
          <w:sz w:val="32"/>
          <w:szCs w:val="32"/>
          <w:lang w:val="en-US" w:eastAsia="zh-CN"/>
        </w:rPr>
        <w:t>基数调整</w:t>
      </w:r>
      <w:r>
        <w:rPr>
          <w:rFonts w:hint="eastAsia" w:ascii="仿宋" w:hAnsi="仿宋" w:eastAsia="仿宋" w:cs="仿宋_GB2312"/>
          <w:kern w:val="0"/>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89.18%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kern w:val="0"/>
                <w:sz w:val="20"/>
                <w:szCs w:val="20"/>
              </w:rPr>
              <w:t>按照国家政策规定向职工发放的住房公积金方面的支出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bCs/>
                <w:kern w:val="0"/>
                <w:sz w:val="21"/>
                <w:szCs w:val="21"/>
                <w:lang w:val="en-US" w:eastAsia="zh-CN"/>
              </w:rPr>
              <w:t>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22.13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原因是：年初无预算。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kern w:val="0"/>
                <w:sz w:val="20"/>
                <w:szCs w:val="20"/>
                <w:lang w:val="en-US" w:eastAsia="zh-CN"/>
              </w:rPr>
              <w:t>本部门及所属事业单位人员的年终绩效奖金</w:t>
            </w:r>
            <w:r>
              <w:rPr>
                <w:rFonts w:hint="eastAsia" w:asciiTheme="minorEastAsia" w:hAnsiTheme="minorEastAsia" w:cstheme="minorEastAsia"/>
                <w:kern w:val="0"/>
                <w:sz w:val="20"/>
                <w:szCs w:val="20"/>
                <w:lang w:val="en-US" w:eastAsia="zh-CN"/>
              </w:rPr>
              <w:t>和伙食补助</w:t>
            </w:r>
            <w:r>
              <w:rPr>
                <w:rFonts w:hint="eastAsia" w:asciiTheme="minorEastAsia" w:hAnsiTheme="minorEastAsia" w:eastAsiaTheme="minorEastAsia" w:cstheme="minorEastAsia"/>
                <w:kern w:val="0"/>
                <w:sz w:val="20"/>
                <w:szCs w:val="20"/>
              </w:rPr>
              <w:t>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cstheme="minorEastAsia"/>
                <w:color w:val="000000" w:themeColor="text1"/>
                <w:sz w:val="20"/>
                <w:szCs w:val="20"/>
                <w:highlight w:val="none"/>
                <w:lang w:val="en-US" w:eastAsia="zh-CN"/>
                <w14:textFill>
                  <w14:solidFill>
                    <w14:schemeClr w14:val="tx1"/>
                  </w14:solidFill>
                </w14:textFill>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kinsoku/>
        <w:wordWrap/>
        <w:overflowPunct/>
        <w:topLinePunct w:val="0"/>
        <w:autoSpaceDE w:val="0"/>
        <w:autoSpaceDN w:val="0"/>
        <w:bidi w:val="0"/>
        <w:adjustRightInd w:val="0"/>
        <w:spacing w:line="560" w:lineRule="exact"/>
        <w:jc w:val="both"/>
        <w:textAlignment w:val="auto"/>
        <w:rPr>
          <w:rFonts w:hint="eastAsia" w:ascii="仿宋" w:hAnsi="仿宋" w:eastAsia="仿宋" w:cs="仿宋_GB2312"/>
          <w:kern w:val="0"/>
          <w:sz w:val="32"/>
          <w:szCs w:val="32"/>
          <w:lang w:val="en-US" w:eastAsia="zh-CN"/>
        </w:rPr>
      </w:pPr>
    </w:p>
    <w:p>
      <w:pPr>
        <w:jc w:val="center"/>
        <w:rPr>
          <w:rFonts w:hint="eastAsia" w:ascii="仿宋" w:hAnsi="仿宋" w:eastAsia="仿宋" w:cs="仿宋_GB2312"/>
          <w:kern w:val="0"/>
          <w:sz w:val="32"/>
          <w:szCs w:val="32"/>
          <w:lang w:val="en-US" w:eastAsia="zh-CN"/>
        </w:rPr>
      </w:pPr>
      <w:r>
        <w:rPr>
          <w:rFonts w:hint="eastAsia" w:ascii="仿宋" w:hAnsi="仿宋" w:eastAsia="仿宋" w:cs="仿宋"/>
          <w:sz w:val="32"/>
          <w:szCs w:val="32"/>
          <w:highlight w:val="none"/>
        </w:rPr>
        <w:drawing>
          <wp:inline distT="0" distB="0" distL="114300" distR="114300">
            <wp:extent cx="4474845" cy="3215640"/>
            <wp:effectExtent l="4445" t="4445" r="16510" b="18415"/>
            <wp:docPr id="9"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本单位</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128.89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118.53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10.36</w:t>
      </w:r>
      <w:r>
        <w:rPr>
          <w:rFonts w:hint="default" w:ascii="仿宋_GB2312" w:hAnsi="微软雅黑" w:eastAsia="仿宋_GB2312" w:cs="仿宋_GB2312"/>
          <w:i w:val="0"/>
          <w:iCs w:val="0"/>
          <w:caps w:val="0"/>
          <w:color w:val="000000"/>
          <w:spacing w:val="0"/>
          <w:sz w:val="31"/>
          <w:szCs w:val="31"/>
          <w:highlight w:val="none"/>
          <w:shd w:val="clear" w:color="auto" w:fill="FFFFFF"/>
        </w:rPr>
        <w:t>元，</w:t>
      </w:r>
      <w:r>
        <w:rPr>
          <w:rFonts w:hint="eastAsia" w:ascii="仿宋" w:hAnsi="仿宋" w:eastAsia="仿宋" w:cs="仿宋"/>
          <w:sz w:val="32"/>
          <w:szCs w:val="32"/>
          <w:highlight w:val="none"/>
        </w:rPr>
        <w:t>支出具体情况如下：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both"/>
        <w:textAlignment w:val="auto"/>
        <w:rPr>
          <w:rFonts w:ascii="仿宋_GB2312" w:eastAsia="仿宋_GB2312"/>
          <w:bCs/>
          <w:kern w:val="0"/>
          <w:sz w:val="32"/>
          <w:szCs w:val="32"/>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113.88</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128.33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bCs/>
          <w:kern w:val="0"/>
          <w:sz w:val="32"/>
          <w:szCs w:val="32"/>
        </w:rPr>
        <w:t>预决算差异主要是：</w:t>
      </w:r>
      <w:r>
        <w:rPr>
          <w:rFonts w:hint="eastAsia" w:ascii="仿宋_GB2312" w:eastAsia="仿宋_GB2312"/>
          <w:bCs/>
          <w:kern w:val="0"/>
          <w:sz w:val="32"/>
          <w:szCs w:val="32"/>
        </w:rPr>
        <w:t>发</w:t>
      </w:r>
      <w:r>
        <w:rPr>
          <w:rFonts w:hint="eastAsia" w:ascii="仿宋_GB2312" w:hAnsi="仿宋_GB2312" w:eastAsia="仿宋_GB2312" w:cs="仿宋_GB2312"/>
          <w:kern w:val="0"/>
          <w:sz w:val="32"/>
          <w:szCs w:val="32"/>
        </w:rPr>
        <w:t>放的职工绩效考评奖及</w:t>
      </w:r>
      <w:r>
        <w:rPr>
          <w:rFonts w:hint="eastAsia" w:ascii="仿宋_GB2312" w:hAnsi="仿宋_GB2312" w:eastAsia="仿宋_GB2312" w:cs="仿宋_GB2312"/>
          <w:kern w:val="0"/>
          <w:sz w:val="32"/>
          <w:szCs w:val="32"/>
          <w:lang w:val="en-US" w:eastAsia="zh-CN"/>
        </w:rPr>
        <w:t>伙食补助费</w:t>
      </w:r>
      <w:r>
        <w:rPr>
          <w:rFonts w:hint="eastAsia" w:ascii="仿宋_GB2312" w:hAnsi="仿宋_GB2312" w:eastAsia="仿宋_GB2312" w:cs="仿宋_GB2312"/>
          <w:kern w:val="0"/>
          <w:sz w:val="32"/>
          <w:szCs w:val="32"/>
        </w:rPr>
        <w:t>没有列入年初预算</w:t>
      </w:r>
      <w:r>
        <w:rPr>
          <w:rFonts w:hint="eastAsia" w:ascii="仿宋_GB2312" w:eastAsia="仿宋_GB2312"/>
          <w:bCs/>
          <w:kern w:val="0"/>
          <w:sz w:val="32"/>
          <w:szCs w:val="32"/>
        </w:rPr>
        <w:t>。</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29.13万元，30102津贴补贴17.53万元，30103奖金27.45万元，30106伙食补助费1.20万元，30108机关事业单位基本养老保险缴费12.97万元，30110职工基本医疗保险缴费5.32万元，30112其他社会保障缴费0.43万元，30113住房公积金7.92万元，30199其他工资福利支出11.92万元。</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474845" cy="2978150"/>
            <wp:effectExtent l="4445" t="4445" r="16510" b="825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10.36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97.64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bCs/>
          <w:kern w:val="0"/>
          <w:sz w:val="32"/>
          <w:szCs w:val="32"/>
        </w:rPr>
        <w:t>预决算差异主要是：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本单位贯彻落实厉行节约的有关规定，控制开支，不铺张浪费。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30201办公费1.10万元，30205水费0.10万元，30206电费0.24万元，30207邮电费1.16万元，30228工会经费1.46万元，30239其他交通费用 6.30万元。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829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微软雅黑" w:eastAsia="仿宋_GB2312" w:cs="仿宋_GB2312"/>
          <w:i w:val="0"/>
          <w:iCs w:val="0"/>
          <w:caps w:val="0"/>
          <w:color w:val="000000"/>
          <w:spacing w:val="0"/>
          <w:sz w:val="31"/>
          <w:szCs w:val="31"/>
          <w:highlight w:val="none"/>
          <w:shd w:val="clear" w:color="auto" w:fill="FFFFFF"/>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4.65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119.54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30301离休费0万元，30302退休费0万元，30305生活补助4.65万元。</w:t>
      </w:r>
    </w:p>
    <w:p>
      <w:pPr>
        <w:numPr>
          <w:ilvl w:val="0"/>
          <w:numId w:val="0"/>
        </w:numPr>
        <w:ind w:left="420" w:lef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主要原因是：本单位无该项支出年初预算及支出。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numPr>
          <w:ilvl w:val="0"/>
          <w:numId w:val="0"/>
        </w:numPr>
        <w:ind w:left="420" w:lef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298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主要原因是：本单位无该项支出年初预算及支出。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numPr>
          <w:ilvl w:val="0"/>
          <w:numId w:val="0"/>
        </w:numPr>
        <w:ind w:left="420" w:lef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044825"/>
            <wp:effectExtent l="4445" t="4445" r="1651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lang w:val="en-US" w:eastAsia="zh-CN"/>
        </w:rPr>
        <w:t>六）</w:t>
      </w:r>
      <w:r>
        <w:rPr>
          <w:rFonts w:hint="eastAsia" w:ascii="仿宋" w:hAnsi="仿宋" w:eastAsia="仿宋" w:cs="仿宋_GB2312"/>
          <w:kern w:val="0"/>
          <w:sz w:val="32"/>
          <w:szCs w:val="32"/>
        </w:rPr>
        <w:t>其他支出</w:t>
      </w:r>
      <w:r>
        <w:rPr>
          <w:rFonts w:hint="eastAsia" w:ascii="仿宋" w:hAnsi="仿宋" w:eastAsia="仿宋" w:cs="仿宋"/>
          <w:bCs/>
          <w:kern w:val="0"/>
          <w:sz w:val="32"/>
          <w:szCs w:val="32"/>
        </w:rPr>
        <w:t xml:space="preserve"> 0 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主要原因是：本单位无该项支出年初预算及支出。</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numPr>
          <w:ilvl w:val="0"/>
          <w:numId w:val="0"/>
        </w:numPr>
        <w:ind w:left="420" w:left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drawing>
          <wp:inline distT="0" distB="0" distL="114300" distR="114300">
            <wp:extent cx="4474845" cy="2931160"/>
            <wp:effectExtent l="4445" t="4445" r="16510" b="1714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640" w:firstLineChars="200"/>
        <w:jc w:val="left"/>
        <w:rPr>
          <w:rFonts w:hint="default"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imes New Roman" w:eastAsia="仿宋_GB2312" w:cs="Times New Roman"/>
          <w:color w:val="FF0000"/>
          <w:sz w:val="32"/>
          <w:szCs w:val="32"/>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本</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单位</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_GB2312" w:cs="仿宋"/>
          <w:sz w:val="32"/>
          <w:szCs w:val="32"/>
          <w:highlight w:val="none"/>
          <w:lang w:eastAsia="zh-CN"/>
        </w:rPr>
      </w:pPr>
      <w:bookmarkStart w:id="2" w:name="PO_part3A5B1C1DiffReason1"/>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本</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单位</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2"/>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减少0.02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_GB2312"/>
          <w:kern w:val="0"/>
          <w:sz w:val="32"/>
          <w:szCs w:val="32"/>
        </w:rPr>
        <w:t>认真贯彻落实中央“八项规定”精神和厉行节约要求，严控和压缩“三公”经费相关支出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3"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3"/>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本部门无公务用车。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color w:val="FF0000"/>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2022年，</w:t>
      </w:r>
      <w:r>
        <w:rPr>
          <w:rFonts w:hint="eastAsia" w:ascii="仿宋" w:hAnsi="仿宋" w:eastAsia="仿宋" w:cs="仿宋"/>
          <w:color w:val="000000" w:themeColor="text1"/>
          <w:sz w:val="32"/>
          <w:u w:color="auto"/>
          <w:lang w:val="en-US" w:eastAsia="zh-CN"/>
          <w14:textFill>
            <w14:solidFill>
              <w14:schemeClr w14:val="tx1"/>
            </w14:solidFill>
          </w14:textFill>
        </w:rPr>
        <w:t>本</w:t>
      </w:r>
      <w:r>
        <w:rPr>
          <w:rFonts w:hint="eastAsia" w:ascii="仿宋" w:hAnsi="仿宋" w:eastAsia="仿宋" w:cs="仿宋"/>
          <w:color w:val="000000" w:themeColor="text1"/>
          <w:sz w:val="32"/>
          <w:u w:color="auto"/>
          <w:lang w:eastAsia="zh-CN"/>
          <w14:textFill>
            <w14:solidFill>
              <w14:schemeClr w14:val="tx1"/>
            </w14:solidFill>
          </w14:textFill>
        </w:rPr>
        <w:t>单位</w:t>
      </w:r>
      <w:r>
        <w:rPr>
          <w:rFonts w:hint="eastAsia" w:ascii="仿宋" w:hAnsi="仿宋" w:eastAsia="仿宋" w:cs="仿宋"/>
          <w:color w:val="000000" w:themeColor="text1"/>
          <w:sz w:val="32"/>
          <w:szCs w:val="32"/>
          <w:highlight w:val="none"/>
          <w14:textFill>
            <w14:solidFill>
              <w14:schemeClr w14:val="tx1"/>
            </w14:solidFill>
          </w14:textFill>
        </w:rPr>
        <w:t>及</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0个</w:t>
      </w:r>
      <w:r>
        <w:rPr>
          <w:rFonts w:hint="eastAsia" w:ascii="仿宋" w:hAnsi="仿宋" w:eastAsia="仿宋" w:cs="仿宋"/>
          <w:color w:val="000000" w:themeColor="text1"/>
          <w:sz w:val="32"/>
          <w:szCs w:val="32"/>
          <w:highlight w:val="none"/>
          <w14:textFill>
            <w14:solidFill>
              <w14:schemeClr w14:val="tx1"/>
            </w14:solidFill>
          </w14:textFill>
        </w:rPr>
        <w:t>所属单位开支财政拨款的公务</w:t>
      </w:r>
      <w:r>
        <w:rPr>
          <w:rFonts w:hint="eastAsia" w:ascii="仿宋" w:hAnsi="仿宋" w:eastAsia="仿宋" w:cs="仿宋"/>
          <w:color w:val="auto"/>
          <w:sz w:val="32"/>
          <w:szCs w:val="32"/>
          <w:highlight w:val="none"/>
        </w:rPr>
        <w:t>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 xml:space="preserve">  万元。</w:t>
      </w:r>
    </w:p>
    <w:p>
      <w:pPr>
        <w:keepNext w:val="0"/>
        <w:keepLines w:val="0"/>
        <w:pageBreakBefore w:val="0"/>
        <w:widowControl w:val="0"/>
        <w:suppressLineNumbers w:val="0"/>
        <w:kinsoku/>
        <w:wordWrap/>
        <w:overflowPunct/>
        <w:topLinePunct w:val="0"/>
        <w:bidi w:val="0"/>
        <w:snapToGrid/>
        <w:spacing w:before="0" w:beforeAutospacing="0" w:after="0" w:afterAutospacing="0"/>
        <w:ind w:left="0" w:right="0" w:firstLine="640" w:firstLineChars="200"/>
        <w:jc w:val="both"/>
        <w:textAlignment w:val="auto"/>
        <w:rPr>
          <w:rFonts w:ascii="仿宋" w:hAnsi="仿宋" w:eastAsia="仿宋" w:cs="仿宋"/>
          <w:bCs/>
          <w:color w:val="FF0000"/>
          <w:kern w:val="0"/>
          <w:sz w:val="32"/>
          <w:szCs w:val="32"/>
          <w:u w:val="singl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0.35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减少0.02</w:t>
      </w:r>
      <w:r>
        <w:rPr>
          <w:rFonts w:hint="eastAsia" w:ascii="仿宋" w:hAnsi="仿宋" w:eastAsia="仿宋" w:cs="仿宋"/>
          <w:sz w:val="32"/>
          <w:szCs w:val="32"/>
          <w:highlight w:val="none"/>
        </w:rPr>
        <w:t>万元，</w:t>
      </w:r>
      <w:r>
        <w:rPr>
          <w:rFonts w:hint="eastAsia" w:ascii="仿宋" w:hAnsi="仿宋" w:eastAsia="仿宋" w:cs="仿宋"/>
          <w:bCs/>
          <w:spacing w:val="6"/>
          <w:kern w:val="0"/>
          <w:sz w:val="32"/>
          <w:szCs w:val="32"/>
        </w:rPr>
        <w:t>主要原因是：认真贯彻落实中央“八项规定”精神和厉行节约要求，严控和压缩“三公”经费相关支</w:t>
      </w:r>
      <w:r>
        <w:rPr>
          <w:rFonts w:hint="eastAsia" w:ascii="仿宋" w:hAnsi="仿宋" w:eastAsia="仿宋" w:cs="仿宋"/>
          <w:bCs/>
          <w:kern w:val="0"/>
          <w:sz w:val="32"/>
          <w:szCs w:val="32"/>
        </w:rPr>
        <w:t>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8</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31</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keepNext w:val="0"/>
        <w:keepLines w:val="0"/>
        <w:pageBreakBefore w:val="0"/>
        <w:widowControl w:val="0"/>
        <w:kinsoku/>
        <w:wordWrap/>
        <w:overflowPunct/>
        <w:topLinePunct w:val="0"/>
        <w:bidi w:val="0"/>
        <w:snapToGrid/>
        <w:spacing w:line="520" w:lineRule="exact"/>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val="0"/>
        <w:kinsoku/>
        <w:wordWrap/>
        <w:overflowPunct/>
        <w:topLinePunct w:val="0"/>
        <w:bidi w:val="0"/>
        <w:snapToGrid/>
        <w:spacing w:line="520" w:lineRule="exact"/>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default"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10.36</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0.25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2.31</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2.36</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29.5</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kern w:val="0"/>
          <w:sz w:val="32"/>
          <w:szCs w:val="32"/>
        </w:rPr>
        <w:t>主要原因是：</w:t>
      </w:r>
      <w:r>
        <w:rPr>
          <w:rFonts w:hint="eastAsia" w:ascii="仿宋" w:hAnsi="仿宋" w:eastAsia="仿宋" w:cs="仿宋"/>
          <w:i w:val="0"/>
          <w:iCs w:val="0"/>
          <w:caps w:val="0"/>
          <w:color w:val="333333"/>
          <w:spacing w:val="0"/>
          <w:sz w:val="32"/>
          <w:szCs w:val="32"/>
          <w:shd w:val="clear" w:fill="FFFFFF"/>
          <w:lang w:val="en-US" w:eastAsia="zh-CN"/>
        </w:rPr>
        <w:t>其他交通费用增加。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3" w:firstLineChars="200"/>
        <w:jc w:val="both"/>
        <w:textAlignment w:val="auto"/>
        <w:rPr>
          <w:rFonts w:ascii="仿宋" w:hAnsi="仿宋" w:eastAsia="仿宋" w:cs="仿宋"/>
          <w:b/>
          <w:bCs/>
          <w:kern w:val="0"/>
          <w:sz w:val="32"/>
          <w:szCs w:val="32"/>
        </w:rPr>
      </w:pPr>
      <w:r>
        <w:rPr>
          <w:rFonts w:hint="eastAsia" w:ascii="仿宋" w:hAnsi="仿宋" w:eastAsia="仿宋" w:cs="仿宋"/>
          <w:b/>
          <w:bCs/>
          <w:kern w:val="0"/>
          <w:sz w:val="32"/>
          <w:szCs w:val="32"/>
        </w:rPr>
        <w:t>（二）政府采购支出情况说明。</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both"/>
        <w:textAlignment w:val="auto"/>
        <w:rPr>
          <w:rFonts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年度本部门政府采购支出总额0万元，其中：政府采购货</w:t>
      </w:r>
      <w:r>
        <w:rPr>
          <w:rFonts w:hint="eastAsia" w:ascii="仿宋" w:hAnsi="仿宋" w:eastAsia="仿宋" w:cs="仿宋"/>
          <w:spacing w:val="-3"/>
          <w:kern w:val="0"/>
          <w:sz w:val="32"/>
          <w:szCs w:val="32"/>
        </w:rPr>
        <w:t xml:space="preserve">物支出 0 万元、政府采购工程支出  0万元、政府采购服务支出0 </w:t>
      </w:r>
      <w:r>
        <w:rPr>
          <w:rFonts w:hint="eastAsia" w:ascii="仿宋" w:hAnsi="仿宋" w:eastAsia="仿宋" w:cs="仿宋"/>
          <w:kern w:val="0"/>
          <w:sz w:val="32"/>
          <w:szCs w:val="32"/>
        </w:rPr>
        <w:t>万元，授予中小企业合同金额 0 万元，占政府采购支出总额的 0 %，其中：授予小微企业合同金额 0万元，占政府采购支出总额的 0 %。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3" w:firstLineChars="200"/>
        <w:jc w:val="both"/>
        <w:textAlignment w:val="auto"/>
        <w:rPr>
          <w:rFonts w:ascii="仿宋" w:hAnsi="仿宋" w:eastAsia="仿宋" w:cs="仿宋"/>
          <w:b/>
          <w:bCs/>
          <w:kern w:val="0"/>
          <w:sz w:val="32"/>
          <w:szCs w:val="32"/>
        </w:rPr>
      </w:pPr>
      <w:r>
        <w:rPr>
          <w:rFonts w:hint="eastAsia" w:ascii="仿宋" w:hAnsi="仿宋" w:eastAsia="仿宋" w:cs="仿宋"/>
          <w:b/>
          <w:bCs/>
          <w:kern w:val="0"/>
          <w:sz w:val="32"/>
          <w:szCs w:val="32"/>
        </w:rPr>
        <w:t>（三）国有资产占用情况说明。</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483.28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79.74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both"/>
        <w:textAlignment w:val="auto"/>
        <w:rPr>
          <w:rFonts w:ascii="仿宋" w:hAnsi="仿宋" w:eastAsia="仿宋" w:cs="仿宋"/>
          <w:kern w:val="0"/>
          <w:sz w:val="32"/>
          <w:szCs w:val="32"/>
        </w:rPr>
      </w:pPr>
      <w:r>
        <w:rPr>
          <w:rFonts w:hint="eastAsia" w:ascii="仿宋" w:hAnsi="仿宋" w:eastAsia="仿宋" w:cs="仿宋"/>
          <w:color w:val="000000" w:themeColor="text1"/>
          <w:sz w:val="32"/>
          <w:szCs w:val="32"/>
          <w14:textFill>
            <w14:solidFill>
              <w14:schemeClr w14:val="tx1"/>
            </w14:solidFill>
          </w14:textFill>
        </w:rPr>
        <w:t>组织对“桂整合[2022]18号2022年第二批中央农业生产发展资金(农民合作社)”等</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483.28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kern w:val="0"/>
          <w:sz w:val="32"/>
          <w:szCs w:val="32"/>
        </w:rPr>
        <w:t>项目支出绩效情况理想，达到项目申请时设定的各项绩效目标。社会公众或服务对象满意度达9</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组织对“农村产权流转交易信息平台工作经费”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取得了良好的社会效益，服务对象满意度达到95%以上。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keepNext w:val="0"/>
        <w:keepLines w:val="0"/>
        <w:pageBreakBefore w:val="0"/>
        <w:widowControl/>
        <w:kinsoku/>
        <w:wordWrap/>
        <w:overflowPunct/>
        <w:topLinePunct w:val="0"/>
        <w:autoSpaceDE/>
        <w:autoSpaceDN/>
        <w:bidi w:val="0"/>
        <w:adjustRightInd/>
        <w:snapToGrid/>
        <w:spacing w:line="520" w:lineRule="exact"/>
        <w:ind w:firstLine="640"/>
        <w:jc w:val="both"/>
        <w:textAlignment w:val="auto"/>
        <w:rPr>
          <w:rFonts w:ascii="仿宋" w:hAnsi="仿宋" w:eastAsia="仿宋" w:cs="仿宋"/>
          <w:color w:val="FF0000"/>
          <w:kern w:val="0"/>
          <w:sz w:val="32"/>
          <w:szCs w:val="32"/>
          <w:u w:val="single"/>
        </w:rPr>
      </w:pPr>
      <w:r>
        <w:rPr>
          <w:rFonts w:hint="eastAsia" w:ascii="仿宋" w:hAnsi="仿宋" w:eastAsia="仿宋" w:cs="仿宋"/>
          <w:color w:val="000000" w:themeColor="text1"/>
          <w:sz w:val="32"/>
          <w:szCs w:val="32"/>
          <w14:textFill>
            <w14:solidFill>
              <w14:schemeClr w14:val="tx1"/>
            </w14:solidFill>
          </w14:textFill>
        </w:rPr>
        <w:t>我部门根据年初设定的绩效目标，“农村产权流转交易信息平台工作经费”项目自评得分为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kern w:val="0"/>
          <w:sz w:val="32"/>
          <w:szCs w:val="32"/>
          <w:lang w:val="en-US" w:eastAsia="zh-CN"/>
        </w:rPr>
        <w:t>农村产权流转交易信息平台运行正常开展，</w:t>
      </w:r>
      <w:r>
        <w:rPr>
          <w:rFonts w:hint="eastAsia" w:ascii="仿宋" w:hAnsi="仿宋" w:eastAsia="仿宋" w:cs="仿宋"/>
          <w:i w:val="0"/>
          <w:iCs w:val="0"/>
          <w:caps w:val="0"/>
          <w:color w:val="333333"/>
          <w:spacing w:val="0"/>
          <w:sz w:val="32"/>
          <w:szCs w:val="32"/>
        </w:rPr>
        <w:t>盘活</w:t>
      </w:r>
      <w:r>
        <w:rPr>
          <w:rFonts w:hint="eastAsia" w:ascii="仿宋" w:hAnsi="仿宋" w:eastAsia="仿宋" w:cs="仿宋"/>
          <w:i w:val="0"/>
          <w:iCs w:val="0"/>
          <w:caps w:val="0"/>
          <w:color w:val="333333"/>
          <w:spacing w:val="0"/>
          <w:sz w:val="32"/>
          <w:szCs w:val="32"/>
          <w:lang w:val="en-US" w:eastAsia="zh-CN"/>
        </w:rPr>
        <w:t>了</w:t>
      </w:r>
      <w:r>
        <w:rPr>
          <w:rFonts w:hint="eastAsia" w:ascii="仿宋" w:hAnsi="仿宋" w:eastAsia="仿宋" w:cs="仿宋"/>
          <w:i w:val="0"/>
          <w:iCs w:val="0"/>
          <w:caps w:val="0"/>
          <w:color w:val="333333"/>
          <w:spacing w:val="0"/>
          <w:sz w:val="32"/>
          <w:szCs w:val="32"/>
        </w:rPr>
        <w:t>农村资源要素，解决</w:t>
      </w:r>
      <w:r>
        <w:rPr>
          <w:rFonts w:hint="eastAsia" w:ascii="仿宋" w:hAnsi="仿宋" w:eastAsia="仿宋" w:cs="仿宋"/>
          <w:i w:val="0"/>
          <w:iCs w:val="0"/>
          <w:caps w:val="0"/>
          <w:color w:val="333333"/>
          <w:spacing w:val="0"/>
          <w:sz w:val="32"/>
          <w:szCs w:val="32"/>
          <w:lang w:val="en-US" w:eastAsia="zh-CN"/>
        </w:rPr>
        <w:t>了</w:t>
      </w:r>
      <w:r>
        <w:rPr>
          <w:rFonts w:hint="eastAsia" w:ascii="仿宋" w:hAnsi="仿宋" w:eastAsia="仿宋" w:cs="仿宋"/>
          <w:i w:val="0"/>
          <w:iCs w:val="0"/>
          <w:caps w:val="0"/>
          <w:color w:val="333333"/>
          <w:spacing w:val="0"/>
          <w:sz w:val="32"/>
          <w:szCs w:val="32"/>
        </w:rPr>
        <w:t>土地资源流动难、农户融资难贷款难、产业转型升级难等问题，在阳光、规范、有序的运作机制下，助力农民增收创收，壮大集体经济，推动农业产业向集约化、规模化、高效化发展。</w:t>
      </w:r>
      <w:r>
        <w:rPr>
          <w:rFonts w:ascii="仿宋" w:hAnsi="仿宋" w:eastAsia="仿宋" w:cs="宋体"/>
          <w:sz w:val="32"/>
          <w:szCs w:val="32"/>
        </w:rPr>
        <w:t>从评价情况来看，</w:t>
      </w:r>
      <w:r>
        <w:rPr>
          <w:rFonts w:hint="eastAsia" w:ascii="仿宋" w:hAnsi="仿宋" w:eastAsia="仿宋" w:cs="宋体"/>
          <w:sz w:val="32"/>
          <w:szCs w:val="32"/>
          <w:lang w:val="en-US" w:eastAsia="zh-CN"/>
        </w:rPr>
        <w:t>达到了年初设定的绩效目标</w:t>
      </w:r>
      <w:r>
        <w:rPr>
          <w:rFonts w:hint="eastAsia" w:ascii="仿宋" w:hAnsi="仿宋" w:eastAsia="仿宋" w:cs="宋体"/>
          <w:sz w:val="32"/>
          <w:szCs w:val="32"/>
        </w:rPr>
        <w:t>。</w:t>
      </w:r>
    </w:p>
    <w:p>
      <w:pPr>
        <w:keepNext w:val="0"/>
        <w:keepLines w:val="0"/>
        <w:pageBreakBefore w:val="0"/>
        <w:widowControl w:val="0"/>
        <w:kinsoku/>
        <w:wordWrap/>
        <w:overflowPunct/>
        <w:topLinePunct w:val="0"/>
        <w:bidi w:val="0"/>
        <w:snapToGrid/>
        <w:spacing w:line="520" w:lineRule="exact"/>
        <w:jc w:val="both"/>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4" w:name="_GoBack"/>
      <w:bookmarkEnd w:id="4"/>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97760"/>
    <w:multiLevelType w:val="singleLevel"/>
    <w:tmpl w:val="FFC97760"/>
    <w:lvl w:ilvl="0" w:tentative="0">
      <w:start w:val="1"/>
      <w:numFmt w:val="chineseCounting"/>
      <w:suff w:val="nothing"/>
      <w:lvlText w:val="（%1）"/>
      <w:lvlJc w:val="left"/>
      <w:rPr>
        <w:rFonts w:hint="eastAsia"/>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wOWIyNDIyOTA4MDc3NmEwN2QxM2NkODgwZjJjNz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3F45283"/>
    <w:rsid w:val="04845710"/>
    <w:rsid w:val="04E54546"/>
    <w:rsid w:val="05992762"/>
    <w:rsid w:val="06F04D75"/>
    <w:rsid w:val="074C7501"/>
    <w:rsid w:val="07B0770E"/>
    <w:rsid w:val="089A2F9E"/>
    <w:rsid w:val="0942143F"/>
    <w:rsid w:val="0AB75B61"/>
    <w:rsid w:val="0AD266B7"/>
    <w:rsid w:val="0B07496E"/>
    <w:rsid w:val="0D100297"/>
    <w:rsid w:val="0D202B45"/>
    <w:rsid w:val="0DD11704"/>
    <w:rsid w:val="0F8D4C87"/>
    <w:rsid w:val="0F9C4F66"/>
    <w:rsid w:val="10505FAA"/>
    <w:rsid w:val="105F7E7E"/>
    <w:rsid w:val="118A052F"/>
    <w:rsid w:val="11E56B5B"/>
    <w:rsid w:val="120B6A97"/>
    <w:rsid w:val="125C77AB"/>
    <w:rsid w:val="126E6E81"/>
    <w:rsid w:val="135724C7"/>
    <w:rsid w:val="14CB726E"/>
    <w:rsid w:val="152F34BE"/>
    <w:rsid w:val="16825D1F"/>
    <w:rsid w:val="17E92249"/>
    <w:rsid w:val="183C6BEA"/>
    <w:rsid w:val="18A0245E"/>
    <w:rsid w:val="18A95B52"/>
    <w:rsid w:val="18D304F1"/>
    <w:rsid w:val="19B04BFA"/>
    <w:rsid w:val="19F32577"/>
    <w:rsid w:val="19F45B80"/>
    <w:rsid w:val="1B0706AD"/>
    <w:rsid w:val="1B0C078D"/>
    <w:rsid w:val="1B2B31E2"/>
    <w:rsid w:val="1B4C295A"/>
    <w:rsid w:val="1B973C63"/>
    <w:rsid w:val="1BA1001E"/>
    <w:rsid w:val="1D317259"/>
    <w:rsid w:val="1E664F5B"/>
    <w:rsid w:val="1EB34BE1"/>
    <w:rsid w:val="215E639F"/>
    <w:rsid w:val="21EC3183"/>
    <w:rsid w:val="225E72CD"/>
    <w:rsid w:val="246E2F77"/>
    <w:rsid w:val="254B4E2B"/>
    <w:rsid w:val="26843140"/>
    <w:rsid w:val="270F0029"/>
    <w:rsid w:val="272833E6"/>
    <w:rsid w:val="282C2B17"/>
    <w:rsid w:val="283D7C94"/>
    <w:rsid w:val="29480E03"/>
    <w:rsid w:val="2983634D"/>
    <w:rsid w:val="299B48AB"/>
    <w:rsid w:val="2AC87744"/>
    <w:rsid w:val="2B1C6459"/>
    <w:rsid w:val="2BB02055"/>
    <w:rsid w:val="2C575A56"/>
    <w:rsid w:val="2CD54A3F"/>
    <w:rsid w:val="2F257714"/>
    <w:rsid w:val="2F3275E5"/>
    <w:rsid w:val="2F4B7B43"/>
    <w:rsid w:val="2FD55C94"/>
    <w:rsid w:val="30AA08EF"/>
    <w:rsid w:val="30D23D1C"/>
    <w:rsid w:val="31221CF5"/>
    <w:rsid w:val="31400178"/>
    <w:rsid w:val="31B32047"/>
    <w:rsid w:val="31D64A55"/>
    <w:rsid w:val="31DB6675"/>
    <w:rsid w:val="321E3342"/>
    <w:rsid w:val="32724AF9"/>
    <w:rsid w:val="327759C8"/>
    <w:rsid w:val="330579E5"/>
    <w:rsid w:val="33185FE3"/>
    <w:rsid w:val="33220F3C"/>
    <w:rsid w:val="34EE2E36"/>
    <w:rsid w:val="36777241"/>
    <w:rsid w:val="38A951DB"/>
    <w:rsid w:val="38B31605"/>
    <w:rsid w:val="39003F4F"/>
    <w:rsid w:val="3B8C4BDA"/>
    <w:rsid w:val="3C07002B"/>
    <w:rsid w:val="3D0D152A"/>
    <w:rsid w:val="3DF62756"/>
    <w:rsid w:val="3EC03F51"/>
    <w:rsid w:val="3F1B7587"/>
    <w:rsid w:val="40463B9F"/>
    <w:rsid w:val="40B23D27"/>
    <w:rsid w:val="41E57B4F"/>
    <w:rsid w:val="432F26F6"/>
    <w:rsid w:val="43880F63"/>
    <w:rsid w:val="441C5A6F"/>
    <w:rsid w:val="444C5F56"/>
    <w:rsid w:val="44B6427D"/>
    <w:rsid w:val="44C44FCC"/>
    <w:rsid w:val="44CC7369"/>
    <w:rsid w:val="457F5108"/>
    <w:rsid w:val="4635249F"/>
    <w:rsid w:val="46951B6B"/>
    <w:rsid w:val="496E2094"/>
    <w:rsid w:val="49A34401"/>
    <w:rsid w:val="4A3E30AB"/>
    <w:rsid w:val="4AC14DAC"/>
    <w:rsid w:val="4CA94729"/>
    <w:rsid w:val="4D154C85"/>
    <w:rsid w:val="4E1539B8"/>
    <w:rsid w:val="4EC8553A"/>
    <w:rsid w:val="508F4E24"/>
    <w:rsid w:val="51461E90"/>
    <w:rsid w:val="51463753"/>
    <w:rsid w:val="51801902"/>
    <w:rsid w:val="518F1D3C"/>
    <w:rsid w:val="52553A93"/>
    <w:rsid w:val="53521F8B"/>
    <w:rsid w:val="53855E5F"/>
    <w:rsid w:val="53E22F47"/>
    <w:rsid w:val="54522FF8"/>
    <w:rsid w:val="55450629"/>
    <w:rsid w:val="554E04A7"/>
    <w:rsid w:val="55A2626B"/>
    <w:rsid w:val="56692963"/>
    <w:rsid w:val="568B0F48"/>
    <w:rsid w:val="5786217B"/>
    <w:rsid w:val="59337A15"/>
    <w:rsid w:val="59805DD4"/>
    <w:rsid w:val="59810274"/>
    <w:rsid w:val="5C553181"/>
    <w:rsid w:val="5CA96A00"/>
    <w:rsid w:val="5CEC790B"/>
    <w:rsid w:val="5CF730BC"/>
    <w:rsid w:val="5D611CB6"/>
    <w:rsid w:val="5DA561BC"/>
    <w:rsid w:val="5E0A74B6"/>
    <w:rsid w:val="5E5F0DCE"/>
    <w:rsid w:val="5FA40A7B"/>
    <w:rsid w:val="5FD56D29"/>
    <w:rsid w:val="5FE575B3"/>
    <w:rsid w:val="5FEC7F3F"/>
    <w:rsid w:val="60086A91"/>
    <w:rsid w:val="60F74BC3"/>
    <w:rsid w:val="617D3BF8"/>
    <w:rsid w:val="61841F6A"/>
    <w:rsid w:val="623007A9"/>
    <w:rsid w:val="637D7558"/>
    <w:rsid w:val="644F19AC"/>
    <w:rsid w:val="64F42F38"/>
    <w:rsid w:val="656D3272"/>
    <w:rsid w:val="65AA4920"/>
    <w:rsid w:val="66203AE4"/>
    <w:rsid w:val="667B0635"/>
    <w:rsid w:val="67694F1E"/>
    <w:rsid w:val="67B155F4"/>
    <w:rsid w:val="68225670"/>
    <w:rsid w:val="6890498C"/>
    <w:rsid w:val="68936AC4"/>
    <w:rsid w:val="68966F60"/>
    <w:rsid w:val="68D11CB8"/>
    <w:rsid w:val="69597934"/>
    <w:rsid w:val="6A5A758C"/>
    <w:rsid w:val="6B964DDC"/>
    <w:rsid w:val="6C783074"/>
    <w:rsid w:val="6D5B50DE"/>
    <w:rsid w:val="6D9E65C6"/>
    <w:rsid w:val="6DA81947"/>
    <w:rsid w:val="6EB66DE2"/>
    <w:rsid w:val="6ED3075F"/>
    <w:rsid w:val="6F2A2D4B"/>
    <w:rsid w:val="6F8A0C1E"/>
    <w:rsid w:val="6FCB5100"/>
    <w:rsid w:val="703F45D4"/>
    <w:rsid w:val="715D6546"/>
    <w:rsid w:val="71BE069E"/>
    <w:rsid w:val="71E24444"/>
    <w:rsid w:val="72CC7D1F"/>
    <w:rsid w:val="73953409"/>
    <w:rsid w:val="73E069A3"/>
    <w:rsid w:val="74037BE4"/>
    <w:rsid w:val="76566E77"/>
    <w:rsid w:val="76625077"/>
    <w:rsid w:val="76A54D29"/>
    <w:rsid w:val="78104AA8"/>
    <w:rsid w:val="783E2823"/>
    <w:rsid w:val="784A49A4"/>
    <w:rsid w:val="78E257C5"/>
    <w:rsid w:val="794B35BE"/>
    <w:rsid w:val="79C570F9"/>
    <w:rsid w:val="7AA708D1"/>
    <w:rsid w:val="7B0A3A31"/>
    <w:rsid w:val="7B3360ED"/>
    <w:rsid w:val="7B5319F3"/>
    <w:rsid w:val="7BDF037E"/>
    <w:rsid w:val="7BF50948"/>
    <w:rsid w:val="7CE66A78"/>
    <w:rsid w:val="7D23564C"/>
    <w:rsid w:val="7D5E062D"/>
    <w:rsid w:val="7DF76CD8"/>
    <w:rsid w:val="7E3E1D33"/>
    <w:rsid w:val="7E8E69B7"/>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paragraph" w:customStyle="1" w:styleId="12">
    <w:name w:val="summary ml"/>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606.07</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4.65</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其他支出</c:v>
                </c:pt>
                <c:pt idx="3">
                  <c:v>农林水支出</c:v>
                </c:pt>
                <c:pt idx="4">
                  <c:v>住房保障支出</c:v>
                </c:pt>
              </c:strCache>
            </c:strRef>
          </c:cat>
          <c:val>
            <c:numRef>
              <c:f>Sheet1!$B$2:$B$6</c:f>
              <c:numCache>
                <c:formatCode>General</c:formatCode>
                <c:ptCount val="5"/>
                <c:pt idx="0">
                  <c:v>1.05</c:v>
                </c:pt>
                <c:pt idx="1">
                  <c:v>9.88</c:v>
                </c:pt>
                <c:pt idx="2">
                  <c:v>28.92</c:v>
                </c:pt>
                <c:pt idx="3">
                  <c:v>305.49</c:v>
                </c:pt>
                <c:pt idx="4">
                  <c:v>8.38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其他支出</c:v>
                </c:pt>
                <c:pt idx="3">
                  <c:v>农林水支出</c:v>
                </c:pt>
                <c:pt idx="4">
                  <c:v>住房保障支出</c:v>
                </c:pt>
              </c:strCache>
            </c:strRef>
          </c:cat>
          <c:val>
            <c:numRef>
              <c:f>Sheet1!$C$2:$C$6</c:f>
              <c:numCache>
                <c:formatCode>General</c:formatCode>
                <c:ptCount val="5"/>
                <c:pt idx="0">
                  <c:v>4.26</c:v>
                </c:pt>
                <c:pt idx="1">
                  <c:v>12.01</c:v>
                </c:pt>
                <c:pt idx="2">
                  <c:v>17.63</c:v>
                </c:pt>
                <c:pt idx="3">
                  <c:v>564.33</c:v>
                </c:pt>
                <c:pt idx="4">
                  <c:v>7.83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Sheet1!$A$2:$A$10</c:f>
              <c:numCache>
                <c:formatCode>General</c:formatCode>
                <c:ptCount val="9"/>
                <c:pt idx="0">
                  <c:v>201</c:v>
                </c:pt>
                <c:pt idx="1">
                  <c:v>20129</c:v>
                </c:pt>
                <c:pt idx="2">
                  <c:v>2012999</c:v>
                </c:pt>
                <c:pt idx="3">
                  <c:v>20136</c:v>
                </c:pt>
                <c:pt idx="4">
                  <c:v>2013601</c:v>
                </c:pt>
              </c:numCache>
            </c:numRef>
          </c:cat>
          <c:val>
            <c:numRef>
              <c:f>Sheet1!$B$2:$B$10</c:f>
              <c:numCache>
                <c:formatCode>General</c:formatCode>
                <c:ptCount val="9"/>
                <c:pt idx="0">
                  <c:v>4.26</c:v>
                </c:pt>
                <c:pt idx="1">
                  <c:v>1.46</c:v>
                </c:pt>
                <c:pt idx="2">
                  <c:v>1.46</c:v>
                </c:pt>
                <c:pt idx="3">
                  <c:v>2.8</c:v>
                </c:pt>
                <c:pt idx="4">
                  <c:v>2.8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3">
                  <c:v>208x</c:v>
                </c:pt>
              </c:strCache>
            </c:strRef>
          </c:cat>
          <c:val>
            <c:numRef>
              <c:f>Sheet1!$B$2:$B$5</c:f>
              <c:numCache>
                <c:formatCode>General</c:formatCode>
                <c:ptCount val="4"/>
                <c:pt idx="0">
                  <c:v>12.01</c:v>
                </c:pt>
                <c:pt idx="3">
                  <c:v>12.01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农林水</a:t>
            </a:r>
            <a:r>
              <a:rPr lang="en-US"/>
              <a:t>支出</a:t>
            </a:r>
            <a:endParaRPr lang="en-US" sz="1100"/>
          </a:p>
        </c:rich>
      </c:tx>
      <c:layout/>
      <c:overlay val="0"/>
      <c:spPr>
        <a:noFill/>
        <a:ln>
          <a:noFill/>
        </a:ln>
        <a:effectLst/>
      </c:spPr>
    </c:title>
    <c:autoTitleDeleted val="0"/>
    <c:plotArea>
      <c:layout>
        <c:manualLayout>
          <c:layoutTarget val="inner"/>
          <c:xMode val="edge"/>
          <c:yMode val="edge"/>
          <c:x val="0.0764296863913722"/>
          <c:y val="0.17239336492891"/>
          <c:w val="0.8923513551866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2130104</c:v>
                </c:pt>
                <c:pt idx="1">
                  <c:v>2130122</c:v>
                </c:pt>
                <c:pt idx="2">
                  <c:v>2130124</c:v>
                </c:pt>
                <c:pt idx="3">
                  <c:v>2130599</c:v>
                </c:pt>
                <c:pt idx="4">
                  <c:v>213x</c:v>
                </c:pt>
              </c:strCache>
            </c:strRef>
          </c:cat>
          <c:val>
            <c:numRef>
              <c:f>Sheet1!$B$2:$B$6</c:f>
              <c:numCache>
                <c:formatCode>General</c:formatCode>
                <c:ptCount val="5"/>
                <c:pt idx="0">
                  <c:v>415.63</c:v>
                </c:pt>
                <c:pt idx="1">
                  <c:v>61</c:v>
                </c:pt>
                <c:pt idx="2">
                  <c:v>58</c:v>
                </c:pt>
                <c:pt idx="3">
                  <c:v>29.7</c:v>
                </c:pt>
                <c:pt idx="4">
                  <c:v>564.33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manualLayout>
          <c:xMode val="edge"/>
          <c:yMode val="edge"/>
          <c:x val="0.341492833829999"/>
          <c:y val="0.080568720379146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221X</c:v>
                </c:pt>
                <c:pt idx="1">
                  <c:v>2210201</c:v>
                </c:pt>
              </c:strCache>
            </c:strRef>
          </c:cat>
          <c:val>
            <c:numRef>
              <c:f>Sheet1!$B$2:$B$3</c:f>
              <c:numCache>
                <c:formatCode>General</c:formatCode>
                <c:ptCount val="2"/>
                <c:pt idx="0">
                  <c:v>7.83</c:v>
                </c:pt>
                <c:pt idx="1">
                  <c:v>7.83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manualLayout>
          <c:xMode val="edge"/>
          <c:yMode val="edge"/>
          <c:x val="0.335816659571449"/>
          <c:y val="0.02369668246445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17.63</c:v>
                </c:pt>
                <c:pt idx="1">
                  <c:v>17.63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29.13</c:v>
                </c:pt>
                <c:pt idx="1">
                  <c:v>17.53</c:v>
                </c:pt>
                <c:pt idx="2">
                  <c:v>27.45</c:v>
                </c:pt>
                <c:pt idx="3">
                  <c:v>1.2</c:v>
                </c:pt>
                <c:pt idx="4">
                  <c:v>0</c:v>
                </c:pt>
                <c:pt idx="5">
                  <c:v>12.97</c:v>
                </c:pt>
                <c:pt idx="6">
                  <c:v>0</c:v>
                </c:pt>
                <c:pt idx="7">
                  <c:v>5.32</c:v>
                </c:pt>
                <c:pt idx="8">
                  <c:v>0</c:v>
                </c:pt>
                <c:pt idx="9">
                  <c:v>0.43</c:v>
                </c:pt>
                <c:pt idx="10">
                  <c:v>7.92</c:v>
                </c:pt>
                <c:pt idx="11">
                  <c:v>0</c:v>
                </c:pt>
                <c:pt idx="12">
                  <c:v>11.92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1.1</c:v>
                </c:pt>
                <c:pt idx="1">
                  <c:v>0</c:v>
                </c:pt>
                <c:pt idx="2">
                  <c:v>0</c:v>
                </c:pt>
                <c:pt idx="3">
                  <c:v>0</c:v>
                </c:pt>
                <c:pt idx="4">
                  <c:v>0.1</c:v>
                </c:pt>
                <c:pt idx="5">
                  <c:v>0.24</c:v>
                </c:pt>
                <c:pt idx="6">
                  <c:v>1.16</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1.46</c:v>
                </c:pt>
                <c:pt idx="22">
                  <c:v>0</c:v>
                </c:pt>
                <c:pt idx="23">
                  <c:v>0</c:v>
                </c:pt>
                <c:pt idx="24">
                  <c:v>6.3</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2023-11-24T02:02:42Z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4773DAD2CD474615ABA50A0F94E242EE_13</vt:lpwstr>
  </property>
</Properties>
</file>