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style1.xml" ContentType="application/vnd.ms-office.chartstyle+xml"/>
  <Override PartName="/word/charts/style2.xml" ContentType="application/vnd.ms-office.chartstyle+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hint="eastAsia" w:ascii="黑体" w:hAnsi="黑体" w:eastAsia="黑体" w:cs="黑体"/>
          <w:b/>
          <w:bCs/>
          <w:sz w:val="52"/>
          <w:szCs w:val="52"/>
          <w:highlight w:val="none"/>
          <w:lang w:val="en-US" w:eastAsia="zh-CN"/>
        </w:rPr>
      </w:pPr>
      <w:r>
        <w:rPr>
          <w:rFonts w:hint="eastAsia" w:ascii="黑体" w:hAnsi="黑体" w:eastAsia="黑体" w:cs="黑体"/>
          <w:b/>
          <w:bCs/>
          <w:sz w:val="52"/>
          <w:szCs w:val="52"/>
          <w:highlight w:val="none"/>
          <w:lang w:val="en-US" w:eastAsia="zh-CN"/>
        </w:rPr>
        <w:t>环江毛南族自治县林业局</w:t>
      </w:r>
    </w:p>
    <w:p>
      <w:pPr>
        <w:jc w:val="center"/>
        <w:rPr>
          <w:rFonts w:ascii="黑体" w:hAnsi="黑体" w:eastAsia="黑体" w:cs="黑体"/>
          <w:b/>
          <w:bCs/>
          <w:sz w:val="52"/>
          <w:szCs w:val="52"/>
          <w:highlight w:val="none"/>
        </w:rPr>
      </w:pPr>
      <w:r>
        <w:rPr>
          <w:rFonts w:hint="eastAsia" w:ascii="黑体" w:hAnsi="黑体" w:eastAsia="黑体" w:cs="黑体"/>
          <w:b/>
          <w:bCs/>
          <w:sz w:val="52"/>
          <w:szCs w:val="52"/>
          <w:highlight w:val="none"/>
        </w:rPr>
        <w:t>2022年度部门决算</w:t>
      </w:r>
    </w:p>
    <w:p>
      <w:pPr>
        <w:jc w:val="center"/>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left"/>
        <w:rPr>
          <w:rFonts w:ascii="仿宋" w:hAnsi="仿宋" w:eastAsia="仿宋" w:cs="仿宋"/>
          <w:sz w:val="32"/>
          <w:szCs w:val="32"/>
          <w:highlight w:val="none"/>
        </w:rPr>
      </w:pP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2023年</w:t>
      </w:r>
      <w:r>
        <w:rPr>
          <w:rFonts w:hint="eastAsia" w:ascii="黑体" w:hAnsi="黑体" w:eastAsia="黑体" w:cs="黑体"/>
          <w:b/>
          <w:bCs/>
          <w:sz w:val="36"/>
          <w:szCs w:val="36"/>
          <w:highlight w:val="none"/>
          <w:lang w:val="en-US" w:eastAsia="zh-CN"/>
        </w:rPr>
        <w:t>10</w:t>
      </w:r>
      <w:r>
        <w:rPr>
          <w:rFonts w:hint="eastAsia" w:ascii="黑体" w:hAnsi="黑体" w:eastAsia="黑体" w:cs="黑体"/>
          <w:b/>
          <w:bCs/>
          <w:sz w:val="36"/>
          <w:szCs w:val="36"/>
          <w:highlight w:val="none"/>
        </w:rPr>
        <w:t>月</w:t>
      </w:r>
    </w:p>
    <w:p>
      <w:pPr>
        <w:rPr>
          <w:rFonts w:ascii="仿宋" w:hAnsi="仿宋" w:eastAsia="仿宋" w:cs="仿宋"/>
          <w:sz w:val="32"/>
          <w:szCs w:val="32"/>
          <w:highlight w:val="none"/>
        </w:rPr>
      </w:pPr>
      <w:r>
        <w:rPr>
          <w:rFonts w:ascii="仿宋" w:hAnsi="仿宋" w:eastAsia="仿宋" w:cs="仿宋"/>
          <w:sz w:val="32"/>
          <w:szCs w:val="32"/>
          <w:highlight w:val="none"/>
        </w:rPr>
        <w:br w:type="page"/>
      </w:r>
    </w:p>
    <w:p>
      <w:pPr>
        <w:jc w:val="center"/>
        <w:rPr>
          <w:rFonts w:ascii="黑体" w:hAnsi="黑体" w:eastAsia="黑体" w:cs="黑体"/>
          <w:b/>
          <w:bCs/>
          <w:sz w:val="36"/>
          <w:szCs w:val="36"/>
          <w:highlight w:val="none"/>
        </w:rPr>
      </w:pPr>
      <w:r>
        <w:rPr>
          <w:rFonts w:hint="eastAsia" w:ascii="黑体" w:hAnsi="黑体" w:eastAsia="黑体" w:cs="黑体"/>
          <w:b/>
          <w:bCs/>
          <w:sz w:val="36"/>
          <w:szCs w:val="36"/>
          <w:highlight w:val="none"/>
        </w:rPr>
        <w:t>目</w:t>
      </w:r>
      <w:r>
        <w:rPr>
          <w:rFonts w:hint="eastAsia" w:ascii="黑体" w:hAnsi="黑体" w:eastAsia="黑体" w:cs="黑体"/>
          <w:b/>
          <w:bCs/>
          <w:sz w:val="36"/>
          <w:szCs w:val="36"/>
          <w:highlight w:val="none"/>
          <w:lang w:val="en-US" w:eastAsia="zh-CN"/>
        </w:rPr>
        <w:t xml:space="preserve">  </w:t>
      </w:r>
      <w:r>
        <w:rPr>
          <w:rFonts w:hint="eastAsia" w:ascii="黑体" w:hAnsi="黑体" w:eastAsia="黑体" w:cs="黑体"/>
          <w:b/>
          <w:bCs/>
          <w:sz w:val="36"/>
          <w:szCs w:val="36"/>
          <w:highlight w:val="none"/>
        </w:rPr>
        <w:t xml:space="preserve"> 录</w:t>
      </w:r>
    </w:p>
    <w:p>
      <w:pPr>
        <w:jc w:val="left"/>
        <w:rPr>
          <w:rFonts w:ascii="黑体" w:hAnsi="黑体" w:eastAsia="黑体" w:cs="黑体"/>
          <w:b/>
          <w:bCs/>
          <w:sz w:val="36"/>
          <w:szCs w:val="36"/>
          <w:highlight w:val="none"/>
        </w:rPr>
      </w:pP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第一部分：</w:t>
      </w:r>
      <w:r>
        <w:rPr>
          <w:rFonts w:hint="eastAsia" w:ascii="黑体" w:hAnsi="黑体" w:eastAsia="黑体" w:cs="黑体"/>
          <w:sz w:val="32"/>
          <w:u w:color="auto"/>
          <w:lang w:eastAsia="zh-CN"/>
        </w:rPr>
        <w:t>环江毛南族自治县林业局</w:t>
      </w:r>
      <w:r>
        <w:rPr>
          <w:rFonts w:hint="eastAsia" w:ascii="黑体" w:hAnsi="黑体" w:eastAsia="黑体" w:cs="黑体"/>
          <w:sz w:val="32"/>
          <w:szCs w:val="32"/>
          <w:highlight w:val="none"/>
        </w:rPr>
        <w:t>概况</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一、主要职能</w:t>
      </w:r>
    </w:p>
    <w:p>
      <w:pPr>
        <w:jc w:val="left"/>
        <w:rPr>
          <w:rFonts w:ascii="仿宋" w:hAnsi="仿宋" w:eastAsia="仿宋" w:cs="仿宋"/>
          <w:sz w:val="32"/>
          <w:szCs w:val="32"/>
          <w:highlight w:val="none"/>
        </w:rPr>
      </w:pPr>
      <w:r>
        <w:rPr>
          <w:rFonts w:hint="eastAsia" w:ascii="仿宋" w:hAnsi="仿宋" w:eastAsia="仿宋" w:cs="仿宋"/>
          <w:sz w:val="32"/>
          <w:szCs w:val="32"/>
          <w:highlight w:val="none"/>
        </w:rPr>
        <w:t>二、部门决算单位构成</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eastAsia="zh-CN"/>
        </w:rPr>
        <w:t>环江毛南族自治县林业局</w:t>
      </w:r>
      <w:r>
        <w:rPr>
          <w:rFonts w:hint="eastAsia" w:ascii="黑体" w:hAnsi="黑体" w:eastAsia="黑体" w:cs="黑体"/>
          <w:sz w:val="32"/>
          <w:szCs w:val="32"/>
          <w:highlight w:val="none"/>
        </w:rPr>
        <w:t>2022年度部门决算报表</w:t>
      </w:r>
    </w:p>
    <w:p>
      <w:pPr>
        <w:rPr>
          <w:rFonts w:hint="eastAsia" w:ascii="仿宋_GB2312" w:eastAsia="仿宋_GB2312"/>
          <w:sz w:val="32"/>
          <w:szCs w:val="32"/>
          <w:highlight w:val="none"/>
        </w:rPr>
      </w:pPr>
      <w:r>
        <w:rPr>
          <w:rFonts w:hint="eastAsia" w:ascii="仿宋_GB2312" w:eastAsia="仿宋_GB2312"/>
          <w:sz w:val="32"/>
          <w:szCs w:val="32"/>
          <w:highlight w:val="none"/>
        </w:rPr>
        <w:t>表一：收入支出决算总表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表二：收入决算表</w:t>
      </w:r>
    </w:p>
    <w:p>
      <w:pPr>
        <w:rPr>
          <w:rFonts w:hint="eastAsia" w:ascii="仿宋_GB2312" w:eastAsia="仿宋_GB2312"/>
          <w:sz w:val="32"/>
          <w:szCs w:val="32"/>
          <w:highlight w:val="none"/>
        </w:rPr>
      </w:pPr>
      <w:r>
        <w:rPr>
          <w:rFonts w:hint="eastAsia" w:ascii="仿宋_GB2312" w:eastAsia="仿宋_GB2312"/>
          <w:sz w:val="32"/>
          <w:szCs w:val="32"/>
          <w:highlight w:val="none"/>
        </w:rPr>
        <w:t>表三：支出决算表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表四：财政拨款收入支出决算总表</w:t>
      </w:r>
    </w:p>
    <w:p>
      <w:pPr>
        <w:rPr>
          <w:rFonts w:hint="eastAsia" w:ascii="仿宋_GB2312" w:eastAsia="仿宋_GB2312"/>
          <w:sz w:val="32"/>
          <w:szCs w:val="32"/>
          <w:highlight w:val="none"/>
        </w:rPr>
      </w:pPr>
      <w:r>
        <w:rPr>
          <w:rFonts w:hint="eastAsia" w:ascii="仿宋_GB2312" w:eastAsia="仿宋_GB2312"/>
          <w:sz w:val="32"/>
          <w:szCs w:val="32"/>
          <w:highlight w:val="none"/>
        </w:rPr>
        <w:t>表五：一般公共预算财政拨款支出决算表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表六：一般公共预算财政拨款基本支出决算明细表</w:t>
      </w:r>
    </w:p>
    <w:p>
      <w:pPr>
        <w:rPr>
          <w:rFonts w:hint="eastAsia" w:ascii="仿宋_GB2312" w:eastAsia="仿宋_GB2312"/>
          <w:sz w:val="32"/>
          <w:szCs w:val="32"/>
          <w:highlight w:val="none"/>
        </w:rPr>
      </w:pPr>
      <w:r>
        <w:rPr>
          <w:rFonts w:hint="eastAsia" w:ascii="仿宋_GB2312" w:eastAsia="仿宋_GB2312"/>
          <w:sz w:val="32"/>
          <w:szCs w:val="32"/>
          <w:highlight w:val="none"/>
        </w:rPr>
        <w:t>表七：政府性基金</w:t>
      </w:r>
      <w:r>
        <w:rPr>
          <w:rFonts w:hint="eastAsia" w:ascii="仿宋_GB2312" w:hAnsi="黑体" w:eastAsia="仿宋_GB2312"/>
          <w:sz w:val="32"/>
          <w:szCs w:val="32"/>
          <w:highlight w:val="none"/>
        </w:rPr>
        <w:t>预算财政拨款</w:t>
      </w:r>
      <w:r>
        <w:rPr>
          <w:rFonts w:hint="eastAsia" w:ascii="仿宋_GB2312" w:eastAsia="仿宋_GB2312"/>
          <w:sz w:val="32"/>
          <w:szCs w:val="32"/>
          <w:highlight w:val="none"/>
        </w:rPr>
        <w:t>收入支出决算表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表八：国有资本经营预算</w:t>
      </w:r>
      <w:r>
        <w:rPr>
          <w:rFonts w:hint="eastAsia" w:ascii="仿宋_GB2312" w:hAnsi="黑体" w:eastAsia="仿宋_GB2312"/>
          <w:sz w:val="32"/>
          <w:szCs w:val="32"/>
          <w:highlight w:val="none"/>
        </w:rPr>
        <w:t>财政拨款</w:t>
      </w:r>
      <w:r>
        <w:rPr>
          <w:rFonts w:hint="eastAsia" w:ascii="仿宋_GB2312" w:eastAsia="仿宋_GB2312"/>
          <w:sz w:val="32"/>
          <w:szCs w:val="32"/>
          <w:highlight w:val="none"/>
        </w:rPr>
        <w:t>支出决算表</w:t>
      </w:r>
    </w:p>
    <w:p>
      <w:pPr>
        <w:rPr>
          <w:rFonts w:hint="eastAsia" w:ascii="仿宋_GB2312" w:eastAsia="仿宋_GB2312"/>
          <w:sz w:val="32"/>
          <w:szCs w:val="32"/>
          <w:highlight w:val="none"/>
        </w:rPr>
      </w:pPr>
      <w:r>
        <w:rPr>
          <w:rFonts w:hint="eastAsia" w:ascii="仿宋_GB2312" w:eastAsia="仿宋_GB2312"/>
          <w:sz w:val="32"/>
          <w:szCs w:val="32"/>
          <w:highlight w:val="none"/>
        </w:rPr>
        <w:t>表九：一般公共预算财政拨款安排的“三公”经费支出决算表</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环江毛南族自治县林业局</w:t>
      </w:r>
      <w:r>
        <w:rPr>
          <w:rFonts w:hint="eastAsia" w:ascii="黑体" w:hAnsi="黑体" w:eastAsia="黑体" w:cs="黑体"/>
          <w:sz w:val="32"/>
          <w:szCs w:val="32"/>
          <w:highlight w:val="none"/>
        </w:rPr>
        <w:t>2022年度部门决算情况说明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一、</w:t>
      </w:r>
      <w:r>
        <w:rPr>
          <w:rFonts w:hint="eastAsia" w:ascii="仿宋_GB2312" w:eastAsia="仿宋_GB2312"/>
          <w:kern w:val="0"/>
          <w:sz w:val="32"/>
          <w:szCs w:val="32"/>
          <w:highlight w:val="none"/>
        </w:rPr>
        <w:t>202</w:t>
      </w:r>
      <w:r>
        <w:rPr>
          <w:rFonts w:hint="eastAsia" w:ascii="仿宋_GB2312" w:eastAsia="仿宋_GB2312"/>
          <w:kern w:val="0"/>
          <w:sz w:val="32"/>
          <w:szCs w:val="32"/>
          <w:highlight w:val="none"/>
          <w:lang w:val="en-US" w:eastAsia="zh-CN"/>
        </w:rPr>
        <w:t>2</w:t>
      </w:r>
      <w:r>
        <w:rPr>
          <w:rFonts w:hint="eastAsia" w:ascii="仿宋_GB2312" w:eastAsia="仿宋_GB2312" w:cs="仿宋_GB2312"/>
          <w:kern w:val="0"/>
          <w:sz w:val="32"/>
          <w:szCs w:val="32"/>
          <w:highlight w:val="none"/>
        </w:rPr>
        <w:t>年度收入支出决算总体情况。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二、</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公共预算财政拨款支出决算情况。</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三、20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年度一般公共预算财政拨款基本支出决算情况说明。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四、</w:t>
      </w:r>
      <w:r>
        <w:rPr>
          <w:rFonts w:hint="eastAsia" w:ascii="仿宋_GB2312" w:eastAsia="仿宋_GB2312"/>
          <w:kern w:val="0"/>
          <w:sz w:val="32"/>
          <w:szCs w:val="32"/>
          <w:highlight w:val="none"/>
        </w:rPr>
        <w:t>20</w:t>
      </w:r>
      <w:r>
        <w:rPr>
          <w:rFonts w:hint="eastAsia" w:ascii="仿宋_GB2312" w:eastAsia="仿宋_GB2312"/>
          <w:kern w:val="0"/>
          <w:sz w:val="32"/>
          <w:szCs w:val="32"/>
          <w:highlight w:val="none"/>
          <w:lang w:val="en-US" w:eastAsia="zh-CN"/>
        </w:rPr>
        <w:t>22</w:t>
      </w:r>
      <w:r>
        <w:rPr>
          <w:rFonts w:hint="eastAsia" w:ascii="仿宋_GB2312" w:eastAsia="仿宋_GB2312" w:cs="仿宋_GB2312"/>
          <w:kern w:val="0"/>
          <w:sz w:val="32"/>
          <w:szCs w:val="32"/>
          <w:highlight w:val="none"/>
        </w:rPr>
        <w:t>年度政府性基金支出决算情况。</w:t>
      </w:r>
    </w:p>
    <w:p>
      <w:pPr>
        <w:autoSpaceDE w:val="0"/>
        <w:autoSpaceDN w:val="0"/>
        <w:adjustRightInd w:val="0"/>
        <w:jc w:val="left"/>
        <w:rPr>
          <w:rFonts w:hint="eastAsia" w:ascii="仿宋_GB2312" w:eastAsia="仿宋_GB2312" w:cs="仿宋_GB2312"/>
          <w:kern w:val="0"/>
          <w:sz w:val="32"/>
          <w:szCs w:val="32"/>
          <w:highlight w:val="none"/>
          <w:lang w:eastAsia="zh-CN"/>
        </w:rPr>
      </w:pPr>
      <w:r>
        <w:rPr>
          <w:rFonts w:hint="eastAsia" w:ascii="仿宋_GB2312" w:eastAsia="仿宋_GB2312" w:cs="仿宋_GB2312"/>
          <w:kern w:val="0"/>
          <w:sz w:val="32"/>
          <w:szCs w:val="32"/>
          <w:highlight w:val="none"/>
        </w:rPr>
        <w:t>五、20</w:t>
      </w:r>
      <w:r>
        <w:rPr>
          <w:rFonts w:hint="eastAsia" w:ascii="仿宋_GB2312" w:eastAsia="仿宋_GB2312" w:cs="仿宋_GB2312"/>
          <w:kern w:val="0"/>
          <w:sz w:val="32"/>
          <w:szCs w:val="32"/>
          <w:highlight w:val="none"/>
          <w:lang w:val="en-US" w:eastAsia="zh-CN"/>
        </w:rPr>
        <w:t>22</w:t>
      </w:r>
      <w:r>
        <w:rPr>
          <w:rFonts w:hint="eastAsia" w:ascii="仿宋_GB2312" w:eastAsia="仿宋_GB2312" w:cs="仿宋_GB2312"/>
          <w:kern w:val="0"/>
          <w:sz w:val="32"/>
          <w:szCs w:val="32"/>
          <w:highlight w:val="none"/>
        </w:rPr>
        <w:t>年度国有资本经营预算支出决算情况</w:t>
      </w:r>
      <w:r>
        <w:rPr>
          <w:rFonts w:hint="eastAsia" w:ascii="仿宋_GB2312" w:eastAsia="仿宋_GB2312" w:cs="仿宋_GB2312"/>
          <w:kern w:val="0"/>
          <w:sz w:val="32"/>
          <w:szCs w:val="32"/>
          <w:highlight w:val="none"/>
          <w:lang w:eastAsia="zh-CN"/>
        </w:rPr>
        <w:t>。</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六、</w:t>
      </w:r>
      <w:r>
        <w:rPr>
          <w:rFonts w:hint="eastAsia" w:ascii="仿宋_GB2312" w:eastAsia="仿宋_GB2312"/>
          <w:sz w:val="32"/>
          <w:szCs w:val="32"/>
          <w:highlight w:val="none"/>
        </w:rPr>
        <w:t>一般</w:t>
      </w:r>
      <w:r>
        <w:rPr>
          <w:rFonts w:hint="eastAsia" w:ascii="仿宋_GB2312" w:eastAsia="仿宋_GB2312" w:cs="仿宋_GB2312"/>
          <w:kern w:val="0"/>
          <w:sz w:val="32"/>
          <w:szCs w:val="32"/>
          <w:highlight w:val="none"/>
        </w:rPr>
        <w:t>公共预算财政拨款安排的“三公”经费支出决算情况说明。</w:t>
      </w:r>
    </w:p>
    <w:p>
      <w:pPr>
        <w:autoSpaceDE w:val="0"/>
        <w:autoSpaceDN w:val="0"/>
        <w:adjustRightInd w:val="0"/>
        <w:jc w:val="left"/>
        <w:rPr>
          <w:rFonts w:hint="eastAsia" w:ascii="仿宋_GB2312" w:eastAsia="仿宋_GB2312" w:cs="仿宋_GB2312"/>
          <w:kern w:val="0"/>
          <w:sz w:val="32"/>
          <w:szCs w:val="32"/>
          <w:highlight w:val="none"/>
        </w:rPr>
      </w:pPr>
      <w:r>
        <w:rPr>
          <w:rFonts w:hint="eastAsia" w:ascii="仿宋_GB2312" w:eastAsia="仿宋_GB2312" w:cs="仿宋_GB2312"/>
          <w:kern w:val="0"/>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第四部分：名词解释</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br w:type="page"/>
      </w:r>
    </w:p>
    <w:p>
      <w:pPr>
        <w:jc w:val="center"/>
        <w:rPr>
          <w:rFonts w:ascii="仿宋" w:hAnsi="仿宋" w:eastAsia="仿宋" w:cs="仿宋"/>
          <w:sz w:val="32"/>
          <w:szCs w:val="32"/>
          <w:highlight w:val="none"/>
        </w:rPr>
      </w:pPr>
      <w:r>
        <w:rPr>
          <w:rFonts w:hint="eastAsia" w:ascii="黑体" w:hAnsi="黑体" w:eastAsia="黑体" w:cs="黑体"/>
          <w:b/>
          <w:bCs/>
          <w:sz w:val="32"/>
          <w:szCs w:val="32"/>
          <w:highlight w:val="none"/>
        </w:rPr>
        <w:t>第一部分：</w:t>
      </w:r>
      <w:r>
        <w:rPr>
          <w:rFonts w:hint="eastAsia" w:ascii="黑体" w:hAnsi="黑体" w:eastAsia="黑体" w:cs="黑体"/>
          <w:b/>
          <w:sz w:val="32"/>
          <w:u w:color="auto"/>
          <w:lang w:eastAsia="zh-CN"/>
        </w:rPr>
        <w:t>环江毛南族自治县林业局</w:t>
      </w:r>
      <w:r>
        <w:rPr>
          <w:rFonts w:hint="eastAsia" w:ascii="黑体" w:hAnsi="黑体" w:eastAsia="黑体" w:cs="黑体"/>
          <w:b/>
          <w:bCs/>
          <w:sz w:val="32"/>
          <w:szCs w:val="32"/>
          <w:highlight w:val="none"/>
        </w:rPr>
        <w:t>概况</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一、主要职能</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环江毛南族自治县林业局</w:t>
      </w:r>
      <w:r>
        <w:rPr>
          <w:rFonts w:hint="eastAsia" w:ascii="仿宋" w:hAnsi="仿宋" w:eastAsia="仿宋" w:cs="仿宋"/>
          <w:color w:val="auto"/>
          <w:sz w:val="32"/>
          <w:szCs w:val="32"/>
        </w:rPr>
        <w:t>的主要职能是：</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1、负责全县林业及其生态建设的监督管理。</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2、承担组织、协调、指导和监督全县造林绿化的责任。</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3、承担全县森林资源保护发展监督管理的责任。</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4、承担组织、指导和监督全县陆生野生动植物资源的保护和合理开发利用。</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5、协助河池市林业局对全县林业系统自然保护区的监督管理。</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6、组织、协调、指导和监督全县湿地保护工作。</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7、组织、协调、指导和监督全县石漠化和沙化土地防治工作。</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8、参与拟订自治县林业及其生态建设的财政、金融、价格、贸易等经济调节政策。</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9、承担推进全县林业改革，维护农民经营林业合法权益的责任。</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10、指导全县各产业对森林、湿地和陆生野生动植物资源的开发利用。</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11、组织指导全县林业及其生态建设的科技、教育、人才、外事和信息化管理；指导全县林业队伍的建设；指导各乡镇林业工作站开展业务工作。</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12、承担组织、协调、指导、监督全县森林防火工作。</w:t>
      </w:r>
    </w:p>
    <w:p>
      <w:pPr>
        <w:ind w:firstLine="640" w:firstLineChars="200"/>
        <w:jc w:val="left"/>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rPr>
        <w:t>13、承办县委、县政府交办的其他事项。</w:t>
      </w:r>
    </w:p>
    <w:p>
      <w:pPr>
        <w:jc w:val="left"/>
        <w:rPr>
          <w:rFonts w:ascii="仿宋" w:hAnsi="仿宋" w:eastAsia="仿宋" w:cs="仿宋"/>
          <w:color w:val="auto"/>
          <w:sz w:val="32"/>
          <w:szCs w:val="32"/>
          <w:highlight w:val="none"/>
        </w:rPr>
      </w:pPr>
      <w:r>
        <w:rPr>
          <w:rFonts w:hint="eastAsia" w:ascii="黑体" w:hAnsi="黑体" w:eastAsia="黑体" w:cs="黑体"/>
          <w:color w:val="auto"/>
          <w:sz w:val="32"/>
          <w:szCs w:val="32"/>
          <w:highlight w:val="none"/>
        </w:rPr>
        <w:t>二、部门决算单位构成</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rPr>
        <w:t>本部门由我局共设置机构29个：其中局属各单位8个股室，12个乡镇林业工作站，3个国营苗圃，5个固定木材检查站（值勤室）， 1个自然保护区管理站（文雅）。</w:t>
      </w:r>
      <w:r>
        <w:rPr>
          <w:rFonts w:hint="eastAsia" w:ascii="仿宋" w:hAnsi="仿宋" w:eastAsia="仿宋" w:cs="仿宋"/>
          <w:color w:val="auto"/>
          <w:sz w:val="32"/>
          <w:szCs w:val="32"/>
          <w:lang w:val="en-US" w:eastAsia="zh-CN"/>
        </w:rPr>
        <w:t>单位性质及</w:t>
      </w:r>
      <w:r>
        <w:rPr>
          <w:rFonts w:hint="eastAsia" w:ascii="仿宋" w:hAnsi="仿宋" w:eastAsia="仿宋" w:cs="仿宋"/>
          <w:color w:val="auto"/>
          <w:sz w:val="32"/>
          <w:szCs w:val="32"/>
        </w:rPr>
        <w:t>人员情况如下表：</w:t>
      </w:r>
    </w:p>
    <w:tbl>
      <w:tblPr>
        <w:tblStyle w:val="7"/>
        <w:tblW w:w="8684" w:type="dxa"/>
        <w:tblInd w:w="-8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873"/>
        <w:gridCol w:w="28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26" w:hRule="atLeast"/>
        </w:trPr>
        <w:tc>
          <w:tcPr>
            <w:tcW w:w="5873"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jc w:val="center"/>
              <w:rPr>
                <w:rFonts w:hint="eastAsia" w:ascii="仿宋" w:hAnsi="仿宋" w:eastAsia="仿宋" w:cs="仿宋"/>
                <w:b/>
                <w:kern w:val="0"/>
                <w:sz w:val="32"/>
                <w:szCs w:val="32"/>
              </w:rPr>
            </w:pPr>
            <w:bookmarkStart w:id="0" w:name="_Hlk109379180"/>
            <w:r>
              <w:rPr>
                <w:rFonts w:hint="eastAsia" w:ascii="仿宋" w:hAnsi="仿宋" w:eastAsia="仿宋" w:cs="仿宋"/>
                <w:b/>
                <w:kern w:val="0"/>
                <w:sz w:val="32"/>
                <w:szCs w:val="32"/>
              </w:rPr>
              <w:t>单位名称</w:t>
            </w:r>
          </w:p>
        </w:tc>
        <w:tc>
          <w:tcPr>
            <w:tcW w:w="2811" w:type="dxa"/>
            <w:tcBorders>
              <w:top w:val="single" w:color="auto" w:sz="4" w:space="0"/>
              <w:left w:val="single" w:color="auto" w:sz="4" w:space="0"/>
              <w:bottom w:val="single" w:color="auto" w:sz="4" w:space="0"/>
              <w:right w:val="single" w:color="auto" w:sz="4" w:space="0"/>
            </w:tcBorders>
            <w:noWrap w:val="0"/>
            <w:vAlign w:val="center"/>
          </w:tcPr>
          <w:p>
            <w:pPr>
              <w:keepNext w:val="0"/>
              <w:keepLines w:val="0"/>
              <w:widowControl/>
              <w:suppressLineNumbers w:val="0"/>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 w:val="left" w:pos="5460"/>
                <w:tab w:val="left" w:pos="5880"/>
              </w:tabs>
              <w:spacing w:before="0" w:beforeAutospacing="0" w:after="0" w:afterAutospacing="0" w:line="520" w:lineRule="exact"/>
              <w:ind w:left="0" w:right="0"/>
              <w:jc w:val="center"/>
              <w:rPr>
                <w:rFonts w:hint="eastAsia" w:ascii="仿宋" w:hAnsi="仿宋" w:eastAsia="仿宋" w:cs="仿宋"/>
                <w:b/>
                <w:kern w:val="0"/>
                <w:sz w:val="32"/>
                <w:szCs w:val="32"/>
              </w:rPr>
            </w:pPr>
            <w:r>
              <w:rPr>
                <w:rFonts w:hint="eastAsia" w:ascii="仿宋" w:hAnsi="仿宋" w:eastAsia="仿宋" w:cs="仿宋"/>
                <w:b/>
                <w:kern w:val="0"/>
                <w:sz w:val="32"/>
                <w:szCs w:val="32"/>
              </w:rPr>
              <w:t>单位性质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trPr>
        <w:tc>
          <w:tcPr>
            <w:tcW w:w="5873"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环江毛南族自治县林业局</w:t>
            </w:r>
          </w:p>
        </w:tc>
        <w:tc>
          <w:tcPr>
            <w:tcW w:w="2811" w:type="dxa"/>
            <w:tcBorders>
              <w:top w:val="single" w:color="auto" w:sz="4" w:space="0"/>
              <w:left w:val="single" w:color="auto" w:sz="4" w:space="0"/>
              <w:bottom w:val="single" w:color="auto" w:sz="4" w:space="0"/>
              <w:right w:val="single" w:color="auto" w:sz="4" w:space="0"/>
            </w:tcBorders>
            <w:noWrap w:val="0"/>
            <w:vAlign w:val="top"/>
          </w:tcPr>
          <w:p>
            <w:pPr>
              <w:keepNext w:val="0"/>
              <w:keepLines w:val="0"/>
              <w:suppressLineNumbers w:val="0"/>
              <w:spacing w:before="0" w:beforeAutospacing="0" w:after="0" w:afterAutospacing="0"/>
              <w:ind w:left="0" w:right="0"/>
              <w:jc w:val="center"/>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行政</w:t>
            </w:r>
          </w:p>
        </w:tc>
      </w:tr>
      <w:bookmarkEnd w:id="0"/>
    </w:tbl>
    <w:p>
      <w:pPr>
        <w:ind w:firstLine="640" w:firstLineChars="200"/>
        <w:jc w:val="left"/>
        <w:rPr>
          <w:rFonts w:hint="eastAsia" w:ascii="仿宋" w:hAnsi="仿宋" w:eastAsia="仿宋" w:cs="仿宋"/>
          <w:sz w:val="32"/>
          <w:szCs w:val="32"/>
        </w:rPr>
      </w:pPr>
    </w:p>
    <w:p>
      <w:pPr>
        <w:ind w:firstLine="6400" w:firstLineChars="2000"/>
        <w:rPr>
          <w:rFonts w:hint="eastAsia" w:ascii="仿宋_GB2312" w:hAnsi="宋体" w:eastAsia="仿宋_GB2312"/>
          <w:sz w:val="32"/>
          <w:szCs w:val="32"/>
        </w:rPr>
      </w:pPr>
      <w:r>
        <w:rPr>
          <w:rFonts w:hint="eastAsia" w:ascii="仿宋_GB2312" w:hAnsi="宋体" w:eastAsia="仿宋_GB2312"/>
          <w:sz w:val="32"/>
          <w:szCs w:val="32"/>
        </w:rPr>
        <w:t xml:space="preserve">    单位：人</w:t>
      </w:r>
    </w:p>
    <w:tbl>
      <w:tblPr>
        <w:tblStyle w:val="7"/>
        <w:tblW w:w="8522" w:type="dxa"/>
        <w:jc w:val="center"/>
        <w:tblLayout w:type="fixed"/>
        <w:tblCellMar>
          <w:top w:w="0" w:type="dxa"/>
          <w:left w:w="0" w:type="dxa"/>
          <w:bottom w:w="0" w:type="dxa"/>
          <w:right w:w="0" w:type="dxa"/>
        </w:tblCellMar>
      </w:tblPr>
      <w:tblGrid>
        <w:gridCol w:w="1854"/>
        <w:gridCol w:w="700"/>
        <w:gridCol w:w="816"/>
        <w:gridCol w:w="950"/>
        <w:gridCol w:w="1200"/>
        <w:gridCol w:w="1567"/>
        <w:gridCol w:w="1435"/>
      </w:tblGrid>
      <w:tr>
        <w:trPr>
          <w:cantSplit/>
          <w:trHeight w:val="735" w:hRule="atLeast"/>
          <w:jc w:val="center"/>
        </w:trPr>
        <w:tc>
          <w:tcPr>
            <w:tcW w:w="1854" w:type="dxa"/>
            <w:vMerge w:val="restart"/>
            <w:tcBorders>
              <w:top w:val="single" w:color="auto" w:sz="4" w:space="0"/>
              <w:left w:val="single" w:color="auto" w:sz="4" w:space="0"/>
              <w:right w:val="single" w:color="auto" w:sz="4" w:space="0"/>
            </w:tcBorders>
            <w:noWrap w:val="0"/>
            <w:tcMar>
              <w:top w:w="20" w:type="dxa"/>
              <w:left w:w="20" w:type="dxa"/>
              <w:bottom w:w="0" w:type="dxa"/>
              <w:right w:w="20" w:type="dxa"/>
            </w:tcMar>
            <w:vAlign w:val="center"/>
          </w:tcPr>
          <w:p>
            <w:pPr>
              <w:keepNext w:val="0"/>
              <w:keepLines w:val="0"/>
              <w:suppressLineNumbers w:val="0"/>
              <w:adjustRightInd w:val="0"/>
              <w:snapToGrid w:val="0"/>
              <w:spacing w:before="0" w:beforeAutospacing="0" w:after="0" w:afterAutospacing="0"/>
              <w:ind w:left="0" w:right="0" w:firstLine="480" w:firstLineChars="200"/>
              <w:rPr>
                <w:rFonts w:hint="eastAsia" w:ascii="仿宋_GB2312" w:hAnsi="宋体" w:eastAsia="仿宋_GB2312"/>
                <w:sz w:val="24"/>
              </w:rPr>
            </w:pPr>
            <w:r>
              <w:rPr>
                <w:rFonts w:hint="eastAsia" w:ascii="仿宋_GB2312" w:hAnsi="宋体" w:eastAsia="仿宋_GB2312"/>
                <w:sz w:val="24"/>
              </w:rPr>
              <w:t>项    目</w:t>
            </w:r>
          </w:p>
        </w:tc>
        <w:tc>
          <w:tcPr>
            <w:tcW w:w="700" w:type="dxa"/>
            <w:vMerge w:val="restart"/>
            <w:tcBorders>
              <w:top w:val="single" w:color="auto" w:sz="4" w:space="0"/>
              <w:left w:val="single" w:color="auto" w:sz="4" w:space="0"/>
              <w:right w:val="single" w:color="auto" w:sz="4" w:space="0"/>
            </w:tcBorders>
            <w:noWrap w:val="0"/>
            <w:tcMar>
              <w:top w:w="20" w:type="dxa"/>
              <w:left w:w="20" w:type="dxa"/>
              <w:bottom w:w="0" w:type="dxa"/>
              <w:right w:w="20"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4"/>
              </w:rPr>
            </w:pPr>
            <w:r>
              <w:rPr>
                <w:rFonts w:hint="eastAsia" w:ascii="仿宋_GB2312" w:hAnsi="宋体" w:eastAsia="仿宋_GB2312"/>
                <w:sz w:val="24"/>
              </w:rPr>
              <w:t>合 计</w:t>
            </w:r>
          </w:p>
        </w:tc>
        <w:tc>
          <w:tcPr>
            <w:tcW w:w="816" w:type="dxa"/>
            <w:vMerge w:val="restart"/>
            <w:tcBorders>
              <w:top w:val="single" w:color="auto" w:sz="4" w:space="0"/>
              <w:left w:val="single" w:color="auto" w:sz="4" w:space="0"/>
              <w:right w:val="single" w:color="auto" w:sz="4" w:space="0"/>
            </w:tcBorders>
            <w:noWrap w:val="0"/>
            <w:tcMar>
              <w:top w:w="20" w:type="dxa"/>
              <w:left w:w="20" w:type="dxa"/>
              <w:bottom w:w="0" w:type="dxa"/>
              <w:right w:w="20"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4"/>
              </w:rPr>
            </w:pPr>
            <w:r>
              <w:rPr>
                <w:rFonts w:hint="eastAsia" w:ascii="仿宋_GB2312" w:hAnsi="宋体" w:eastAsia="仿宋_GB2312"/>
                <w:sz w:val="24"/>
              </w:rPr>
              <w:t>行政</w:t>
            </w:r>
          </w:p>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4"/>
              </w:rPr>
            </w:pPr>
            <w:r>
              <w:rPr>
                <w:rFonts w:hint="eastAsia" w:ascii="仿宋_GB2312" w:hAnsi="宋体" w:eastAsia="仿宋_GB2312"/>
                <w:sz w:val="24"/>
              </w:rPr>
              <w:t>单位</w:t>
            </w:r>
          </w:p>
        </w:tc>
        <w:tc>
          <w:tcPr>
            <w:tcW w:w="2150" w:type="dxa"/>
            <w:gridSpan w:val="2"/>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4"/>
              </w:rPr>
            </w:pPr>
            <w:r>
              <w:rPr>
                <w:rFonts w:hint="eastAsia" w:ascii="仿宋_GB2312" w:hAnsi="宋体" w:eastAsia="仿宋_GB2312"/>
                <w:sz w:val="24"/>
              </w:rPr>
              <w:t>财政拨款</w:t>
            </w:r>
          </w:p>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4"/>
              </w:rPr>
            </w:pPr>
            <w:r>
              <w:rPr>
                <w:rFonts w:hint="eastAsia" w:ascii="仿宋_GB2312" w:hAnsi="宋体" w:eastAsia="仿宋_GB2312"/>
                <w:sz w:val="24"/>
              </w:rPr>
              <w:t>事业单位</w:t>
            </w:r>
          </w:p>
        </w:tc>
        <w:tc>
          <w:tcPr>
            <w:tcW w:w="1567" w:type="dxa"/>
            <w:vMerge w:val="restart"/>
            <w:tcBorders>
              <w:top w:val="single" w:color="auto" w:sz="4" w:space="0"/>
              <w:left w:val="nil"/>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4"/>
              </w:rPr>
            </w:pPr>
            <w:r>
              <w:rPr>
                <w:rFonts w:hint="eastAsia" w:ascii="仿宋_GB2312" w:hAnsi="宋体" w:eastAsia="仿宋_GB2312"/>
                <w:sz w:val="24"/>
              </w:rPr>
              <w:t>财政补助</w:t>
            </w:r>
          </w:p>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4"/>
              </w:rPr>
            </w:pPr>
            <w:r>
              <w:rPr>
                <w:rFonts w:hint="eastAsia" w:ascii="仿宋_GB2312" w:hAnsi="宋体" w:eastAsia="仿宋_GB2312"/>
                <w:sz w:val="24"/>
              </w:rPr>
              <w:t>事业单位</w:t>
            </w:r>
          </w:p>
        </w:tc>
        <w:tc>
          <w:tcPr>
            <w:tcW w:w="1435" w:type="dxa"/>
            <w:vMerge w:val="restart"/>
            <w:tcBorders>
              <w:top w:val="single" w:color="auto" w:sz="4" w:space="0"/>
              <w:left w:val="single" w:color="auto" w:sz="4" w:space="0"/>
              <w:right w:val="single" w:color="auto" w:sz="4" w:space="0"/>
            </w:tcBorders>
            <w:noWrap w:val="0"/>
            <w:tcMar>
              <w:top w:w="20" w:type="dxa"/>
              <w:left w:w="20" w:type="dxa"/>
              <w:bottom w:w="0" w:type="dxa"/>
              <w:right w:w="20"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4"/>
              </w:rPr>
            </w:pPr>
            <w:r>
              <w:rPr>
                <w:rFonts w:hint="eastAsia" w:ascii="仿宋_GB2312" w:hAnsi="宋体" w:eastAsia="仿宋_GB2312"/>
                <w:sz w:val="24"/>
              </w:rPr>
              <w:t>聘用人员</w:t>
            </w:r>
          </w:p>
        </w:tc>
      </w:tr>
      <w:tr>
        <w:tblPrEx>
          <w:tblCellMar>
            <w:top w:w="0" w:type="dxa"/>
            <w:left w:w="0" w:type="dxa"/>
            <w:bottom w:w="0" w:type="dxa"/>
            <w:right w:w="0" w:type="dxa"/>
          </w:tblCellMar>
        </w:tblPrEx>
        <w:trPr>
          <w:cantSplit/>
          <w:trHeight w:val="195" w:hRule="atLeast"/>
          <w:jc w:val="center"/>
        </w:trPr>
        <w:tc>
          <w:tcPr>
            <w:tcW w:w="1854" w:type="dxa"/>
            <w:vMerge w:val="continue"/>
            <w:tcBorders>
              <w:left w:val="single" w:color="auto" w:sz="4" w:space="0"/>
              <w:bottom w:val="nil"/>
              <w:right w:val="single" w:color="auto" w:sz="4" w:space="0"/>
            </w:tcBorders>
            <w:noWrap w:val="0"/>
            <w:tcMar>
              <w:top w:w="20" w:type="dxa"/>
              <w:left w:w="20" w:type="dxa"/>
              <w:bottom w:w="0" w:type="dxa"/>
              <w:right w:w="20" w:type="dxa"/>
            </w:tcMar>
            <w:vAlign w:val="center"/>
          </w:tcPr>
          <w:p>
            <w:pPr>
              <w:keepNext w:val="0"/>
              <w:keepLines w:val="0"/>
              <w:suppressLineNumbers w:val="0"/>
              <w:adjustRightInd w:val="0"/>
              <w:snapToGrid w:val="0"/>
              <w:spacing w:before="0" w:beforeAutospacing="0" w:after="0" w:afterAutospacing="0"/>
              <w:ind w:left="0" w:right="0" w:firstLine="480" w:firstLineChars="200"/>
              <w:rPr>
                <w:rFonts w:hint="eastAsia" w:ascii="仿宋_GB2312" w:hAnsi="宋体" w:eastAsia="仿宋_GB2312"/>
                <w:sz w:val="24"/>
              </w:rPr>
            </w:pPr>
          </w:p>
        </w:tc>
        <w:tc>
          <w:tcPr>
            <w:tcW w:w="700" w:type="dxa"/>
            <w:vMerge w:val="continue"/>
            <w:tcBorders>
              <w:left w:val="single" w:color="auto" w:sz="4" w:space="0"/>
              <w:bottom w:val="nil"/>
              <w:right w:val="single" w:color="auto" w:sz="4" w:space="0"/>
            </w:tcBorders>
            <w:noWrap w:val="0"/>
            <w:tcMar>
              <w:top w:w="20" w:type="dxa"/>
              <w:left w:w="20" w:type="dxa"/>
              <w:bottom w:w="0" w:type="dxa"/>
              <w:right w:w="20"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4"/>
              </w:rPr>
            </w:pPr>
          </w:p>
        </w:tc>
        <w:tc>
          <w:tcPr>
            <w:tcW w:w="816" w:type="dxa"/>
            <w:vMerge w:val="continue"/>
            <w:tcBorders>
              <w:left w:val="single" w:color="auto" w:sz="4" w:space="0"/>
              <w:bottom w:val="nil"/>
              <w:right w:val="single" w:color="auto" w:sz="4" w:space="0"/>
            </w:tcBorders>
            <w:noWrap w:val="0"/>
            <w:tcMar>
              <w:top w:w="20" w:type="dxa"/>
              <w:left w:w="20" w:type="dxa"/>
              <w:bottom w:w="0" w:type="dxa"/>
              <w:right w:w="20"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4"/>
              </w:rPr>
            </w:pPr>
          </w:p>
        </w:tc>
        <w:tc>
          <w:tcPr>
            <w:tcW w:w="950" w:type="dxa"/>
            <w:tcBorders>
              <w:top w:val="single" w:color="auto" w:sz="4" w:space="0"/>
              <w:left w:val="nil"/>
              <w:bottom w:val="nil"/>
              <w:right w:val="single" w:color="auto" w:sz="4" w:space="0"/>
            </w:tcBorders>
            <w:noWrap w:val="0"/>
            <w:tcMar>
              <w:top w:w="20" w:type="dxa"/>
              <w:left w:w="20" w:type="dxa"/>
              <w:bottom w:w="0" w:type="dxa"/>
              <w:right w:w="20"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4"/>
              </w:rPr>
            </w:pPr>
            <w:r>
              <w:rPr>
                <w:rFonts w:hint="eastAsia" w:ascii="仿宋_GB2312" w:hAnsi="宋体" w:eastAsia="仿宋_GB2312"/>
                <w:sz w:val="24"/>
              </w:rPr>
              <w:t>参（依）公管理</w:t>
            </w:r>
          </w:p>
        </w:tc>
        <w:tc>
          <w:tcPr>
            <w:tcW w:w="1200" w:type="dxa"/>
            <w:tcBorders>
              <w:top w:val="single" w:color="auto" w:sz="4" w:space="0"/>
              <w:left w:val="nil"/>
              <w:bottom w:val="nil"/>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4"/>
              </w:rPr>
            </w:pPr>
            <w:r>
              <w:rPr>
                <w:rFonts w:hint="eastAsia" w:ascii="仿宋_GB2312" w:hAnsi="宋体" w:eastAsia="仿宋_GB2312"/>
                <w:sz w:val="24"/>
              </w:rPr>
              <w:t>其他</w:t>
            </w:r>
          </w:p>
        </w:tc>
        <w:tc>
          <w:tcPr>
            <w:tcW w:w="1567" w:type="dxa"/>
            <w:vMerge w:val="continue"/>
            <w:tcBorders>
              <w:left w:val="nil"/>
              <w:right w:val="single" w:color="auto" w:sz="4" w:space="0"/>
            </w:tcBorders>
            <w:noWrap w:val="0"/>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4"/>
              </w:rPr>
            </w:pPr>
          </w:p>
        </w:tc>
        <w:tc>
          <w:tcPr>
            <w:tcW w:w="1435" w:type="dxa"/>
            <w:vMerge w:val="continue"/>
            <w:tcBorders>
              <w:left w:val="single" w:color="auto" w:sz="4" w:space="0"/>
              <w:right w:val="single" w:color="auto" w:sz="4" w:space="0"/>
            </w:tcBorders>
            <w:noWrap w:val="0"/>
            <w:tcMar>
              <w:top w:w="20" w:type="dxa"/>
              <w:left w:w="20" w:type="dxa"/>
              <w:bottom w:w="0" w:type="dxa"/>
              <w:right w:w="20" w:type="dxa"/>
            </w:tcMar>
            <w:vAlign w:val="center"/>
          </w:tcPr>
          <w:p>
            <w:pPr>
              <w:keepNext w:val="0"/>
              <w:keepLines w:val="0"/>
              <w:suppressLineNumbers w:val="0"/>
              <w:adjustRightInd w:val="0"/>
              <w:snapToGrid w:val="0"/>
              <w:spacing w:before="0" w:beforeAutospacing="0" w:after="0" w:afterAutospacing="0"/>
              <w:ind w:left="0" w:right="0"/>
              <w:jc w:val="center"/>
              <w:rPr>
                <w:rFonts w:hint="eastAsia" w:ascii="仿宋_GB2312" w:hAnsi="宋体" w:eastAsia="仿宋_GB2312"/>
                <w:sz w:val="24"/>
              </w:rPr>
            </w:pPr>
          </w:p>
        </w:tc>
      </w:tr>
      <w:tr>
        <w:tblPrEx>
          <w:tblCellMar>
            <w:top w:w="0" w:type="dxa"/>
            <w:left w:w="0" w:type="dxa"/>
            <w:bottom w:w="0" w:type="dxa"/>
            <w:right w:w="0" w:type="dxa"/>
          </w:tblCellMar>
        </w:tblPrEx>
        <w:trPr>
          <w:trHeight w:val="227" w:hRule="atLeast"/>
          <w:jc w:val="center"/>
        </w:trPr>
        <w:tc>
          <w:tcPr>
            <w:tcW w:w="1854"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rPr>
                <w:rFonts w:hint="eastAsia" w:ascii="仿宋_GB2312" w:hAnsi="宋体" w:eastAsia="仿宋_GB2312"/>
                <w:sz w:val="24"/>
              </w:rPr>
            </w:pPr>
            <w:r>
              <w:rPr>
                <w:rFonts w:hint="eastAsia" w:ascii="仿宋_GB2312" w:hAnsi="宋体" w:eastAsia="仿宋_GB2312"/>
                <w:sz w:val="24"/>
              </w:rPr>
              <w:t>编制数</w:t>
            </w:r>
          </w:p>
        </w:tc>
        <w:tc>
          <w:tcPr>
            <w:tcW w:w="70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jc w:val="center"/>
              <w:rPr>
                <w:rFonts w:hint="default" w:ascii="仿宋_GB2312" w:hAnsi="宋体" w:eastAsia="仿宋_GB2312"/>
                <w:sz w:val="24"/>
                <w:lang w:val="en-US"/>
              </w:rPr>
            </w:pPr>
            <w:r>
              <w:rPr>
                <w:rFonts w:hint="eastAsia" w:ascii="仿宋_GB2312" w:hAnsi="宋体" w:eastAsia="仿宋_GB2312"/>
                <w:sz w:val="24"/>
                <w:lang w:val="en-US" w:eastAsia="zh-CN"/>
              </w:rPr>
              <w:t>158</w:t>
            </w:r>
          </w:p>
        </w:tc>
        <w:tc>
          <w:tcPr>
            <w:tcW w:w="816"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480" w:firstLineChars="200"/>
              <w:jc w:val="both"/>
              <w:rPr>
                <w:rFonts w:hint="eastAsia" w:ascii="仿宋_GB2312" w:hAnsi="宋体" w:eastAsia="仿宋_GB2312"/>
                <w:sz w:val="24"/>
                <w:lang w:val="en-US"/>
              </w:rPr>
            </w:pPr>
            <w:r>
              <w:rPr>
                <w:rFonts w:hint="eastAsia" w:ascii="仿宋_GB2312" w:hAnsi="宋体" w:eastAsia="仿宋_GB2312"/>
                <w:sz w:val="24"/>
                <w:lang w:val="en-US" w:eastAsia="zh-CN"/>
              </w:rPr>
              <w:t>7</w:t>
            </w:r>
          </w:p>
        </w:tc>
        <w:tc>
          <w:tcPr>
            <w:tcW w:w="95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480" w:firstLineChars="200"/>
              <w:jc w:val="both"/>
              <w:rPr>
                <w:rFonts w:hint="eastAsia" w:ascii="仿宋_GB2312" w:hAnsi="宋体" w:eastAsia="仿宋_GB2312"/>
                <w:sz w:val="24"/>
                <w:lang w:val="en-US"/>
              </w:rPr>
            </w:pPr>
            <w:r>
              <w:rPr>
                <w:rFonts w:hint="eastAsia" w:ascii="仿宋_GB2312" w:hAnsi="宋体" w:eastAsia="仿宋_GB2312"/>
                <w:sz w:val="24"/>
                <w:lang w:val="en-US" w:eastAsia="zh-CN"/>
              </w:rPr>
              <w:t>34</w:t>
            </w:r>
          </w:p>
        </w:tc>
        <w:tc>
          <w:tcPr>
            <w:tcW w:w="120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480" w:firstLineChars="200"/>
              <w:jc w:val="both"/>
              <w:rPr>
                <w:rFonts w:hint="default" w:ascii="仿宋_GB2312" w:hAnsi="宋体" w:eastAsia="仿宋_GB2312"/>
                <w:sz w:val="24"/>
                <w:lang w:val="en-US"/>
              </w:rPr>
            </w:pPr>
            <w:r>
              <w:rPr>
                <w:rFonts w:hint="eastAsia" w:ascii="仿宋_GB2312" w:hAnsi="宋体" w:eastAsia="仿宋_GB2312"/>
                <w:sz w:val="24"/>
                <w:lang w:val="en-US" w:eastAsia="zh-CN"/>
              </w:rPr>
              <w:t>41</w:t>
            </w:r>
          </w:p>
        </w:tc>
        <w:tc>
          <w:tcPr>
            <w:tcW w:w="1567"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480" w:firstLineChars="200"/>
              <w:jc w:val="both"/>
              <w:rPr>
                <w:rFonts w:hint="default" w:ascii="仿宋_GB2312" w:hAnsi="宋体" w:eastAsia="仿宋_GB2312"/>
                <w:sz w:val="24"/>
                <w:lang w:val="en-US" w:eastAsia="zh-CN"/>
              </w:rPr>
            </w:pPr>
            <w:r>
              <w:rPr>
                <w:rFonts w:hint="eastAsia" w:ascii="仿宋_GB2312" w:hAnsi="宋体" w:eastAsia="仿宋_GB2312"/>
                <w:sz w:val="24"/>
                <w:lang w:val="en-US" w:eastAsia="zh-CN"/>
              </w:rPr>
              <w:t>76</w:t>
            </w:r>
          </w:p>
        </w:tc>
        <w:tc>
          <w:tcPr>
            <w:tcW w:w="1435"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480" w:firstLineChars="200"/>
              <w:jc w:val="center"/>
              <w:rPr>
                <w:rFonts w:hint="eastAsia" w:ascii="仿宋_GB2312" w:hAnsi="宋体" w:eastAsia="仿宋_GB2312"/>
                <w:sz w:val="24"/>
              </w:rPr>
            </w:pPr>
          </w:p>
        </w:tc>
      </w:tr>
      <w:tr>
        <w:tblPrEx>
          <w:tblCellMar>
            <w:top w:w="0" w:type="dxa"/>
            <w:left w:w="0" w:type="dxa"/>
            <w:bottom w:w="0" w:type="dxa"/>
            <w:right w:w="0" w:type="dxa"/>
          </w:tblCellMar>
        </w:tblPrEx>
        <w:trPr>
          <w:trHeight w:val="306" w:hRule="atLeast"/>
          <w:jc w:val="center"/>
        </w:trPr>
        <w:tc>
          <w:tcPr>
            <w:tcW w:w="1854"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rPr>
                <w:rFonts w:hint="eastAsia" w:ascii="仿宋_GB2312" w:hAnsi="宋体" w:eastAsia="仿宋_GB2312"/>
                <w:sz w:val="24"/>
              </w:rPr>
            </w:pPr>
            <w:r>
              <w:rPr>
                <w:rFonts w:hint="eastAsia" w:ascii="仿宋_GB2312" w:hAnsi="宋体" w:eastAsia="仿宋_GB2312"/>
                <w:sz w:val="24"/>
              </w:rPr>
              <w:t>在职人数</w:t>
            </w:r>
          </w:p>
        </w:tc>
        <w:tc>
          <w:tcPr>
            <w:tcW w:w="700" w:type="dxa"/>
            <w:tcBorders>
              <w:top w:val="nil"/>
              <w:left w:val="nil"/>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jc w:val="center"/>
              <w:rPr>
                <w:rFonts w:hint="default" w:ascii="仿宋_GB2312" w:hAnsi="宋体" w:eastAsia="仿宋_GB2312"/>
                <w:sz w:val="24"/>
                <w:lang w:val="en-US"/>
              </w:rPr>
            </w:pPr>
            <w:r>
              <w:rPr>
                <w:rFonts w:hint="eastAsia" w:ascii="仿宋_GB2312" w:hAnsi="宋体" w:eastAsia="仿宋_GB2312"/>
                <w:sz w:val="24"/>
                <w:lang w:val="en-US" w:eastAsia="zh-CN"/>
              </w:rPr>
              <w:t>139</w:t>
            </w:r>
          </w:p>
        </w:tc>
        <w:tc>
          <w:tcPr>
            <w:tcW w:w="816" w:type="dxa"/>
            <w:tcBorders>
              <w:top w:val="nil"/>
              <w:left w:val="nil"/>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480" w:firstLineChars="200"/>
              <w:jc w:val="both"/>
              <w:rPr>
                <w:rFonts w:hint="eastAsia" w:ascii="仿宋_GB2312" w:hAnsi="宋体" w:eastAsia="仿宋_GB2312"/>
                <w:sz w:val="24"/>
                <w:lang w:val="en-US"/>
              </w:rPr>
            </w:pPr>
            <w:r>
              <w:rPr>
                <w:rFonts w:hint="eastAsia" w:ascii="仿宋_GB2312" w:hAnsi="宋体" w:eastAsia="仿宋_GB2312"/>
                <w:sz w:val="24"/>
                <w:lang w:val="en-US" w:eastAsia="zh-CN"/>
              </w:rPr>
              <w:t>7</w:t>
            </w:r>
          </w:p>
        </w:tc>
        <w:tc>
          <w:tcPr>
            <w:tcW w:w="950" w:type="dxa"/>
            <w:tcBorders>
              <w:top w:val="nil"/>
              <w:left w:val="nil"/>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480" w:firstLineChars="200"/>
              <w:jc w:val="both"/>
              <w:rPr>
                <w:rFonts w:hint="default" w:ascii="仿宋_GB2312" w:hAnsi="宋体" w:eastAsia="仿宋_GB2312"/>
                <w:sz w:val="24"/>
                <w:lang w:val="en-US"/>
              </w:rPr>
            </w:pPr>
            <w:r>
              <w:rPr>
                <w:rFonts w:hint="eastAsia" w:ascii="仿宋_GB2312" w:hAnsi="宋体" w:eastAsia="仿宋_GB2312"/>
                <w:sz w:val="24"/>
                <w:lang w:val="en-US" w:eastAsia="zh-CN"/>
              </w:rPr>
              <w:t>28</w:t>
            </w:r>
          </w:p>
        </w:tc>
        <w:tc>
          <w:tcPr>
            <w:tcW w:w="1200" w:type="dxa"/>
            <w:tcBorders>
              <w:top w:val="nil"/>
              <w:left w:val="nil"/>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480" w:firstLineChars="200"/>
              <w:jc w:val="both"/>
              <w:rPr>
                <w:rFonts w:hint="default" w:ascii="仿宋_GB2312" w:hAnsi="宋体" w:eastAsia="仿宋_GB2312"/>
                <w:sz w:val="24"/>
                <w:lang w:val="en-US"/>
              </w:rPr>
            </w:pPr>
            <w:r>
              <w:rPr>
                <w:rFonts w:hint="eastAsia" w:ascii="仿宋_GB2312" w:hAnsi="宋体" w:eastAsia="仿宋_GB2312"/>
                <w:sz w:val="24"/>
                <w:lang w:val="en-US" w:eastAsia="zh-CN"/>
              </w:rPr>
              <w:t>40</w:t>
            </w:r>
          </w:p>
        </w:tc>
        <w:tc>
          <w:tcPr>
            <w:tcW w:w="1567" w:type="dxa"/>
            <w:tcBorders>
              <w:top w:val="nil"/>
              <w:left w:val="nil"/>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480" w:firstLineChars="200"/>
              <w:jc w:val="both"/>
              <w:rPr>
                <w:rFonts w:hint="default" w:ascii="仿宋_GB2312" w:hAnsi="宋体" w:eastAsia="仿宋_GB2312"/>
                <w:sz w:val="24"/>
                <w:lang w:val="en-US" w:eastAsia="zh-CN"/>
              </w:rPr>
            </w:pPr>
            <w:r>
              <w:rPr>
                <w:rFonts w:hint="eastAsia" w:ascii="仿宋_GB2312" w:hAnsi="宋体" w:eastAsia="仿宋_GB2312"/>
                <w:sz w:val="24"/>
                <w:lang w:val="en-US" w:eastAsia="zh-CN"/>
              </w:rPr>
              <w:t>64</w:t>
            </w:r>
          </w:p>
        </w:tc>
        <w:tc>
          <w:tcPr>
            <w:tcW w:w="1435"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480" w:firstLineChars="200"/>
              <w:jc w:val="center"/>
              <w:rPr>
                <w:rFonts w:hint="eastAsia" w:ascii="仿宋_GB2312" w:hAnsi="宋体" w:eastAsia="仿宋_GB2312"/>
                <w:sz w:val="24"/>
              </w:rPr>
            </w:pPr>
          </w:p>
        </w:tc>
      </w:tr>
      <w:tr>
        <w:tblPrEx>
          <w:tblCellMar>
            <w:top w:w="0" w:type="dxa"/>
            <w:left w:w="0" w:type="dxa"/>
            <w:bottom w:w="0" w:type="dxa"/>
            <w:right w:w="0" w:type="dxa"/>
          </w:tblCellMar>
        </w:tblPrEx>
        <w:trPr>
          <w:trHeight w:val="227" w:hRule="atLeast"/>
          <w:jc w:val="center"/>
        </w:trPr>
        <w:tc>
          <w:tcPr>
            <w:tcW w:w="1854"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120" w:firstLineChars="50"/>
              <w:rPr>
                <w:rFonts w:hint="eastAsia" w:ascii="仿宋_GB2312" w:hAnsi="宋体" w:eastAsia="仿宋_GB2312"/>
                <w:sz w:val="24"/>
              </w:rPr>
            </w:pPr>
            <w:r>
              <w:rPr>
                <w:rFonts w:hint="eastAsia" w:ascii="仿宋_GB2312" w:hAnsi="宋体" w:eastAsia="仿宋_GB2312"/>
                <w:sz w:val="24"/>
              </w:rPr>
              <w:t>其中：在岗人数</w:t>
            </w:r>
          </w:p>
        </w:tc>
        <w:tc>
          <w:tcPr>
            <w:tcW w:w="700" w:type="dxa"/>
            <w:tcBorders>
              <w:top w:val="nil"/>
              <w:left w:val="nil"/>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jc w:val="center"/>
              <w:rPr>
                <w:rFonts w:hint="default" w:ascii="仿宋_GB2312" w:hAnsi="宋体" w:eastAsia="仿宋_GB2312"/>
                <w:sz w:val="24"/>
                <w:lang w:val="en-US" w:eastAsia="zh-CN"/>
              </w:rPr>
            </w:pPr>
            <w:r>
              <w:rPr>
                <w:rFonts w:hint="eastAsia" w:ascii="仿宋_GB2312" w:hAnsi="宋体" w:eastAsia="仿宋_GB2312"/>
                <w:sz w:val="24"/>
                <w:lang w:val="en-US" w:eastAsia="zh-CN"/>
              </w:rPr>
              <w:t>139</w:t>
            </w:r>
          </w:p>
        </w:tc>
        <w:tc>
          <w:tcPr>
            <w:tcW w:w="816" w:type="dxa"/>
            <w:tcBorders>
              <w:top w:val="nil"/>
              <w:left w:val="nil"/>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480" w:firstLineChars="200"/>
              <w:jc w:val="both"/>
              <w:rPr>
                <w:rFonts w:hint="eastAsia" w:ascii="仿宋_GB2312" w:hAnsi="宋体" w:eastAsia="仿宋_GB2312"/>
                <w:sz w:val="24"/>
                <w:lang w:val="en-US" w:eastAsia="zh-CN"/>
              </w:rPr>
            </w:pPr>
            <w:r>
              <w:rPr>
                <w:rFonts w:hint="eastAsia" w:ascii="仿宋_GB2312" w:hAnsi="宋体" w:eastAsia="仿宋_GB2312"/>
                <w:sz w:val="24"/>
                <w:lang w:val="en-US" w:eastAsia="zh-CN"/>
              </w:rPr>
              <w:t>7</w:t>
            </w:r>
          </w:p>
        </w:tc>
        <w:tc>
          <w:tcPr>
            <w:tcW w:w="950" w:type="dxa"/>
            <w:tcBorders>
              <w:top w:val="nil"/>
              <w:left w:val="nil"/>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480" w:firstLineChars="200"/>
              <w:jc w:val="both"/>
              <w:rPr>
                <w:rFonts w:hint="default" w:ascii="仿宋_GB2312" w:hAnsi="宋体" w:eastAsia="仿宋_GB2312"/>
                <w:sz w:val="24"/>
                <w:lang w:val="en-US" w:eastAsia="zh-CN"/>
              </w:rPr>
            </w:pPr>
            <w:r>
              <w:rPr>
                <w:rFonts w:hint="eastAsia" w:ascii="仿宋_GB2312" w:hAnsi="宋体" w:eastAsia="仿宋_GB2312"/>
                <w:sz w:val="24"/>
                <w:lang w:val="en-US" w:eastAsia="zh-CN"/>
              </w:rPr>
              <w:t>28</w:t>
            </w:r>
          </w:p>
        </w:tc>
        <w:tc>
          <w:tcPr>
            <w:tcW w:w="1200" w:type="dxa"/>
            <w:tcBorders>
              <w:top w:val="nil"/>
              <w:left w:val="nil"/>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480" w:firstLineChars="200"/>
              <w:jc w:val="both"/>
              <w:rPr>
                <w:rFonts w:hint="default" w:ascii="仿宋_GB2312" w:hAnsi="宋体" w:eastAsia="仿宋_GB2312"/>
                <w:sz w:val="24"/>
                <w:lang w:val="en-US" w:eastAsia="zh-CN"/>
              </w:rPr>
            </w:pPr>
            <w:r>
              <w:rPr>
                <w:rFonts w:hint="eastAsia" w:ascii="仿宋_GB2312" w:hAnsi="宋体" w:eastAsia="仿宋_GB2312"/>
                <w:sz w:val="24"/>
                <w:lang w:val="en-US" w:eastAsia="zh-CN"/>
              </w:rPr>
              <w:t>40</w:t>
            </w:r>
          </w:p>
        </w:tc>
        <w:tc>
          <w:tcPr>
            <w:tcW w:w="1567" w:type="dxa"/>
            <w:tcBorders>
              <w:top w:val="nil"/>
              <w:left w:val="nil"/>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480" w:firstLineChars="200"/>
              <w:jc w:val="both"/>
              <w:rPr>
                <w:rFonts w:hint="default" w:ascii="仿宋_GB2312" w:hAnsi="宋体" w:eastAsia="仿宋_GB2312"/>
                <w:sz w:val="24"/>
                <w:lang w:val="en-US" w:eastAsia="zh-CN"/>
              </w:rPr>
            </w:pPr>
            <w:r>
              <w:rPr>
                <w:rFonts w:hint="eastAsia" w:ascii="仿宋_GB2312" w:hAnsi="宋体" w:eastAsia="仿宋_GB2312"/>
                <w:sz w:val="24"/>
                <w:lang w:val="en-US" w:eastAsia="zh-CN"/>
              </w:rPr>
              <w:t>64</w:t>
            </w:r>
          </w:p>
        </w:tc>
        <w:tc>
          <w:tcPr>
            <w:tcW w:w="1435"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480" w:firstLineChars="200"/>
              <w:jc w:val="center"/>
              <w:rPr>
                <w:rFonts w:hint="eastAsia" w:ascii="仿宋_GB2312" w:hAnsi="宋体" w:eastAsia="仿宋_GB2312"/>
                <w:sz w:val="24"/>
                <w:lang w:val="en-US" w:eastAsia="zh-CN"/>
              </w:rPr>
            </w:pPr>
          </w:p>
        </w:tc>
      </w:tr>
      <w:tr>
        <w:tblPrEx>
          <w:tblCellMar>
            <w:top w:w="0" w:type="dxa"/>
            <w:left w:w="0" w:type="dxa"/>
            <w:bottom w:w="0" w:type="dxa"/>
            <w:right w:w="0" w:type="dxa"/>
          </w:tblCellMar>
        </w:tblPrEx>
        <w:trPr>
          <w:trHeight w:val="227" w:hRule="atLeast"/>
          <w:jc w:val="center"/>
        </w:trPr>
        <w:tc>
          <w:tcPr>
            <w:tcW w:w="1854"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rPr>
                <w:rFonts w:hint="eastAsia" w:ascii="仿宋_GB2312" w:hAnsi="宋体" w:eastAsia="仿宋_GB2312"/>
                <w:sz w:val="24"/>
              </w:rPr>
            </w:pPr>
            <w:r>
              <w:rPr>
                <w:rFonts w:hint="eastAsia" w:ascii="仿宋_GB2312" w:hAnsi="宋体" w:eastAsia="仿宋_GB2312"/>
                <w:sz w:val="24"/>
              </w:rPr>
              <w:t>离退休人数</w:t>
            </w:r>
          </w:p>
        </w:tc>
        <w:tc>
          <w:tcPr>
            <w:tcW w:w="700" w:type="dxa"/>
            <w:tcBorders>
              <w:top w:val="nil"/>
              <w:left w:val="nil"/>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jc w:val="center"/>
              <w:rPr>
                <w:rFonts w:hint="default" w:ascii="仿宋_GB2312" w:hAnsi="宋体" w:eastAsia="仿宋_GB2312"/>
                <w:sz w:val="24"/>
                <w:lang w:val="en-US"/>
              </w:rPr>
            </w:pPr>
            <w:r>
              <w:rPr>
                <w:rFonts w:hint="eastAsia" w:ascii="仿宋_GB2312" w:hAnsi="宋体" w:eastAsia="仿宋_GB2312"/>
                <w:sz w:val="24"/>
                <w:lang w:val="en-US" w:eastAsia="zh-CN"/>
              </w:rPr>
              <w:t>69</w:t>
            </w:r>
          </w:p>
        </w:tc>
        <w:tc>
          <w:tcPr>
            <w:tcW w:w="816" w:type="dxa"/>
            <w:tcBorders>
              <w:top w:val="nil"/>
              <w:left w:val="nil"/>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480" w:firstLineChars="200"/>
              <w:jc w:val="both"/>
              <w:rPr>
                <w:rFonts w:hint="default" w:ascii="仿宋_GB2312" w:hAnsi="宋体" w:eastAsia="仿宋_GB2312"/>
                <w:sz w:val="24"/>
                <w:lang w:val="en-US" w:eastAsia="zh-CN"/>
              </w:rPr>
            </w:pPr>
            <w:r>
              <w:rPr>
                <w:rFonts w:hint="eastAsia" w:ascii="仿宋_GB2312" w:hAnsi="宋体" w:eastAsia="仿宋_GB2312"/>
                <w:sz w:val="24"/>
                <w:lang w:val="en-US" w:eastAsia="zh-CN"/>
              </w:rPr>
              <w:t>69</w:t>
            </w:r>
          </w:p>
        </w:tc>
        <w:tc>
          <w:tcPr>
            <w:tcW w:w="950" w:type="dxa"/>
            <w:tcBorders>
              <w:top w:val="nil"/>
              <w:left w:val="nil"/>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480" w:firstLineChars="200"/>
              <w:jc w:val="both"/>
              <w:rPr>
                <w:rFonts w:hint="eastAsia" w:ascii="仿宋_GB2312" w:hAnsi="宋体" w:eastAsia="仿宋_GB2312"/>
                <w:sz w:val="24"/>
              </w:rPr>
            </w:pPr>
          </w:p>
        </w:tc>
        <w:tc>
          <w:tcPr>
            <w:tcW w:w="1200" w:type="dxa"/>
            <w:tcBorders>
              <w:top w:val="nil"/>
              <w:left w:val="nil"/>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480" w:firstLineChars="200"/>
              <w:jc w:val="both"/>
              <w:rPr>
                <w:rFonts w:hint="eastAsia" w:ascii="仿宋_GB2312" w:hAnsi="宋体" w:eastAsia="仿宋_GB2312"/>
                <w:sz w:val="24"/>
              </w:rPr>
            </w:pPr>
          </w:p>
        </w:tc>
        <w:tc>
          <w:tcPr>
            <w:tcW w:w="1567"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480" w:firstLineChars="200"/>
              <w:jc w:val="both"/>
              <w:rPr>
                <w:rFonts w:hint="eastAsia" w:ascii="仿宋_GB2312" w:hAnsi="宋体" w:eastAsia="仿宋_GB2312"/>
                <w:sz w:val="24"/>
              </w:rPr>
            </w:pPr>
          </w:p>
        </w:tc>
        <w:tc>
          <w:tcPr>
            <w:tcW w:w="1435"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480" w:firstLineChars="200"/>
              <w:jc w:val="center"/>
              <w:rPr>
                <w:rFonts w:hint="eastAsia" w:ascii="仿宋_GB2312" w:hAnsi="宋体" w:eastAsia="仿宋_GB2312"/>
                <w:sz w:val="24"/>
              </w:rPr>
            </w:pPr>
          </w:p>
        </w:tc>
      </w:tr>
      <w:tr>
        <w:tblPrEx>
          <w:tblCellMar>
            <w:top w:w="0" w:type="dxa"/>
            <w:left w:w="0" w:type="dxa"/>
            <w:bottom w:w="0" w:type="dxa"/>
            <w:right w:w="0" w:type="dxa"/>
          </w:tblCellMar>
        </w:tblPrEx>
        <w:trPr>
          <w:trHeight w:val="227" w:hRule="atLeast"/>
          <w:jc w:val="center"/>
        </w:trPr>
        <w:tc>
          <w:tcPr>
            <w:tcW w:w="1854"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120" w:firstLineChars="50"/>
              <w:rPr>
                <w:rFonts w:hint="eastAsia" w:ascii="仿宋_GB2312" w:hAnsi="宋体" w:eastAsia="仿宋_GB2312"/>
                <w:sz w:val="24"/>
              </w:rPr>
            </w:pPr>
            <w:r>
              <w:rPr>
                <w:rFonts w:hint="eastAsia" w:ascii="仿宋_GB2312" w:hAnsi="宋体" w:eastAsia="仿宋_GB2312"/>
                <w:sz w:val="24"/>
              </w:rPr>
              <w:t>其中：离休人数</w:t>
            </w:r>
          </w:p>
        </w:tc>
        <w:tc>
          <w:tcPr>
            <w:tcW w:w="70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jc w:val="center"/>
              <w:rPr>
                <w:rFonts w:hint="default" w:ascii="仿宋_GB2312" w:hAnsi="宋体" w:eastAsia="仿宋_GB2312"/>
                <w:sz w:val="24"/>
                <w:lang w:val="en-US" w:eastAsia="zh-CN"/>
              </w:rPr>
            </w:pPr>
          </w:p>
        </w:tc>
        <w:tc>
          <w:tcPr>
            <w:tcW w:w="816"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480" w:firstLineChars="200"/>
              <w:jc w:val="both"/>
              <w:rPr>
                <w:rFonts w:hint="default" w:ascii="仿宋_GB2312" w:hAnsi="宋体" w:eastAsia="仿宋_GB2312"/>
                <w:sz w:val="24"/>
                <w:lang w:val="en-US" w:eastAsia="zh-CN"/>
              </w:rPr>
            </w:pPr>
          </w:p>
        </w:tc>
        <w:tc>
          <w:tcPr>
            <w:tcW w:w="95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480" w:firstLineChars="200"/>
              <w:jc w:val="both"/>
              <w:rPr>
                <w:rFonts w:hint="eastAsia" w:ascii="仿宋_GB2312" w:hAnsi="宋体" w:eastAsia="仿宋_GB2312"/>
                <w:sz w:val="24"/>
              </w:rPr>
            </w:pPr>
          </w:p>
        </w:tc>
        <w:tc>
          <w:tcPr>
            <w:tcW w:w="1200"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480" w:firstLineChars="200"/>
              <w:jc w:val="both"/>
              <w:rPr>
                <w:rFonts w:hint="eastAsia" w:ascii="仿宋_GB2312" w:hAnsi="宋体" w:eastAsia="仿宋_GB2312"/>
                <w:sz w:val="24"/>
              </w:rPr>
            </w:pPr>
          </w:p>
        </w:tc>
        <w:tc>
          <w:tcPr>
            <w:tcW w:w="1567" w:type="dxa"/>
            <w:tcBorders>
              <w:top w:val="single" w:color="auto" w:sz="4" w:space="0"/>
              <w:left w:val="nil"/>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480" w:firstLineChars="200"/>
              <w:jc w:val="both"/>
              <w:rPr>
                <w:rFonts w:hint="eastAsia" w:ascii="仿宋_GB2312" w:hAnsi="宋体" w:eastAsia="仿宋_GB2312"/>
                <w:sz w:val="24"/>
              </w:rPr>
            </w:pPr>
          </w:p>
        </w:tc>
        <w:tc>
          <w:tcPr>
            <w:tcW w:w="1435" w:type="dxa"/>
            <w:tcBorders>
              <w:top w:val="single" w:color="auto" w:sz="4" w:space="0"/>
              <w:left w:val="single" w:color="auto" w:sz="4" w:space="0"/>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480" w:firstLineChars="200"/>
              <w:jc w:val="center"/>
              <w:rPr>
                <w:rFonts w:hint="eastAsia" w:ascii="仿宋_GB2312" w:hAnsi="宋体" w:eastAsia="仿宋_GB2312"/>
                <w:sz w:val="24"/>
              </w:rPr>
            </w:pPr>
          </w:p>
        </w:tc>
      </w:tr>
      <w:tr>
        <w:tblPrEx>
          <w:tblCellMar>
            <w:top w:w="0" w:type="dxa"/>
            <w:left w:w="0" w:type="dxa"/>
            <w:bottom w:w="0" w:type="dxa"/>
            <w:right w:w="0" w:type="dxa"/>
          </w:tblCellMar>
        </w:tblPrEx>
        <w:trPr>
          <w:trHeight w:val="227" w:hRule="atLeast"/>
          <w:jc w:val="center"/>
        </w:trPr>
        <w:tc>
          <w:tcPr>
            <w:tcW w:w="1854"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840" w:firstLineChars="350"/>
              <w:rPr>
                <w:rFonts w:hint="eastAsia" w:ascii="仿宋_GB2312" w:hAnsi="宋体" w:eastAsia="仿宋_GB2312"/>
                <w:sz w:val="24"/>
              </w:rPr>
            </w:pPr>
            <w:r>
              <w:rPr>
                <w:rFonts w:hint="eastAsia" w:ascii="仿宋_GB2312" w:hAnsi="宋体" w:eastAsia="仿宋_GB2312"/>
                <w:sz w:val="24"/>
              </w:rPr>
              <w:t>退休人数</w:t>
            </w:r>
          </w:p>
        </w:tc>
        <w:tc>
          <w:tcPr>
            <w:tcW w:w="700" w:type="dxa"/>
            <w:tcBorders>
              <w:top w:val="nil"/>
              <w:left w:val="nil"/>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240" w:firstLineChars="100"/>
              <w:jc w:val="both"/>
              <w:rPr>
                <w:rFonts w:hint="default" w:ascii="仿宋_GB2312" w:hAnsi="宋体" w:eastAsia="仿宋_GB2312"/>
                <w:sz w:val="24"/>
                <w:lang w:val="en-US" w:eastAsia="zh-CN"/>
              </w:rPr>
            </w:pPr>
            <w:r>
              <w:rPr>
                <w:rFonts w:hint="eastAsia" w:ascii="仿宋_GB2312" w:hAnsi="宋体" w:eastAsia="仿宋_GB2312"/>
                <w:sz w:val="24"/>
                <w:lang w:val="en-US" w:eastAsia="zh-CN"/>
              </w:rPr>
              <w:t>69</w:t>
            </w:r>
          </w:p>
        </w:tc>
        <w:tc>
          <w:tcPr>
            <w:tcW w:w="816" w:type="dxa"/>
            <w:tcBorders>
              <w:top w:val="nil"/>
              <w:left w:val="nil"/>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480" w:firstLineChars="200"/>
              <w:jc w:val="both"/>
              <w:rPr>
                <w:rFonts w:hint="default" w:ascii="仿宋_GB2312" w:hAnsi="宋体" w:eastAsia="仿宋_GB2312"/>
                <w:sz w:val="24"/>
                <w:lang w:val="en-US" w:eastAsia="zh-CN"/>
              </w:rPr>
            </w:pPr>
            <w:r>
              <w:rPr>
                <w:rFonts w:hint="eastAsia" w:ascii="仿宋_GB2312" w:hAnsi="宋体" w:eastAsia="仿宋_GB2312"/>
                <w:sz w:val="24"/>
                <w:lang w:val="en-US" w:eastAsia="zh-CN"/>
              </w:rPr>
              <w:t>69</w:t>
            </w:r>
          </w:p>
        </w:tc>
        <w:tc>
          <w:tcPr>
            <w:tcW w:w="950" w:type="dxa"/>
            <w:tcBorders>
              <w:top w:val="nil"/>
              <w:left w:val="nil"/>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859" w:firstLineChars="358"/>
              <w:jc w:val="both"/>
              <w:rPr>
                <w:rFonts w:hint="eastAsia" w:ascii="仿宋_GB2312" w:hAnsi="宋体" w:eastAsia="仿宋_GB2312"/>
                <w:sz w:val="24"/>
              </w:rPr>
            </w:pPr>
          </w:p>
        </w:tc>
        <w:tc>
          <w:tcPr>
            <w:tcW w:w="1200" w:type="dxa"/>
            <w:tcBorders>
              <w:top w:val="nil"/>
              <w:left w:val="nil"/>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859" w:firstLineChars="358"/>
              <w:jc w:val="both"/>
              <w:rPr>
                <w:rFonts w:hint="eastAsia" w:ascii="仿宋_GB2312" w:hAnsi="宋体" w:eastAsia="仿宋_GB2312"/>
                <w:sz w:val="24"/>
              </w:rPr>
            </w:pPr>
          </w:p>
        </w:tc>
        <w:tc>
          <w:tcPr>
            <w:tcW w:w="1567" w:type="dxa"/>
            <w:tcBorders>
              <w:top w:val="nil"/>
              <w:left w:val="nil"/>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859" w:firstLineChars="358"/>
              <w:jc w:val="both"/>
              <w:rPr>
                <w:rFonts w:hint="eastAsia" w:ascii="仿宋_GB2312" w:hAnsi="宋体" w:eastAsia="仿宋_GB2312"/>
                <w:sz w:val="24"/>
              </w:rPr>
            </w:pPr>
          </w:p>
        </w:tc>
        <w:tc>
          <w:tcPr>
            <w:tcW w:w="1435" w:type="dxa"/>
            <w:tcBorders>
              <w:top w:val="nil"/>
              <w:left w:val="single" w:color="auto" w:sz="4" w:space="0"/>
              <w:bottom w:val="single" w:color="auto" w:sz="4" w:space="0"/>
              <w:right w:val="single" w:color="auto" w:sz="4" w:space="0"/>
            </w:tcBorders>
            <w:noWrap w:val="0"/>
            <w:tcMar>
              <w:top w:w="20" w:type="dxa"/>
              <w:left w:w="20" w:type="dxa"/>
              <w:bottom w:w="0" w:type="dxa"/>
              <w:right w:w="20" w:type="dxa"/>
            </w:tcMar>
            <w:vAlign w:val="top"/>
          </w:tcPr>
          <w:p>
            <w:pPr>
              <w:keepNext w:val="0"/>
              <w:keepLines w:val="0"/>
              <w:suppressLineNumbers w:val="0"/>
              <w:spacing w:before="0" w:beforeAutospacing="0" w:after="0" w:afterAutospacing="0"/>
              <w:ind w:left="0" w:right="0" w:firstLine="859" w:firstLineChars="358"/>
              <w:jc w:val="center"/>
              <w:rPr>
                <w:rFonts w:hint="eastAsia" w:ascii="仿宋_GB2312" w:hAnsi="宋体" w:eastAsia="仿宋_GB2312"/>
                <w:sz w:val="24"/>
              </w:rPr>
            </w:pPr>
          </w:p>
        </w:tc>
      </w:tr>
    </w:tbl>
    <w:p>
      <w:pPr>
        <w:keepNext w:val="0"/>
        <w:keepLines w:val="0"/>
        <w:pageBreakBefore w:val="0"/>
        <w:kinsoku/>
        <w:wordWrap/>
        <w:overflowPunct/>
        <w:topLinePunct w:val="0"/>
        <w:bidi w:val="0"/>
        <w:spacing w:line="560" w:lineRule="exact"/>
        <w:textAlignment w:val="auto"/>
        <w:rPr>
          <w:rFonts w:hint="eastAsia" w:ascii="仿宋_GB2312" w:hAnsi="仿宋_GB2312" w:eastAsia="仿宋_GB2312" w:cs="仿宋_GB2312"/>
          <w:sz w:val="32"/>
          <w:szCs w:val="32"/>
          <w:highlight w:val="none"/>
        </w:rPr>
      </w:pPr>
    </w:p>
    <w:p>
      <w:pPr>
        <w:jc w:val="center"/>
        <w:rPr>
          <w:rFonts w:hint="eastAsia" w:ascii="仿宋" w:hAnsi="仿宋" w:eastAsia="仿宋" w:cs="仿宋"/>
          <w:sz w:val="32"/>
          <w:szCs w:val="32"/>
          <w:highlight w:val="none"/>
          <w:lang w:val="en-US" w:eastAsia="zh-CN"/>
        </w:rPr>
      </w:pPr>
    </w:p>
    <w:p>
      <w:pPr>
        <w:jc w:val="center"/>
        <w:rPr>
          <w:rFonts w:hint="eastAsia" w:ascii="黑体" w:hAnsi="黑体" w:eastAsia="黑体" w:cs="黑体"/>
          <w:sz w:val="32"/>
          <w:szCs w:val="32"/>
          <w:highlight w:val="none"/>
          <w:lang w:val="en-US" w:eastAsia="zh-CN"/>
        </w:rPr>
      </w:pPr>
    </w:p>
    <w:p>
      <w:pPr>
        <w:jc w:val="center"/>
        <w:rPr>
          <w:rFonts w:hint="eastAsia" w:ascii="黑体" w:hAnsi="黑体" w:eastAsia="黑体" w:cs="黑体"/>
          <w:sz w:val="32"/>
          <w:szCs w:val="32"/>
          <w:highlight w:val="none"/>
          <w:lang w:val="en-US" w:eastAsia="zh-CN"/>
        </w:rPr>
        <w:sectPr>
          <w:pgSz w:w="11906" w:h="16838"/>
          <w:pgMar w:top="1440" w:right="1800" w:bottom="1440" w:left="1800" w:header="851" w:footer="992" w:gutter="0"/>
          <w:cols w:space="425" w:num="1"/>
          <w:docGrid w:type="lines" w:linePitch="312" w:charSpace="0"/>
        </w:sectPr>
      </w:pPr>
    </w:p>
    <w:p>
      <w:pPr>
        <w:jc w:val="both"/>
        <w:rPr>
          <w:rFonts w:hint="default" w:ascii="黑体" w:hAnsi="黑体" w:eastAsia="黑体" w:cs="黑体"/>
          <w:sz w:val="32"/>
          <w:szCs w:val="32"/>
          <w:highlight w:val="none"/>
          <w:lang w:val="en-US" w:eastAsia="zh-CN"/>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第二部分：</w:t>
      </w:r>
      <w:r>
        <w:rPr>
          <w:rFonts w:hint="eastAsia" w:ascii="黑体" w:hAnsi="黑体" w:eastAsia="黑体" w:cs="黑体"/>
          <w:sz w:val="32"/>
          <w:u w:color="auto"/>
          <w:lang w:val="en-US" w:eastAsia="zh-CN"/>
        </w:rPr>
        <w:t>环江毛南族自治县林业局</w:t>
      </w:r>
      <w:r>
        <w:rPr>
          <w:rFonts w:hint="eastAsia" w:ascii="黑体" w:hAnsi="黑体" w:eastAsia="黑体" w:cs="黑体"/>
          <w:sz w:val="32"/>
          <w:szCs w:val="32"/>
          <w:highlight w:val="none"/>
        </w:rPr>
        <w:t xml:space="preserve"> 2022年度部门决算报表</w:t>
      </w:r>
    </w:p>
    <w:tbl>
      <w:tblPr>
        <w:tblStyle w:val="7"/>
        <w:tblW w:w="13940" w:type="dxa"/>
        <w:tblInd w:w="96" w:type="dxa"/>
        <w:tblLayout w:type="fixed"/>
        <w:tblCellMar>
          <w:top w:w="0" w:type="dxa"/>
          <w:left w:w="108" w:type="dxa"/>
          <w:bottom w:w="0" w:type="dxa"/>
          <w:right w:w="108" w:type="dxa"/>
        </w:tblCellMar>
      </w:tblPr>
      <w:tblGrid>
        <w:gridCol w:w="2543"/>
        <w:gridCol w:w="2393"/>
        <w:gridCol w:w="2231"/>
        <w:gridCol w:w="2669"/>
        <w:gridCol w:w="2202"/>
        <w:gridCol w:w="1902"/>
      </w:tblGrid>
      <w:tr>
        <w:tblPrEx>
          <w:tblCellMar>
            <w:top w:w="0" w:type="dxa"/>
            <w:left w:w="108" w:type="dxa"/>
            <w:bottom w:w="0" w:type="dxa"/>
            <w:right w:w="108" w:type="dxa"/>
          </w:tblCellMar>
        </w:tblPrEx>
        <w:trPr>
          <w:trHeight w:val="902" w:hRule="atLeast"/>
        </w:trPr>
        <w:tc>
          <w:tcPr>
            <w:tcW w:w="139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表一：收入支出决算总表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收入支出决算总表</w:t>
            </w:r>
          </w:p>
        </w:tc>
      </w:tr>
      <w:tr>
        <w:tblPrEx>
          <w:tblCellMar>
            <w:top w:w="0" w:type="dxa"/>
            <w:left w:w="108" w:type="dxa"/>
            <w:bottom w:w="0" w:type="dxa"/>
            <w:right w:w="108" w:type="dxa"/>
          </w:tblCellMar>
        </w:tblPrEx>
        <w:trPr>
          <w:trHeight w:val="301" w:hRule="atLeast"/>
        </w:trPr>
        <w:tc>
          <w:tcPr>
            <w:tcW w:w="254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3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66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公开01表</w:t>
            </w:r>
          </w:p>
        </w:tc>
      </w:tr>
      <w:tr>
        <w:tblPrEx>
          <w:tblCellMar>
            <w:top w:w="0" w:type="dxa"/>
            <w:left w:w="108" w:type="dxa"/>
            <w:bottom w:w="0" w:type="dxa"/>
            <w:right w:w="108" w:type="dxa"/>
          </w:tblCellMar>
        </w:tblPrEx>
        <w:trPr>
          <w:trHeight w:val="301" w:hRule="atLeast"/>
        </w:trPr>
        <w:tc>
          <w:tcPr>
            <w:tcW w:w="7167" w:type="dxa"/>
            <w:gridSpan w:val="3"/>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环江毛南族自治县林业局</w:t>
            </w:r>
          </w:p>
        </w:tc>
        <w:tc>
          <w:tcPr>
            <w:tcW w:w="2669"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2"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02"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5" w:hRule="atLeast"/>
        </w:trPr>
        <w:tc>
          <w:tcPr>
            <w:tcW w:w="7167"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收入</w:t>
            </w:r>
          </w:p>
        </w:tc>
        <w:tc>
          <w:tcPr>
            <w:tcW w:w="6773"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支出</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r>
      <w:tr>
        <w:tblPrEx>
          <w:tblCellMar>
            <w:top w:w="0" w:type="dxa"/>
            <w:left w:w="108" w:type="dxa"/>
            <w:bottom w:w="0" w:type="dxa"/>
            <w:right w:w="108" w:type="dxa"/>
          </w:tblCellMar>
        </w:tblPrEx>
        <w:trPr>
          <w:trHeight w:val="315"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一、一般公共预算财政拨款收入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9,016.47</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一、一般公共服务支出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27.17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二、政府性基金预算财政拨款收入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二、外交支出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三、国有资本经营预算财政拨款收入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四、上级补助收入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四、公共安全支出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五、事业收入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五、教育支出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六、经营收入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六、科学技术支出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七、附属单位上缴收入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七、文化旅游体育与传媒支出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八、其他收入</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2.80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八、社会保障和就业支出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39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217.39</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九、卫生健康支出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十、节能环保支出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966.27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十一、城乡社区支出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十二、农林水支出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7,322.34</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十三、交通运输支出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十四、资源勘探工业信息等支出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十五、商业服务业等支出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十六、金融支出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十七、援助其他地区支出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十八、自然资源海洋气象等支出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49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十九、住房保障支出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153.05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二十、粮油物资储备支出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二十一、国有资本经营预算支出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22</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二十二、灾害防治及应急管理支出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53</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23</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二十三、其他支出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54</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330.25</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24</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二十四、债务还本支出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55</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25</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二十五、债务付息支出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56</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26</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二十六、抗疫特别国债安排的支出</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57</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本年收入合计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27</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9,016.47</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本年支出合计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58</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9,016.47</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使用非财政拨款结余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28</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结余分配</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59</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年初结转和结余</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29</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val="en-US" w:eastAsia="zh-CN" w:bidi="ar"/>
              </w:rPr>
            </w:pPr>
            <w:r>
              <w:rPr>
                <w:rFonts w:hint="eastAsia" w:ascii="宋体" w:hAnsi="宋体" w:eastAsia="宋体" w:cs="宋体"/>
                <w:color w:val="000000"/>
                <w:kern w:val="0"/>
                <w:sz w:val="22"/>
                <w:szCs w:val="22"/>
                <w:highlight w:val="none"/>
                <w:lang w:val="en-US" w:eastAsia="zh-CN"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年末结转和结余</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60</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30</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61</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334" w:hRule="atLeast"/>
        </w:trPr>
        <w:tc>
          <w:tcPr>
            <w:tcW w:w="254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highlight w:val="none"/>
              </w:rPr>
            </w:pPr>
            <w:r>
              <w:rPr>
                <w:rFonts w:hint="eastAsia"/>
                <w:highlight w:val="none"/>
              </w:rPr>
              <w:t>总计</w:t>
            </w:r>
          </w:p>
        </w:tc>
        <w:tc>
          <w:tcPr>
            <w:tcW w:w="239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31</w:t>
            </w:r>
          </w:p>
        </w:tc>
        <w:tc>
          <w:tcPr>
            <w:tcW w:w="223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9,016.47</w:t>
            </w:r>
          </w:p>
        </w:tc>
        <w:tc>
          <w:tcPr>
            <w:tcW w:w="26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2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62</w:t>
            </w:r>
          </w:p>
        </w:tc>
        <w:tc>
          <w:tcPr>
            <w:tcW w:w="19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9,016.47</w:t>
            </w:r>
          </w:p>
        </w:tc>
      </w:tr>
    </w:tbl>
    <w:p>
      <w:pPr>
        <w:rPr>
          <w:rFonts w:ascii="宋体" w:hAnsi="宋体" w:eastAsia="宋体" w:cs="宋体"/>
          <w:color w:val="000000"/>
          <w:kern w:val="0"/>
          <w:sz w:val="30"/>
          <w:szCs w:val="30"/>
          <w:highlight w:val="none"/>
          <w:lang w:bidi="ar"/>
        </w:rPr>
      </w:pPr>
      <w:r>
        <w:rPr>
          <w:rFonts w:hint="eastAsia" w:ascii="宋体" w:hAnsi="宋体" w:eastAsia="宋体" w:cs="宋体"/>
          <w:color w:val="000000"/>
          <w:kern w:val="0"/>
          <w:sz w:val="30"/>
          <w:szCs w:val="30"/>
          <w:highlight w:val="none"/>
          <w:lang w:bidi="ar"/>
        </w:rPr>
        <w:br w:type="page"/>
      </w:r>
    </w:p>
    <w:tbl>
      <w:tblPr>
        <w:tblStyle w:val="7"/>
        <w:tblW w:w="13960" w:type="dxa"/>
        <w:tblInd w:w="96" w:type="dxa"/>
        <w:tblLayout w:type="fixed"/>
        <w:tblCellMar>
          <w:top w:w="0" w:type="dxa"/>
          <w:left w:w="108" w:type="dxa"/>
          <w:bottom w:w="0" w:type="dxa"/>
          <w:right w:w="108" w:type="dxa"/>
        </w:tblCellMar>
      </w:tblPr>
      <w:tblGrid>
        <w:gridCol w:w="1584"/>
        <w:gridCol w:w="1378"/>
        <w:gridCol w:w="236"/>
        <w:gridCol w:w="236"/>
        <w:gridCol w:w="524"/>
        <w:gridCol w:w="1520"/>
        <w:gridCol w:w="1453"/>
        <w:gridCol w:w="1373"/>
        <w:gridCol w:w="1467"/>
        <w:gridCol w:w="1480"/>
        <w:gridCol w:w="1440"/>
        <w:gridCol w:w="1269"/>
      </w:tblGrid>
      <w:tr>
        <w:tblPrEx>
          <w:tblCellMar>
            <w:top w:w="0" w:type="dxa"/>
            <w:left w:w="108" w:type="dxa"/>
            <w:bottom w:w="0" w:type="dxa"/>
            <w:right w:w="108" w:type="dxa"/>
          </w:tblCellMar>
        </w:tblPrEx>
        <w:trPr>
          <w:trHeight w:val="951" w:hRule="atLeast"/>
        </w:trPr>
        <w:tc>
          <w:tcPr>
            <w:tcW w:w="13960" w:type="dxa"/>
            <w:gridSpan w:val="1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eastAsia" w:ascii="仿宋" w:hAnsi="仿宋" w:eastAsia="仿宋" w:cs="仿宋"/>
                <w:sz w:val="24"/>
                <w:highlight w:val="none"/>
              </w:rPr>
            </w:pPr>
            <w:r>
              <w:rPr>
                <w:rFonts w:hint="eastAsia" w:ascii="仿宋" w:hAnsi="仿宋" w:eastAsia="仿宋" w:cs="仿宋"/>
                <w:sz w:val="24"/>
                <w:highlight w:val="none"/>
              </w:rPr>
              <w:t>表二：收入决算表</w:t>
            </w:r>
          </w:p>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收入决算表</w:t>
            </w:r>
          </w:p>
        </w:tc>
      </w:tr>
      <w:tr>
        <w:tblPrEx>
          <w:tblCellMar>
            <w:top w:w="0" w:type="dxa"/>
            <w:left w:w="108" w:type="dxa"/>
            <w:bottom w:w="0" w:type="dxa"/>
            <w:right w:w="108" w:type="dxa"/>
          </w:tblCellMar>
        </w:tblPrEx>
        <w:trPr>
          <w:trHeight w:val="317" w:hRule="atLeast"/>
        </w:trPr>
        <w:tc>
          <w:tcPr>
            <w:tcW w:w="2962"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2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52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公开02表</w:t>
            </w:r>
          </w:p>
        </w:tc>
      </w:tr>
      <w:tr>
        <w:tblPrEx>
          <w:tblCellMar>
            <w:top w:w="0" w:type="dxa"/>
            <w:left w:w="108" w:type="dxa"/>
            <w:bottom w:w="0" w:type="dxa"/>
            <w:right w:w="108" w:type="dxa"/>
          </w:tblCellMar>
        </w:tblPrEx>
        <w:trPr>
          <w:trHeight w:val="317" w:hRule="atLeast"/>
        </w:trPr>
        <w:tc>
          <w:tcPr>
            <w:tcW w:w="6931"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环江毛南族自治县林业局</w:t>
            </w:r>
          </w:p>
        </w:tc>
        <w:tc>
          <w:tcPr>
            <w:tcW w:w="13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6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09"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52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本年收入合计</w:t>
            </w:r>
          </w:p>
        </w:tc>
        <w:tc>
          <w:tcPr>
            <w:tcW w:w="14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财政拨款收入</w:t>
            </w:r>
          </w:p>
        </w:tc>
        <w:tc>
          <w:tcPr>
            <w:tcW w:w="13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上级补助收入</w:t>
            </w:r>
          </w:p>
        </w:tc>
        <w:tc>
          <w:tcPr>
            <w:tcW w:w="146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事业收入</w:t>
            </w:r>
          </w:p>
        </w:tc>
        <w:tc>
          <w:tcPr>
            <w:tcW w:w="14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经营收入</w:t>
            </w:r>
          </w:p>
        </w:tc>
        <w:tc>
          <w:tcPr>
            <w:tcW w:w="144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附属单位上缴收入</w:t>
            </w:r>
          </w:p>
        </w:tc>
        <w:tc>
          <w:tcPr>
            <w:tcW w:w="126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Cs w:val="21"/>
                <w:highlight w:val="none"/>
              </w:rPr>
            </w:pPr>
            <w:r>
              <w:rPr>
                <w:rFonts w:hint="eastAsia" w:ascii="宋体" w:hAnsi="宋体" w:eastAsia="宋体" w:cs="宋体"/>
                <w:color w:val="000000"/>
                <w:kern w:val="0"/>
                <w:szCs w:val="21"/>
                <w:highlight w:val="none"/>
                <w:lang w:bidi="ar"/>
              </w:rPr>
              <w:t>其他收入</w:t>
            </w:r>
          </w:p>
        </w:tc>
      </w:tr>
      <w:tr>
        <w:tblPrEx>
          <w:tblCellMar>
            <w:top w:w="0" w:type="dxa"/>
            <w:left w:w="108" w:type="dxa"/>
            <w:bottom w:w="0" w:type="dxa"/>
            <w:right w:w="108" w:type="dxa"/>
          </w:tblCellMar>
        </w:tblPrEx>
        <w:trPr>
          <w:trHeight w:val="327" w:hRule="atLeast"/>
        </w:trPr>
        <w:tc>
          <w:tcPr>
            <w:tcW w:w="158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374"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158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4"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52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6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4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6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7"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52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4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37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46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4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44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269"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r>
      <w:tr>
        <w:tblPrEx>
          <w:tblCellMar>
            <w:top w:w="0" w:type="dxa"/>
            <w:left w:w="108" w:type="dxa"/>
            <w:bottom w:w="0" w:type="dxa"/>
            <w:right w:w="108" w:type="dxa"/>
          </w:tblCellMar>
        </w:tblPrEx>
        <w:trPr>
          <w:trHeight w:val="961" w:hRule="atLeast"/>
        </w:trPr>
        <w:tc>
          <w:tcPr>
            <w:tcW w:w="3958"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9,016.47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9,016.47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一般公共服务支出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27.17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27.17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群众团体事务</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27.17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27.17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27.17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27.17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217.39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217.39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217.39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217.39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205.68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205.68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2080506</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11.71</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11.71</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节能环保支出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966.27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966.27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21104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自然生态保护</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6.27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6.27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2110401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生态保护</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6.27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6.27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21199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其他节能环保支出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960.00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960.00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2119999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其他节能环保支出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960.00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960.00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农林水支出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7,322.34</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7,322.34</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农业农村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2130104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3.73</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3.73</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林业和草原</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7,311.75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7,311.75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2130204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事业机构</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1,297.87</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1,297.87</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2130205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森林资源培育</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1,050.30</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1,050.30</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2130206</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技术推广与转化</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49.89</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49.89</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2130209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森林生态效益补偿</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3,598.48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3,598.48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2130211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动植物保护</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2130213</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执法与监督</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37.58</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37.58</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2130234</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林业草原防灾减灾</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52.92</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52.92</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2130299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其他林业和草原支出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1,222.96</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1,222.96</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6.85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6.85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2130505</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生产发展</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6.85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6.85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住房保障支出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153.05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153.05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住房改革支出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153.05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153.05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2210201</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153.05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153.05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330.25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330.25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330.25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330.25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58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2299999</w:t>
            </w:r>
          </w:p>
        </w:tc>
        <w:tc>
          <w:tcPr>
            <w:tcW w:w="2374"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52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330.25</w:t>
            </w:r>
          </w:p>
        </w:tc>
        <w:tc>
          <w:tcPr>
            <w:tcW w:w="14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330.25</w:t>
            </w:r>
          </w:p>
        </w:tc>
        <w:tc>
          <w:tcPr>
            <w:tcW w:w="13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6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44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c>
          <w:tcPr>
            <w:tcW w:w="126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leftChars="0" w:right="0" w:rightChars="0"/>
              <w:jc w:val="right"/>
              <w:textAlignment w:val="center"/>
              <w:rPr>
                <w:rFonts w:hint="default" w:ascii="宋体" w:hAnsi="宋体" w:eastAsia="宋体" w:cs="宋体"/>
                <w:color w:val="000000"/>
                <w:kern w:val="0"/>
                <w:sz w:val="22"/>
                <w:szCs w:val="22"/>
                <w:highlight w:val="none"/>
                <w:lang w:val="en-US" w:eastAsia="zh-CN" w:bidi="ar"/>
              </w:rPr>
            </w:pPr>
            <w:r>
              <w:rPr>
                <w:rFonts w:hint="default" w:ascii="宋体" w:hAnsi="宋体" w:eastAsia="宋体" w:cs="宋体"/>
                <w:color w:val="000000"/>
                <w:kern w:val="0"/>
                <w:sz w:val="22"/>
                <w:szCs w:val="22"/>
                <w:highlight w:val="none"/>
                <w:lang w:bidi="ar"/>
              </w:rPr>
              <w:t>0.00</w:t>
            </w:r>
          </w:p>
        </w:tc>
      </w:tr>
      <w:tr>
        <w:tblPrEx>
          <w:tblCellMar>
            <w:top w:w="0" w:type="dxa"/>
            <w:left w:w="108" w:type="dxa"/>
            <w:bottom w:w="0" w:type="dxa"/>
            <w:right w:w="108" w:type="dxa"/>
          </w:tblCellMar>
        </w:tblPrEx>
        <w:trPr>
          <w:trHeight w:val="327" w:hRule="atLeast"/>
        </w:trPr>
        <w:tc>
          <w:tcPr>
            <w:tcW w:w="13960" w:type="dxa"/>
            <w:gridSpan w:val="12"/>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注：本表反映部门本年度取得的各项收入情况。</w:t>
            </w:r>
          </w:p>
        </w:tc>
      </w:tr>
    </w:tbl>
    <w:p>
      <w:pPr>
        <w:jc w:val="center"/>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表三：支出决算表</w:t>
      </w:r>
    </w:p>
    <w:p>
      <w:pPr>
        <w:jc w:val="left"/>
        <w:rPr>
          <w:rFonts w:hint="eastAsia" w:ascii="仿宋" w:hAnsi="仿宋" w:eastAsia="仿宋" w:cs="仿宋"/>
          <w:sz w:val="24"/>
          <w:highlight w:val="none"/>
        </w:rPr>
      </w:pPr>
    </w:p>
    <w:tbl>
      <w:tblPr>
        <w:tblStyle w:val="7"/>
        <w:tblW w:w="13980" w:type="dxa"/>
        <w:tblInd w:w="96" w:type="dxa"/>
        <w:tblLayout w:type="fixed"/>
        <w:tblCellMar>
          <w:top w:w="0" w:type="dxa"/>
          <w:left w:w="108" w:type="dxa"/>
          <w:bottom w:w="0" w:type="dxa"/>
          <w:right w:w="108" w:type="dxa"/>
        </w:tblCellMar>
      </w:tblPr>
      <w:tblGrid>
        <w:gridCol w:w="1142"/>
        <w:gridCol w:w="237"/>
        <w:gridCol w:w="239"/>
        <w:gridCol w:w="64"/>
        <w:gridCol w:w="2222"/>
        <w:gridCol w:w="1627"/>
        <w:gridCol w:w="1680"/>
        <w:gridCol w:w="1760"/>
        <w:gridCol w:w="1653"/>
        <w:gridCol w:w="1654"/>
        <w:gridCol w:w="1702"/>
      </w:tblGrid>
      <w:tr>
        <w:tblPrEx>
          <w:tblCellMar>
            <w:top w:w="0" w:type="dxa"/>
            <w:left w:w="108" w:type="dxa"/>
            <w:bottom w:w="0" w:type="dxa"/>
            <w:right w:w="108" w:type="dxa"/>
          </w:tblCellMar>
        </w:tblPrEx>
        <w:trPr>
          <w:trHeight w:val="623"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支出决算表</w:t>
            </w:r>
          </w:p>
        </w:tc>
      </w:tr>
      <w:tr>
        <w:tblPrEx>
          <w:tblCellMar>
            <w:top w:w="0" w:type="dxa"/>
            <w:left w:w="108" w:type="dxa"/>
            <w:bottom w:w="0" w:type="dxa"/>
            <w:right w:w="108" w:type="dxa"/>
          </w:tblCellMar>
        </w:tblPrEx>
        <w:trPr>
          <w:trHeight w:val="312" w:hRule="atLeast"/>
        </w:trPr>
        <w:tc>
          <w:tcPr>
            <w:tcW w:w="114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3" w:type="dxa"/>
            <w:gridSpan w:val="2"/>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22"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7"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60"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公开03表</w:t>
            </w:r>
          </w:p>
        </w:tc>
      </w:tr>
      <w:tr>
        <w:tblPrEx>
          <w:tblCellMar>
            <w:top w:w="0" w:type="dxa"/>
            <w:left w:w="108" w:type="dxa"/>
            <w:bottom w:w="0" w:type="dxa"/>
            <w:right w:w="108" w:type="dxa"/>
          </w:tblCellMar>
        </w:tblPrEx>
        <w:trPr>
          <w:trHeight w:val="312" w:hRule="atLeast"/>
        </w:trPr>
        <w:tc>
          <w:tcPr>
            <w:tcW w:w="8971" w:type="dxa"/>
            <w:gridSpan w:val="8"/>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环江毛南族自治县林业局</w:t>
            </w:r>
          </w:p>
        </w:tc>
        <w:tc>
          <w:tcPr>
            <w:tcW w:w="1653"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4" w:type="dxa"/>
            <w:tcBorders>
              <w:top w:val="nil"/>
              <w:left w:val="nil"/>
              <w:bottom w:val="single" w:color="auto" w:sz="4" w:space="0"/>
              <w:right w:val="nil"/>
            </w:tcBorders>
            <w:shd w:val="clear" w:color="auto" w:fill="auto"/>
            <w:noWrap/>
            <w:vAlign w:val="center"/>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02" w:type="dxa"/>
            <w:tcBorders>
              <w:top w:val="nil"/>
              <w:left w:val="nil"/>
              <w:bottom w:val="single" w:color="auto" w:sz="4" w:space="0"/>
              <w:right w:val="nil"/>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62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本年支出合计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上缴上级支出</w:t>
            </w:r>
          </w:p>
        </w:tc>
        <w:tc>
          <w:tcPr>
            <w:tcW w:w="165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经营支出</w:t>
            </w:r>
          </w:p>
        </w:tc>
        <w:tc>
          <w:tcPr>
            <w:tcW w:w="1702"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对附属单位补助支出</w:t>
            </w:r>
          </w:p>
        </w:tc>
      </w:tr>
      <w:tr>
        <w:tblPrEx>
          <w:tblCellMar>
            <w:top w:w="0" w:type="dxa"/>
            <w:left w:w="108" w:type="dxa"/>
            <w:bottom w:w="0" w:type="dxa"/>
            <w:right w:w="108" w:type="dxa"/>
          </w:tblCellMar>
        </w:tblPrEx>
        <w:trPr>
          <w:trHeight w:val="322" w:hRule="atLeast"/>
        </w:trPr>
        <w:tc>
          <w:tcPr>
            <w:tcW w:w="1618"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286"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465"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837" w:hRule="atLeast"/>
        </w:trPr>
        <w:tc>
          <w:tcPr>
            <w:tcW w:w="1618" w:type="dxa"/>
            <w:gridSpan w:val="3"/>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286"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2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4"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02"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22"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62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8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760"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53"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65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702"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trHeight w:val="633" w:hRule="atLeast"/>
        </w:trPr>
        <w:tc>
          <w:tcPr>
            <w:tcW w:w="3904"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9,016.47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2,062.35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6,954.12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一般公共服务支出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27.17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27.17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群众团体事务</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27.17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27.17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2012999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27.17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27.17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217.39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217.39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217.39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217.39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205.68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205.68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2080506</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11.71</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11.71</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节能环保支出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966.27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966.27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21104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自然生态保护</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6.27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6.27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2110401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生态保护</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6.27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6.27</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21199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其他节能环保支出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960.00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960.00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2119999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其他节能环保支出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960.00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960.00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农林水支出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7,322.34</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1,334.49</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5,987.85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农业农村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2130104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3.73</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林业和草原</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7,311.75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1,330.75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5,981.00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2130204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事业机构</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1,297.87</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1,297.87</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2130205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森林资源培育</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1,050.30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1,050.30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2130206</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技术推广与转化</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49.89</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49.89</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2130209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森林生态效益补偿</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3,598.48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3,598.48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2130211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动植物保护</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2130213</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执法与监督</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37.58</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37.58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2130234</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林业草原防灾减灾</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52.92</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52.92</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2130299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其他林业和草原支出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1,222.96</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32.88</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1,190.08</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6.85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6.85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2130505</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生产发展</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6.85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6.85</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住房保障支出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153.05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153.05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住房改革支出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153.05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153.05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2210201</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153.05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153.05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330.25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330.25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330.25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330.25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618"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2299999</w:t>
            </w:r>
          </w:p>
        </w:tc>
        <w:tc>
          <w:tcPr>
            <w:tcW w:w="2286"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162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330.25</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330.25</w:t>
            </w:r>
          </w:p>
        </w:tc>
        <w:tc>
          <w:tcPr>
            <w:tcW w:w="17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654"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1702"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22" w:hRule="atLeast"/>
        </w:trPr>
        <w:tc>
          <w:tcPr>
            <w:tcW w:w="13980" w:type="dxa"/>
            <w:gridSpan w:val="11"/>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注：本表反映部门本年度各项支出情况。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center"/>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表四：财政拨款收入支出决算总表</w:t>
      </w:r>
    </w:p>
    <w:p>
      <w:pPr>
        <w:jc w:val="left"/>
        <w:rPr>
          <w:rFonts w:hint="eastAsia" w:ascii="仿宋" w:hAnsi="仿宋" w:eastAsia="仿宋" w:cs="仿宋"/>
          <w:sz w:val="24"/>
          <w:highlight w:val="none"/>
        </w:rPr>
      </w:pPr>
    </w:p>
    <w:tbl>
      <w:tblPr>
        <w:tblStyle w:val="7"/>
        <w:tblW w:w="4965" w:type="pct"/>
        <w:tblInd w:w="0" w:type="dxa"/>
        <w:tblLayout w:type="fixed"/>
        <w:tblCellMar>
          <w:top w:w="0" w:type="dxa"/>
          <w:left w:w="108" w:type="dxa"/>
          <w:bottom w:w="0" w:type="dxa"/>
          <w:right w:w="108" w:type="dxa"/>
        </w:tblCellMar>
      </w:tblPr>
      <w:tblGrid>
        <w:gridCol w:w="2214"/>
        <w:gridCol w:w="785"/>
        <w:gridCol w:w="1307"/>
        <w:gridCol w:w="2360"/>
        <w:gridCol w:w="853"/>
        <w:gridCol w:w="1194"/>
        <w:gridCol w:w="1667"/>
        <w:gridCol w:w="1803"/>
        <w:gridCol w:w="1894"/>
      </w:tblGrid>
      <w:tr>
        <w:tblPrEx>
          <w:tblCellMar>
            <w:top w:w="0" w:type="dxa"/>
            <w:left w:w="108" w:type="dxa"/>
            <w:bottom w:w="0" w:type="dxa"/>
            <w:right w:w="108" w:type="dxa"/>
          </w:tblCellMar>
        </w:tblPrEx>
        <w:trPr>
          <w:trHeight w:val="520" w:hRule="atLeast"/>
        </w:trPr>
        <w:tc>
          <w:tcPr>
            <w:tcW w:w="5000" w:type="pct"/>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财政拨款收入支出决算总表</w:t>
            </w:r>
          </w:p>
        </w:tc>
      </w:tr>
      <w:tr>
        <w:tblPrEx>
          <w:tblCellMar>
            <w:top w:w="0" w:type="dxa"/>
            <w:left w:w="108" w:type="dxa"/>
            <w:bottom w:w="0" w:type="dxa"/>
            <w:right w:w="108" w:type="dxa"/>
          </w:tblCellMar>
        </w:tblPrEx>
        <w:trPr>
          <w:trHeight w:val="260" w:hRule="atLeast"/>
        </w:trPr>
        <w:tc>
          <w:tcPr>
            <w:tcW w:w="786"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7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6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838"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424"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592"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公开04表</w:t>
            </w:r>
          </w:p>
        </w:tc>
      </w:tr>
      <w:tr>
        <w:tblPrEx>
          <w:tblCellMar>
            <w:top w:w="0" w:type="dxa"/>
            <w:left w:w="108" w:type="dxa"/>
            <w:bottom w:w="0" w:type="dxa"/>
            <w:right w:w="108" w:type="dxa"/>
          </w:tblCellMar>
        </w:tblPrEx>
        <w:trPr>
          <w:trHeight w:val="260" w:hRule="atLeast"/>
        </w:trPr>
        <w:tc>
          <w:tcPr>
            <w:tcW w:w="3094" w:type="pct"/>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环江毛南族自治县林业局</w:t>
            </w:r>
          </w:p>
        </w:tc>
        <w:tc>
          <w:tcPr>
            <w:tcW w:w="592"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40" w:type="pct"/>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672" w:type="pct"/>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268" w:hRule="atLeast"/>
        </w:trPr>
        <w:tc>
          <w:tcPr>
            <w:tcW w:w="1529" w:type="pct"/>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收     入</w:t>
            </w:r>
          </w:p>
        </w:tc>
        <w:tc>
          <w:tcPr>
            <w:tcW w:w="3470" w:type="pct"/>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支     出</w:t>
            </w:r>
          </w:p>
        </w:tc>
      </w:tr>
      <w:tr>
        <w:tblPrEx>
          <w:tblCellMar>
            <w:top w:w="0" w:type="dxa"/>
            <w:left w:w="108" w:type="dxa"/>
            <w:bottom w:w="0" w:type="dxa"/>
            <w:right w:w="108" w:type="dxa"/>
          </w:tblCellMar>
        </w:tblPrEx>
        <w:trPr>
          <w:trHeight w:val="312" w:hRule="atLeast"/>
        </w:trPr>
        <w:tc>
          <w:tcPr>
            <w:tcW w:w="786"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27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64"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金额</w:t>
            </w:r>
          </w:p>
        </w:tc>
        <w:tc>
          <w:tcPr>
            <w:tcW w:w="838"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30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行次</w:t>
            </w:r>
          </w:p>
        </w:tc>
        <w:tc>
          <w:tcPr>
            <w:tcW w:w="424" w:type="pct"/>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59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一般公共预算财政拨款</w:t>
            </w:r>
          </w:p>
        </w:tc>
        <w:tc>
          <w:tcPr>
            <w:tcW w:w="640"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政府性基金预算财政拨款</w:t>
            </w:r>
          </w:p>
        </w:tc>
        <w:tc>
          <w:tcPr>
            <w:tcW w:w="672" w:type="pct"/>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国有资本经营预算财政拨款</w:t>
            </w:r>
          </w:p>
        </w:tc>
      </w:tr>
      <w:tr>
        <w:tblPrEx>
          <w:tblCellMar>
            <w:top w:w="0" w:type="dxa"/>
            <w:left w:w="108" w:type="dxa"/>
            <w:bottom w:w="0" w:type="dxa"/>
            <w:right w:w="108" w:type="dxa"/>
          </w:tblCellMar>
        </w:tblPrEx>
        <w:trPr>
          <w:trHeight w:val="536" w:hRule="atLeast"/>
        </w:trPr>
        <w:tc>
          <w:tcPr>
            <w:tcW w:w="786"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7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838"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24" w:type="pct"/>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59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40"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672" w:type="pct"/>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一、一般公共预算财政拨款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9,016.47</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一、一般公共服务支出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33</w:t>
            </w: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27.17</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27.17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二、政府性基金预算财政拨款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二、外交支出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34</w:t>
            </w: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三、国有资本经营预算财政拨款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三、国防支出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35</w:t>
            </w: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四、公共安全支出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36</w:t>
            </w: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五、教育支出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37</w:t>
            </w: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六、科学技术支出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38</w:t>
            </w: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七、文化旅游体育与传媒支出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39</w:t>
            </w: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八、社会保障和就业支出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40</w:t>
            </w: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217.39</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217.39</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九、卫生健康支出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41</w:t>
            </w: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十、节能环保支出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42</w:t>
            </w: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966.27</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966.27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十一、城乡社区支出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43</w:t>
            </w: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十二、农林水支出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44</w:t>
            </w: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7,322.34</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7,322.34</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十三、交通运输支出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45</w:t>
            </w: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十四、资源勘探工业信息等支出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46</w:t>
            </w: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十五、商业服务业等支出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47</w:t>
            </w: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十六、金融支出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48</w:t>
            </w: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十七、援助其他地区支出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49</w:t>
            </w: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十八、自然资源海洋气象等支出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50</w:t>
            </w: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19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十九、住房保障支出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51</w:t>
            </w: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153.05</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153.05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二十、粮油物资储备支出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52</w:t>
            </w: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二十一、国有资本经营预算支出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53</w:t>
            </w: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二十二、灾害防治及应急管理支出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54</w:t>
            </w: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23</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二十三、其他支出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55</w:t>
            </w: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330.25</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330.25</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24</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二十四、债务还本支出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56</w:t>
            </w: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25</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二十五、债务付息支出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57</w:t>
            </w: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26</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二十六、抗疫特别国债安排的支出</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58</w:t>
            </w: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本年收入合计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27</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9,016.47</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本年支出合计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59</w:t>
            </w: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9,016.47</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9,016.47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年初财政拨款结转和结余</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28</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年末财政拨款结转和结余</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60</w:t>
            </w: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一般公共预算财政拨款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29</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61</w:t>
            </w: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政府性基金预算财政拨款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30</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62</w:t>
            </w: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 xml:space="preserve">  国有资本经营预算财政拨款</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31</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0.00</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63</w:t>
            </w: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trHeight w:val="268" w:hRule="atLeast"/>
        </w:trPr>
        <w:tc>
          <w:tcPr>
            <w:tcW w:w="786"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总计</w:t>
            </w:r>
          </w:p>
        </w:tc>
        <w:tc>
          <w:tcPr>
            <w:tcW w:w="27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32</w:t>
            </w:r>
          </w:p>
        </w:tc>
        <w:tc>
          <w:tcPr>
            <w:tcW w:w="46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i w:val="0"/>
                <w:iCs w:val="0"/>
                <w:color w:val="000000"/>
                <w:kern w:val="2"/>
                <w:sz w:val="22"/>
                <w:szCs w:val="22"/>
                <w:u w:val="none"/>
                <w:lang w:val="en-US" w:eastAsia="zh-CN" w:bidi="ar-SA"/>
              </w:rPr>
            </w:pPr>
            <w:r>
              <w:rPr>
                <w:rFonts w:hint="eastAsia" w:ascii="宋体" w:hAnsi="宋体" w:eastAsia="宋体" w:cs="宋体"/>
                <w:i w:val="0"/>
                <w:iCs w:val="0"/>
                <w:color w:val="000000"/>
                <w:kern w:val="0"/>
                <w:sz w:val="22"/>
                <w:szCs w:val="22"/>
                <w:u w:val="none"/>
                <w:lang w:val="en-US" w:eastAsia="zh-CN" w:bidi="ar"/>
              </w:rPr>
              <w:t>9,016.47</w:t>
            </w:r>
          </w:p>
        </w:tc>
        <w:tc>
          <w:tcPr>
            <w:tcW w:w="838"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default" w:ascii="宋体" w:hAnsi="宋体" w:eastAsia="宋体" w:cs="宋体"/>
                <w:color w:val="000000"/>
                <w:kern w:val="0"/>
                <w:sz w:val="22"/>
                <w:szCs w:val="22"/>
                <w:highlight w:val="none"/>
                <w:lang w:bidi="ar"/>
              </w:rPr>
              <w:t>总计</w:t>
            </w:r>
          </w:p>
        </w:tc>
        <w:tc>
          <w:tcPr>
            <w:tcW w:w="30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64</w:t>
            </w:r>
          </w:p>
        </w:tc>
        <w:tc>
          <w:tcPr>
            <w:tcW w:w="424"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9,016.47</w:t>
            </w:r>
          </w:p>
        </w:tc>
        <w:tc>
          <w:tcPr>
            <w:tcW w:w="59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9,016.47</w:t>
            </w:r>
          </w:p>
        </w:tc>
        <w:tc>
          <w:tcPr>
            <w:tcW w:w="640"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672" w:type="pc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268" w:hRule="atLeast"/>
        </w:trPr>
        <w:tc>
          <w:tcPr>
            <w:tcW w:w="4327" w:type="pct"/>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注：本表反映部门本年度一般公共预算财政拨款、政府性基金预算财政拨款和国有资本经营预算财政拨款的总收支和年末结转结余情况。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p>
        </w:tc>
        <w:tc>
          <w:tcPr>
            <w:tcW w:w="672" w:type="pct"/>
            <w:tcBorders>
              <w:top w:val="single" w:color="auto" w:sz="4" w:space="0"/>
              <w:left w:val="nil"/>
              <w:bottom w:val="nil"/>
              <w:right w:val="nil"/>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0"/>
                <w:szCs w:val="20"/>
                <w:highlight w:val="none"/>
              </w:rPr>
            </w:pP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表五：一般公共预算财政拨款支出决算表</w:t>
      </w:r>
    </w:p>
    <w:p>
      <w:pPr>
        <w:jc w:val="left"/>
        <w:rPr>
          <w:rFonts w:hint="eastAsia" w:ascii="仿宋" w:hAnsi="仿宋" w:eastAsia="仿宋" w:cs="仿宋"/>
          <w:sz w:val="24"/>
          <w:highlight w:val="none"/>
        </w:rPr>
      </w:pPr>
    </w:p>
    <w:tbl>
      <w:tblPr>
        <w:tblStyle w:val="7"/>
        <w:tblW w:w="13980" w:type="dxa"/>
        <w:tblInd w:w="96" w:type="dxa"/>
        <w:tblLayout w:type="fixed"/>
        <w:tblCellMar>
          <w:top w:w="0" w:type="dxa"/>
          <w:left w:w="108" w:type="dxa"/>
          <w:bottom w:w="0" w:type="dxa"/>
          <w:right w:w="108" w:type="dxa"/>
        </w:tblCellMar>
      </w:tblPr>
      <w:tblGrid>
        <w:gridCol w:w="2011"/>
        <w:gridCol w:w="272"/>
        <w:gridCol w:w="238"/>
        <w:gridCol w:w="238"/>
        <w:gridCol w:w="2052"/>
        <w:gridCol w:w="3173"/>
        <w:gridCol w:w="3107"/>
        <w:gridCol w:w="2889"/>
      </w:tblGrid>
      <w:tr>
        <w:tblPrEx>
          <w:tblCellMar>
            <w:top w:w="0" w:type="dxa"/>
            <w:left w:w="108" w:type="dxa"/>
            <w:bottom w:w="0" w:type="dxa"/>
            <w:right w:w="108" w:type="dxa"/>
          </w:tblCellMar>
        </w:tblPrEx>
        <w:trPr>
          <w:trHeight w:val="693" w:hRule="atLeast"/>
        </w:trPr>
        <w:tc>
          <w:tcPr>
            <w:tcW w:w="1398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一般公共预算财政拨款支出决算表</w:t>
            </w:r>
          </w:p>
        </w:tc>
      </w:tr>
      <w:tr>
        <w:tblPrEx>
          <w:tblCellMar>
            <w:top w:w="0" w:type="dxa"/>
            <w:left w:w="108" w:type="dxa"/>
            <w:bottom w:w="0" w:type="dxa"/>
            <w:right w:w="108" w:type="dxa"/>
          </w:tblCellMar>
        </w:tblPrEx>
        <w:trPr>
          <w:trHeight w:val="346" w:hRule="atLeast"/>
        </w:trPr>
        <w:tc>
          <w:tcPr>
            <w:tcW w:w="2283"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052"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公开05表</w:t>
            </w:r>
          </w:p>
        </w:tc>
      </w:tr>
      <w:tr>
        <w:tblPrEx>
          <w:tblCellMar>
            <w:top w:w="0" w:type="dxa"/>
            <w:left w:w="108" w:type="dxa"/>
            <w:bottom w:w="0" w:type="dxa"/>
            <w:right w:w="108" w:type="dxa"/>
          </w:tblCellMar>
        </w:tblPrEx>
        <w:trPr>
          <w:trHeight w:val="346" w:hRule="atLeast"/>
        </w:trPr>
        <w:tc>
          <w:tcPr>
            <w:tcW w:w="7984" w:type="dxa"/>
            <w:gridSpan w:val="6"/>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环江毛南族自治县林业局</w:t>
            </w:r>
          </w:p>
        </w:tc>
        <w:tc>
          <w:tcPr>
            <w:tcW w:w="3107"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89" w:type="dxa"/>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69"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53" w:hRule="atLeast"/>
        </w:trPr>
        <w:tc>
          <w:tcPr>
            <w:tcW w:w="201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2800" w:type="dxa"/>
            <w:gridSpan w:val="4"/>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3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310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288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9"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3" w:hRule="atLeast"/>
        </w:trPr>
        <w:tc>
          <w:tcPr>
            <w:tcW w:w="201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00" w:type="dxa"/>
            <w:gridSpan w:val="4"/>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88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58" w:hRule="atLeast"/>
        </w:trPr>
        <w:tc>
          <w:tcPr>
            <w:tcW w:w="4811" w:type="dxa"/>
            <w:gridSpan w:val="5"/>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9,016.47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2,062.35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b/>
                <w:bCs/>
                <w:color w:val="000000"/>
                <w:sz w:val="22"/>
                <w:szCs w:val="22"/>
                <w:highlight w:val="none"/>
              </w:rPr>
            </w:pPr>
            <w:r>
              <w:rPr>
                <w:rFonts w:hint="eastAsia" w:ascii="宋体" w:hAnsi="宋体" w:eastAsia="宋体" w:cs="宋体"/>
                <w:b/>
                <w:bCs/>
                <w:i w:val="0"/>
                <w:iCs w:val="0"/>
                <w:color w:val="000000"/>
                <w:kern w:val="0"/>
                <w:sz w:val="22"/>
                <w:szCs w:val="22"/>
                <w:u w:val="none"/>
                <w:lang w:val="en-US" w:eastAsia="zh-CN" w:bidi="ar"/>
              </w:rPr>
              <w:t>6,954.12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一般公共服务支出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27.17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27.17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群众团体事务</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27.17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27.17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2012999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其他群众团体事务支出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27.17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27.17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社会保障和就业支出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217.39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217.39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行政事业单位养老支出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217.39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217.39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机关事业单位基本养老保险缴费支出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205.68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205.68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2080506</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机关事业单位职业年金缴费支出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11.71</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11.71</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节能环保支出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966.27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966.27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21104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自然生态保护</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6.27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6.27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2110401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生态保护</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6.27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6.27</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21199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其他节能环保支出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960.00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960.00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2119999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其他节能环保支出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960.00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960.00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农林水支出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7,322.34</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1,334.49</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5,987.85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农业农村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3.73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3.73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2130104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事业运行</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3.73</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3.73</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林业和草原</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7,311.75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1,330.75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5,981.00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2130204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事业机构</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1,297.87</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1,297.87</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2130205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森林资源培育</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1,050.30</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1,050.30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2130206</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技术推广与转化</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49.89</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49.89</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2130209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森林生态效益补偿</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3,598.48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3,598.48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2130211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动植物保护</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1.75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2130213</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执法与监督</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37.58</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37.58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2130234</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林业草原防灾减灾</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52.92</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52.92</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2130299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其他林业和草原支出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1,222.96</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32.88</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1,190.08</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巩固脱贫衔接乡村振兴</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6.85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6.85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2130505</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生产发展</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6.85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6.85</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住房保障支出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153.05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153.05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22102</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住房改革支出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153.05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153.05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2210201</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住房公积金</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153.05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153.05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330.25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330.25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330.25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330.25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201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2299999</w:t>
            </w:r>
          </w:p>
        </w:tc>
        <w:tc>
          <w:tcPr>
            <w:tcW w:w="2800"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 xml:space="preserve">  其他支出</w:t>
            </w:r>
          </w:p>
        </w:tc>
        <w:tc>
          <w:tcPr>
            <w:tcW w:w="3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330.25</w:t>
            </w:r>
          </w:p>
        </w:tc>
        <w:tc>
          <w:tcPr>
            <w:tcW w:w="3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330.25</w:t>
            </w:r>
          </w:p>
        </w:tc>
        <w:tc>
          <w:tcPr>
            <w:tcW w:w="288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358" w:hRule="atLeast"/>
        </w:trPr>
        <w:tc>
          <w:tcPr>
            <w:tcW w:w="13980" w:type="dxa"/>
            <w:gridSpan w:val="8"/>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注：本表反映部门本年度一般公共预算财政拨款支出情况。</w:t>
            </w: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表六：一般公共预算财政拨款基本支出决算表</w:t>
      </w:r>
    </w:p>
    <w:p>
      <w:pPr>
        <w:jc w:val="left"/>
        <w:rPr>
          <w:rFonts w:hint="eastAsia" w:ascii="仿宋" w:hAnsi="仿宋" w:eastAsia="仿宋" w:cs="仿宋"/>
          <w:sz w:val="24"/>
          <w:highlight w:val="none"/>
        </w:rPr>
      </w:pPr>
    </w:p>
    <w:tbl>
      <w:tblPr>
        <w:tblStyle w:val="7"/>
        <w:tblW w:w="14000" w:type="dxa"/>
        <w:tblInd w:w="96" w:type="dxa"/>
        <w:tblLayout w:type="fixed"/>
        <w:tblCellMar>
          <w:top w:w="0" w:type="dxa"/>
          <w:left w:w="108" w:type="dxa"/>
          <w:bottom w:w="0" w:type="dxa"/>
          <w:right w:w="108" w:type="dxa"/>
        </w:tblCellMar>
      </w:tblPr>
      <w:tblGrid>
        <w:gridCol w:w="1107"/>
        <w:gridCol w:w="2371"/>
        <w:gridCol w:w="1106"/>
        <w:gridCol w:w="1280"/>
        <w:gridCol w:w="2347"/>
        <w:gridCol w:w="1160"/>
        <w:gridCol w:w="1173"/>
        <w:gridCol w:w="2147"/>
        <w:gridCol w:w="1309"/>
      </w:tblGrid>
      <w:tr>
        <w:tblPrEx>
          <w:tblCellMar>
            <w:top w:w="0" w:type="dxa"/>
            <w:left w:w="108" w:type="dxa"/>
            <w:bottom w:w="0" w:type="dxa"/>
            <w:right w:w="108" w:type="dxa"/>
          </w:tblCellMar>
        </w:tblPrEx>
        <w:trPr>
          <w:trHeight w:val="614" w:hRule="atLeast"/>
        </w:trPr>
        <w:tc>
          <w:tcPr>
            <w:tcW w:w="14000" w:type="dxa"/>
            <w:gridSpan w:val="9"/>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一般公共预算财政拨款基本支出决算明细表</w:t>
            </w:r>
          </w:p>
        </w:tc>
      </w:tr>
      <w:tr>
        <w:tblPrEx>
          <w:tblCellMar>
            <w:top w:w="0" w:type="dxa"/>
            <w:left w:w="108" w:type="dxa"/>
            <w:bottom w:w="0" w:type="dxa"/>
            <w:right w:w="108" w:type="dxa"/>
          </w:tblCellMar>
        </w:tblPrEx>
        <w:trPr>
          <w:trHeight w:val="307" w:hRule="atLeast"/>
        </w:trPr>
        <w:tc>
          <w:tcPr>
            <w:tcW w:w="110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7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0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2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14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309"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公开06表</w:t>
            </w:r>
          </w:p>
        </w:tc>
      </w:tr>
      <w:tr>
        <w:tblPrEx>
          <w:tblCellMar>
            <w:top w:w="0" w:type="dxa"/>
            <w:left w:w="108" w:type="dxa"/>
            <w:bottom w:w="0" w:type="dxa"/>
            <w:right w:w="108" w:type="dxa"/>
          </w:tblCellMar>
        </w:tblPrEx>
        <w:trPr>
          <w:trHeight w:val="569" w:hRule="atLeast"/>
        </w:trPr>
        <w:tc>
          <w:tcPr>
            <w:tcW w:w="8211" w:type="dxa"/>
            <w:gridSpan w:val="5"/>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环江毛南族自治县林业局</w:t>
            </w:r>
          </w:p>
        </w:tc>
        <w:tc>
          <w:tcPr>
            <w:tcW w:w="116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73"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456" w:type="dxa"/>
            <w:gridSpan w:val="2"/>
            <w:tcBorders>
              <w:top w:val="nil"/>
              <w:left w:val="nil"/>
              <w:bottom w:val="single" w:color="auto" w:sz="4" w:space="0"/>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19" w:hRule="atLeast"/>
        </w:trPr>
        <w:tc>
          <w:tcPr>
            <w:tcW w:w="4584" w:type="dxa"/>
            <w:gridSpan w:val="3"/>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人员经费</w:t>
            </w:r>
          </w:p>
        </w:tc>
        <w:tc>
          <w:tcPr>
            <w:tcW w:w="9416" w:type="dxa"/>
            <w:gridSpan w:val="6"/>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公用经费</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科目编码</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2371"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0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2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3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16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c>
          <w:tcPr>
            <w:tcW w:w="11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科目编码</w:t>
            </w:r>
          </w:p>
        </w:tc>
        <w:tc>
          <w:tcPr>
            <w:tcW w:w="214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30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trHeight w:val="1237" w:hRule="atLeast"/>
        </w:trPr>
        <w:tc>
          <w:tcPr>
            <w:tcW w:w="110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71"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06"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2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3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147"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309"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工资福利支出</w:t>
            </w:r>
            <w:bookmarkStart w:id="1" w:name="OLE_LINK3"/>
            <w:bookmarkStart w:id="2" w:name="OLE_LINK4"/>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1,920.21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108.81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债务利息及费用支出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基本工资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373.12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0.12</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国内债务付息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津贴补贴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316.14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印刷费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30702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国外债务付息</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460.97</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咨询费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伙食补助费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25.73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手续费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房屋建筑物购建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绩效工资</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249.28</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水费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5.31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办公设备购置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机关事业单位基本养老保险缴费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234.81</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13.56</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专用设备购置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职业年金缴费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15.46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邮电费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9.95</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31005</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基础设施建设</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职工基本医疗保险缴费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82.05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取暖费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31006</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大型修缮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公务员医疗补助缴费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30209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物业管理费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0.28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信息网络及软件购置更新</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其他社会保障缴费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8.59</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差旅费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0.04</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物资储备</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住房公积金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153.05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30212</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因公出国（境）费用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土地补偿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30114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30213</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维修（护）费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安置补助</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30199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其他工资福利支出</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租赁费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0.03</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地上附着物和青苗补偿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33.33</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会议费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拆迁补偿</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离休费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培训费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31013</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30302</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退休费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公务接待费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31019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其他交通工具购置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30303</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退职（役）费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30218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专用材料费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31021</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文物和陈列品购置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30304</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抚恤金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6.36</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30224</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被装购置费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31022</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无形资产购置</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30305</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生活补助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26.65</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30225</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专用燃料费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31099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其他资本性支出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30306</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救济费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30226</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劳务费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30307</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医疗费补助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30227</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委托业务费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39907</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国家赔偿费用支出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30308</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助学金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30228</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工会经费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27.17</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39908</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对民间非营利组织和群众性自治组织补贴</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30309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奖励金</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30229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福利费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39909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经常性赠与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30310</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个人农业生产补贴</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30231</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公务用车运行维护费</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18.39</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39910</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资本性赠与</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30311</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代缴社会保险费</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30239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其他交通费用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29.78</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39999</w:t>
            </w: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其他支出</w:t>
            </w: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30399</w:t>
            </w: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其他对个人和家庭的补助</w:t>
            </w: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0.32</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30240</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税金及附加费用</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0.00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30299</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 xml:space="preserve">  其他商品和服务支出</w:t>
            </w: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4.10</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624" w:hRule="atLeast"/>
        </w:trPr>
        <w:tc>
          <w:tcPr>
            <w:tcW w:w="110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人员经费合计</w:t>
            </w:r>
          </w:p>
          <w:bookmarkEnd w:id="1"/>
          <w:bookmarkEnd w:id="2"/>
        </w:tc>
        <w:tc>
          <w:tcPr>
            <w:tcW w:w="2371"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both"/>
              <w:textAlignment w:val="center"/>
              <w:rPr>
                <w:rFonts w:hint="default" w:ascii="宋体" w:hAnsi="宋体" w:eastAsia="宋体" w:cs="宋体"/>
                <w:color w:val="000000"/>
                <w:sz w:val="22"/>
                <w:szCs w:val="22"/>
                <w:highlight w:val="none"/>
              </w:rPr>
            </w:pPr>
          </w:p>
        </w:tc>
        <w:tc>
          <w:tcPr>
            <w:tcW w:w="1106"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1,953.54</w:t>
            </w:r>
          </w:p>
        </w:tc>
        <w:tc>
          <w:tcPr>
            <w:tcW w:w="12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default" w:ascii="宋体" w:hAnsi="宋体" w:eastAsia="宋体" w:cs="宋体"/>
                <w:color w:val="000000"/>
                <w:kern w:val="0"/>
                <w:sz w:val="22"/>
                <w:szCs w:val="22"/>
                <w:highlight w:val="none"/>
                <w:lang w:bidi="ar"/>
              </w:rPr>
              <w:t>公用经费合计</w:t>
            </w:r>
          </w:p>
        </w:tc>
        <w:tc>
          <w:tcPr>
            <w:tcW w:w="23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16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108.81</w:t>
            </w:r>
          </w:p>
        </w:tc>
        <w:tc>
          <w:tcPr>
            <w:tcW w:w="11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2147"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p>
        </w:tc>
        <w:tc>
          <w:tcPr>
            <w:tcW w:w="1309"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sz w:val="22"/>
                <w:szCs w:val="22"/>
                <w:highlight w:val="none"/>
              </w:rPr>
            </w:pPr>
            <w:r>
              <w:rPr>
                <w:rFonts w:hint="eastAsia" w:ascii="宋体" w:hAnsi="宋体" w:eastAsia="宋体" w:cs="宋体"/>
                <w:i w:val="0"/>
                <w:iCs w:val="0"/>
                <w:color w:val="000000"/>
                <w:kern w:val="0"/>
                <w:sz w:val="22"/>
                <w:szCs w:val="22"/>
                <w:u w:val="none"/>
                <w:lang w:val="en-US" w:eastAsia="zh-CN" w:bidi="ar"/>
              </w:rPr>
              <w:t>108.81</w:t>
            </w:r>
          </w:p>
        </w:tc>
      </w:tr>
      <w:tr>
        <w:tblPrEx>
          <w:tblCellMar>
            <w:top w:w="0" w:type="dxa"/>
            <w:left w:w="108" w:type="dxa"/>
            <w:bottom w:w="0" w:type="dxa"/>
            <w:right w:w="108" w:type="dxa"/>
          </w:tblCellMar>
        </w:tblPrEx>
        <w:trPr>
          <w:trHeight w:val="319" w:hRule="atLeast"/>
        </w:trPr>
        <w:tc>
          <w:tcPr>
            <w:tcW w:w="14000" w:type="dxa"/>
            <w:gridSpan w:val="9"/>
            <w:tcBorders>
              <w:top w:val="single" w:color="auto" w:sz="4" w:space="0"/>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注：本表反映部门本年度一般公共预算财政拨款基本支出明细情况。</w:t>
            </w:r>
          </w:p>
        </w:tc>
      </w:tr>
    </w:tbl>
    <w:p>
      <w:pPr>
        <w:jc w:val="left"/>
        <w:rPr>
          <w:rFonts w:ascii="仿宋" w:hAnsi="仿宋" w:eastAsia="仿宋" w:cs="仿宋"/>
          <w:sz w:val="24"/>
          <w:highlight w:val="none"/>
        </w:rPr>
      </w:pPr>
    </w:p>
    <w:p>
      <w:pPr>
        <w:rPr>
          <w:rFonts w:ascii="仿宋" w:hAnsi="仿宋" w:eastAsia="仿宋" w:cs="仿宋"/>
          <w:sz w:val="24"/>
          <w:highlight w:val="none"/>
        </w:rPr>
      </w:pPr>
      <w:r>
        <w:rPr>
          <w:rFonts w:ascii="仿宋" w:hAnsi="仿宋" w:eastAsia="仿宋" w:cs="仿宋"/>
          <w:sz w:val="24"/>
          <w:highlight w:val="none"/>
        </w:rPr>
        <w:br w:type="page"/>
      </w: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七</w:t>
      </w:r>
      <w:r>
        <w:rPr>
          <w:rFonts w:hint="eastAsia" w:ascii="仿宋" w:hAnsi="仿宋" w:eastAsia="仿宋" w:cs="仿宋"/>
          <w:sz w:val="24"/>
          <w:highlight w:val="none"/>
        </w:rPr>
        <w:t>：政府性基金预算财政拨款收入支出决算表</w:t>
      </w:r>
    </w:p>
    <w:p>
      <w:pPr>
        <w:jc w:val="left"/>
        <w:rPr>
          <w:rFonts w:hint="eastAsia" w:ascii="仿宋" w:hAnsi="仿宋" w:eastAsia="仿宋" w:cs="仿宋"/>
          <w:sz w:val="24"/>
          <w:highlight w:val="none"/>
        </w:rPr>
      </w:pPr>
    </w:p>
    <w:tbl>
      <w:tblPr>
        <w:tblStyle w:val="7"/>
        <w:tblW w:w="13982" w:type="dxa"/>
        <w:tblInd w:w="96" w:type="dxa"/>
        <w:tblLayout w:type="fixed"/>
        <w:tblCellMar>
          <w:top w:w="0" w:type="dxa"/>
          <w:left w:w="108" w:type="dxa"/>
          <w:bottom w:w="0" w:type="dxa"/>
          <w:right w:w="108" w:type="dxa"/>
        </w:tblCellMar>
      </w:tblPr>
      <w:tblGrid>
        <w:gridCol w:w="1297"/>
        <w:gridCol w:w="240"/>
        <w:gridCol w:w="236"/>
        <w:gridCol w:w="1625"/>
        <w:gridCol w:w="1973"/>
        <w:gridCol w:w="1653"/>
        <w:gridCol w:w="1600"/>
        <w:gridCol w:w="1680"/>
        <w:gridCol w:w="1728"/>
        <w:gridCol w:w="2"/>
        <w:gridCol w:w="1946"/>
        <w:gridCol w:w="2"/>
      </w:tblGrid>
      <w:tr>
        <w:tblPrEx>
          <w:tblCellMar>
            <w:top w:w="0" w:type="dxa"/>
            <w:left w:w="108" w:type="dxa"/>
            <w:bottom w:w="0" w:type="dxa"/>
            <w:right w:w="108" w:type="dxa"/>
          </w:tblCellMar>
        </w:tblPrEx>
        <w:trPr>
          <w:gridAfter w:val="1"/>
          <w:wAfter w:w="2" w:type="dxa"/>
          <w:trHeight w:val="536" w:hRule="atLeast"/>
        </w:trPr>
        <w:tc>
          <w:tcPr>
            <w:tcW w:w="13980" w:type="dxa"/>
            <w:gridSpan w:val="11"/>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政府性基金预算财政拨款收入支出决算表</w:t>
            </w:r>
          </w:p>
        </w:tc>
      </w:tr>
      <w:tr>
        <w:tblPrEx>
          <w:tblCellMar>
            <w:top w:w="0" w:type="dxa"/>
            <w:left w:w="108" w:type="dxa"/>
            <w:bottom w:w="0" w:type="dxa"/>
            <w:right w:w="108" w:type="dxa"/>
          </w:tblCellMar>
        </w:tblPrEx>
        <w:trPr>
          <w:trHeight w:val="268" w:hRule="atLeast"/>
        </w:trPr>
        <w:tc>
          <w:tcPr>
            <w:tcW w:w="1297"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3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7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0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68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30"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7</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2" w:type="dxa"/>
          <w:trHeight w:val="268" w:hRule="atLeast"/>
        </w:trPr>
        <w:tc>
          <w:tcPr>
            <w:tcW w:w="8624" w:type="dxa"/>
            <w:gridSpan w:val="7"/>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环江毛南族自治县林业局</w:t>
            </w:r>
          </w:p>
        </w:tc>
        <w:tc>
          <w:tcPr>
            <w:tcW w:w="1680"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728" w:type="dxa"/>
            <w:tcBorders>
              <w:top w:val="nil"/>
              <w:left w:val="nil"/>
              <w:bottom w:val="single" w:color="auto" w:sz="4" w:space="0"/>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48" w:type="dxa"/>
            <w:gridSpan w:val="2"/>
            <w:tcBorders>
              <w:top w:val="nil"/>
              <w:left w:val="nil"/>
              <w:bottom w:val="single" w:color="auto" w:sz="4" w:space="0"/>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197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年初结转和结余</w:t>
            </w:r>
          </w:p>
        </w:tc>
        <w:tc>
          <w:tcPr>
            <w:tcW w:w="1653"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本年收入</w:t>
            </w:r>
          </w:p>
        </w:tc>
        <w:tc>
          <w:tcPr>
            <w:tcW w:w="5008" w:type="dxa"/>
            <w:gridSpan w:val="3"/>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c>
          <w:tcPr>
            <w:tcW w:w="194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年末结转和结余</w:t>
            </w: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1861" w:type="dxa"/>
            <w:gridSpan w:val="2"/>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680"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1728"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312" w:hRule="atLeast"/>
        </w:trPr>
        <w:tc>
          <w:tcPr>
            <w:tcW w:w="1537"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861" w:type="dxa"/>
            <w:gridSpan w:val="2"/>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7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53"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0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680"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728" w:type="dxa"/>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948"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r>
      <w:tr>
        <w:tblPrEx>
          <w:tblCellMar>
            <w:top w:w="0" w:type="dxa"/>
            <w:left w:w="108" w:type="dxa"/>
            <w:bottom w:w="0" w:type="dxa"/>
            <w:right w:w="108" w:type="dxa"/>
          </w:tblCellMar>
        </w:tblPrEx>
        <w:trPr>
          <w:gridAfter w:val="1"/>
          <w:wAfter w:w="2" w:type="dxa"/>
          <w:trHeight w:val="277" w:hRule="atLeast"/>
        </w:trPr>
        <w:tc>
          <w:tcPr>
            <w:tcW w:w="3398"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 xml:space="preserve">0.00 </w:t>
            </w: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gridAfter w:val="1"/>
          <w:wAfter w:w="2" w:type="dxa"/>
          <w:trHeight w:val="277" w:hRule="atLeast"/>
        </w:trPr>
        <w:tc>
          <w:tcPr>
            <w:tcW w:w="15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861"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197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53"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0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680"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728" w:type="dxa"/>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1948"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2" w:type="dxa"/>
          <w:trHeight w:val="277" w:hRule="atLeast"/>
        </w:trPr>
        <w:tc>
          <w:tcPr>
            <w:tcW w:w="13980" w:type="dxa"/>
            <w:gridSpan w:val="11"/>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auto"/>
                <w:kern w:val="0"/>
                <w:sz w:val="22"/>
                <w:szCs w:val="22"/>
                <w:highlight w:val="none"/>
                <w:lang w:bidi="ar"/>
              </w:rPr>
            </w:pPr>
            <w:r>
              <w:rPr>
                <w:rFonts w:hint="eastAsia" w:ascii="宋体" w:hAnsi="宋体" w:eastAsia="宋体" w:cs="宋体"/>
                <w:color w:val="auto"/>
                <w:kern w:val="0"/>
                <w:sz w:val="22"/>
                <w:szCs w:val="22"/>
                <w:highlight w:val="none"/>
                <w:lang w:bidi="ar"/>
              </w:rPr>
              <w:t>注：本表反映部门本年度政府性基金预算财政拨款收入、支出及结转和结余情况。</w:t>
            </w:r>
          </w:p>
          <w:p>
            <w:pPr>
              <w:keepNext w:val="0"/>
              <w:keepLines w:val="0"/>
              <w:widowControl w:val="0"/>
              <w:suppressLineNumbers w:val="0"/>
              <w:spacing w:before="0" w:beforeAutospacing="0" w:after="0" w:afterAutospacing="0"/>
              <w:ind w:left="0" w:right="0"/>
              <w:jc w:val="both"/>
              <w:rPr>
                <w:rFonts w:hint="default"/>
                <w:color w:val="auto"/>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年度没有政府性基金预算财政拨款收入，也没有政府性基金预算财政拨款安排的支出，故本表无数据。</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bl>
    <w:p>
      <w:pPr>
        <w:rPr>
          <w:rFonts w:ascii="仿宋" w:hAnsi="仿宋" w:eastAsia="仿宋" w:cs="仿宋"/>
          <w:sz w:val="24"/>
          <w:highlight w:val="none"/>
        </w:rPr>
      </w:pPr>
      <w:r>
        <w:rPr>
          <w:rFonts w:ascii="仿宋" w:hAnsi="仿宋" w:eastAsia="仿宋" w:cs="仿宋"/>
          <w:sz w:val="24"/>
          <w:highlight w:val="none"/>
        </w:rPr>
        <w:br w:type="page"/>
      </w:r>
    </w:p>
    <w:p>
      <w:pPr>
        <w:jc w:val="left"/>
        <w:rPr>
          <w:rFonts w:ascii="仿宋" w:hAnsi="仿宋" w:eastAsia="仿宋" w:cs="仿宋"/>
          <w:sz w:val="24"/>
          <w:highlight w:val="none"/>
        </w:rPr>
      </w:pPr>
    </w:p>
    <w:p>
      <w:pPr>
        <w:jc w:val="left"/>
        <w:rPr>
          <w:rFonts w:hint="eastAsia" w:ascii="仿宋" w:hAnsi="仿宋" w:eastAsia="仿宋" w:cs="仿宋"/>
          <w:sz w:val="24"/>
          <w:highlight w:val="none"/>
        </w:rPr>
      </w:pPr>
      <w:r>
        <w:rPr>
          <w:rFonts w:hint="eastAsia" w:ascii="仿宋" w:hAnsi="仿宋" w:eastAsia="仿宋" w:cs="仿宋"/>
          <w:sz w:val="24"/>
          <w:highlight w:val="none"/>
        </w:rPr>
        <w:t>表</w:t>
      </w:r>
      <w:r>
        <w:rPr>
          <w:rFonts w:hint="eastAsia" w:ascii="仿宋" w:hAnsi="仿宋" w:eastAsia="仿宋" w:cs="仿宋"/>
          <w:sz w:val="24"/>
          <w:highlight w:val="none"/>
          <w:lang w:val="en-US" w:eastAsia="zh-CN"/>
        </w:rPr>
        <w:t>八</w:t>
      </w:r>
      <w:r>
        <w:rPr>
          <w:rFonts w:hint="eastAsia" w:ascii="仿宋" w:hAnsi="仿宋" w:eastAsia="仿宋" w:cs="仿宋"/>
          <w:sz w:val="24"/>
          <w:highlight w:val="none"/>
        </w:rPr>
        <w:t>：国有资本经营预算财政拨款支出决算表</w:t>
      </w:r>
    </w:p>
    <w:p>
      <w:pPr>
        <w:jc w:val="left"/>
        <w:rPr>
          <w:rFonts w:hint="eastAsia" w:ascii="仿宋" w:hAnsi="仿宋" w:eastAsia="仿宋" w:cs="仿宋"/>
          <w:sz w:val="24"/>
          <w:highlight w:val="none"/>
        </w:rPr>
      </w:pPr>
    </w:p>
    <w:tbl>
      <w:tblPr>
        <w:tblStyle w:val="7"/>
        <w:tblW w:w="13940" w:type="dxa"/>
        <w:tblInd w:w="96" w:type="dxa"/>
        <w:tblLayout w:type="fixed"/>
        <w:tblCellMar>
          <w:top w:w="0" w:type="dxa"/>
          <w:left w:w="108" w:type="dxa"/>
          <w:bottom w:w="0" w:type="dxa"/>
          <w:right w:w="108" w:type="dxa"/>
        </w:tblCellMar>
      </w:tblPr>
      <w:tblGrid>
        <w:gridCol w:w="1638"/>
        <w:gridCol w:w="501"/>
        <w:gridCol w:w="285"/>
        <w:gridCol w:w="363"/>
        <w:gridCol w:w="1960"/>
        <w:gridCol w:w="2993"/>
        <w:gridCol w:w="3135"/>
        <w:gridCol w:w="3065"/>
      </w:tblGrid>
      <w:tr>
        <w:tblPrEx>
          <w:tblCellMar>
            <w:top w:w="0" w:type="dxa"/>
            <w:left w:w="108" w:type="dxa"/>
            <w:bottom w:w="0" w:type="dxa"/>
            <w:right w:w="108" w:type="dxa"/>
          </w:tblCellMar>
        </w:tblPrEx>
        <w:trPr>
          <w:trHeight w:val="384" w:hRule="atLeast"/>
        </w:trPr>
        <w:tc>
          <w:tcPr>
            <w:tcW w:w="13940" w:type="dxa"/>
            <w:gridSpan w:val="8"/>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国有资本经营预算财政拨款支出决算表</w:t>
            </w:r>
          </w:p>
        </w:tc>
      </w:tr>
      <w:tr>
        <w:tblPrEx>
          <w:tblCellMar>
            <w:top w:w="0" w:type="dxa"/>
            <w:left w:w="108" w:type="dxa"/>
            <w:bottom w:w="0" w:type="dxa"/>
            <w:right w:w="108" w:type="dxa"/>
          </w:tblCellMar>
        </w:tblPrEx>
        <w:trPr>
          <w:trHeight w:val="264" w:hRule="atLeast"/>
        </w:trPr>
        <w:tc>
          <w:tcPr>
            <w:tcW w:w="2139"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8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6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96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99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8</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trHeight w:val="264" w:hRule="atLeast"/>
        </w:trPr>
        <w:tc>
          <w:tcPr>
            <w:tcW w:w="7740" w:type="dxa"/>
            <w:gridSpan w:val="6"/>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环江毛南族自治县林业局</w:t>
            </w:r>
          </w:p>
        </w:tc>
        <w:tc>
          <w:tcPr>
            <w:tcW w:w="313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3065"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trHeight w:val="308" w:hRule="atLeast"/>
        </w:trPr>
        <w:tc>
          <w:tcPr>
            <w:tcW w:w="4747" w:type="dxa"/>
            <w:gridSpan w:val="5"/>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w:t>
            </w:r>
          </w:p>
        </w:tc>
        <w:tc>
          <w:tcPr>
            <w:tcW w:w="9193" w:type="dxa"/>
            <w:gridSpan w:val="3"/>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本年支出</w:t>
            </w:r>
          </w:p>
        </w:tc>
      </w:tr>
      <w:tr>
        <w:tblPrEx>
          <w:tblCellMar>
            <w:top w:w="0" w:type="dxa"/>
            <w:left w:w="108" w:type="dxa"/>
            <w:bottom w:w="0" w:type="dxa"/>
            <w:right w:w="108" w:type="dxa"/>
          </w:tblCellMar>
        </w:tblPrEx>
        <w:trPr>
          <w:trHeight w:val="312" w:hRule="atLeast"/>
        </w:trPr>
        <w:tc>
          <w:tcPr>
            <w:tcW w:w="1638"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功能分类科目编码</w:t>
            </w:r>
          </w:p>
        </w:tc>
        <w:tc>
          <w:tcPr>
            <w:tcW w:w="3109" w:type="dxa"/>
            <w:gridSpan w:val="4"/>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科目名称</w:t>
            </w:r>
          </w:p>
        </w:tc>
        <w:tc>
          <w:tcPr>
            <w:tcW w:w="299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313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基本支出</w:t>
            </w:r>
          </w:p>
        </w:tc>
        <w:tc>
          <w:tcPr>
            <w:tcW w:w="306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项目支出</w:t>
            </w: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12" w:hRule="atLeast"/>
        </w:trPr>
        <w:tc>
          <w:tcPr>
            <w:tcW w:w="1638"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09" w:type="dxa"/>
            <w:gridSpan w:val="4"/>
            <w:vMerge w:val="continue"/>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299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13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306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栏次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r>
      <w:tr>
        <w:tblPrEx>
          <w:tblCellMar>
            <w:top w:w="0" w:type="dxa"/>
            <w:left w:w="108" w:type="dxa"/>
            <w:bottom w:w="0" w:type="dxa"/>
            <w:right w:w="108" w:type="dxa"/>
          </w:tblCellMar>
        </w:tblPrEx>
        <w:trPr>
          <w:trHeight w:val="308" w:hRule="atLeast"/>
        </w:trPr>
        <w:tc>
          <w:tcPr>
            <w:tcW w:w="4747" w:type="dxa"/>
            <w:gridSpan w:val="5"/>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b/>
                <w:bCs/>
                <w:color w:val="000000"/>
                <w:sz w:val="22"/>
                <w:szCs w:val="22"/>
                <w:highlight w:val="none"/>
              </w:rPr>
            </w:pPr>
            <w:r>
              <w:rPr>
                <w:rFonts w:hint="eastAsia" w:ascii="宋体" w:hAnsi="宋体" w:eastAsia="宋体" w:cs="宋体"/>
                <w:b/>
                <w:bCs/>
                <w:color w:val="000000"/>
                <w:sz w:val="22"/>
                <w:szCs w:val="22"/>
                <w:highlight w:val="none"/>
              </w:rPr>
              <w:t>0.00</w:t>
            </w: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trHeight w:val="308" w:hRule="atLeast"/>
        </w:trPr>
        <w:tc>
          <w:tcPr>
            <w:tcW w:w="1638"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3109" w:type="dxa"/>
            <w:gridSpan w:val="4"/>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left"/>
              <w:rPr>
                <w:rFonts w:hint="default" w:ascii="宋体" w:hAnsi="宋体" w:eastAsia="宋体" w:cs="宋体"/>
                <w:color w:val="000000"/>
                <w:sz w:val="22"/>
                <w:szCs w:val="22"/>
                <w:highlight w:val="none"/>
              </w:rPr>
            </w:pPr>
          </w:p>
        </w:tc>
        <w:tc>
          <w:tcPr>
            <w:tcW w:w="299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13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c>
          <w:tcPr>
            <w:tcW w:w="306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p>
        </w:tc>
      </w:tr>
    </w:tbl>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注：本表反映部门本年度国有资本经营预算财政拨款支出情况。</w:t>
      </w:r>
    </w:p>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auto"/>
          <w:kern w:val="2"/>
          <w:sz w:val="21"/>
          <w:szCs w:val="21"/>
          <w:lang w:val="en-US" w:eastAsia="zh-CN" w:bidi="ar"/>
        </w:rPr>
        <w:t>本部门</w:t>
      </w:r>
      <w:r>
        <w:rPr>
          <w:rFonts w:hint="default" w:ascii="Times New Roman" w:hAnsi="Times New Roman" w:eastAsia="宋体" w:cs="Times New Roman"/>
          <w:color w:val="auto"/>
          <w:kern w:val="2"/>
          <w:sz w:val="21"/>
          <w:szCs w:val="21"/>
          <w:lang w:val="en-US" w:eastAsia="zh-CN" w:bidi="ar"/>
        </w:rPr>
        <w:t>2022</w:t>
      </w:r>
      <w:r>
        <w:rPr>
          <w:rFonts w:hint="eastAsia" w:ascii="宋体" w:hAnsi="宋体" w:eastAsia="宋体" w:cs="宋体"/>
          <w:color w:val="auto"/>
          <w:kern w:val="2"/>
          <w:sz w:val="21"/>
          <w:szCs w:val="21"/>
          <w:lang w:val="en-US" w:eastAsia="zh-CN" w:bidi="ar"/>
        </w:rPr>
        <w:t>年度没有国有资本经营预算财政拨款收入，也没有国有资本经营预算财政拨款安排的支出，故本表无数据。</w:t>
      </w:r>
      <w:r>
        <w:rPr>
          <w:rFonts w:hint="eastAsia" w:ascii="宋体" w:hAnsi="宋体" w:eastAsia="宋体" w:cs="宋体"/>
          <w:color w:val="000000"/>
          <w:kern w:val="0"/>
          <w:sz w:val="22"/>
          <w:szCs w:val="22"/>
          <w:highlight w:val="none"/>
          <w:lang w:bidi="ar"/>
        </w:rPr>
        <w:br w:type="page"/>
      </w:r>
    </w:p>
    <w:tbl>
      <w:tblPr>
        <w:tblStyle w:val="7"/>
        <w:tblW w:w="14036" w:type="dxa"/>
        <w:tblInd w:w="0" w:type="dxa"/>
        <w:tblLayout w:type="fixed"/>
        <w:tblCellMar>
          <w:top w:w="0" w:type="dxa"/>
          <w:left w:w="108" w:type="dxa"/>
          <w:bottom w:w="0" w:type="dxa"/>
          <w:right w:w="108" w:type="dxa"/>
        </w:tblCellMar>
      </w:tblPr>
      <w:tblGrid>
        <w:gridCol w:w="96"/>
        <w:gridCol w:w="1438"/>
        <w:gridCol w:w="1425"/>
        <w:gridCol w:w="1094"/>
        <w:gridCol w:w="1159"/>
        <w:gridCol w:w="1133"/>
        <w:gridCol w:w="1040"/>
        <w:gridCol w:w="1066"/>
        <w:gridCol w:w="1161"/>
        <w:gridCol w:w="1053"/>
        <w:gridCol w:w="1148"/>
        <w:gridCol w:w="1133"/>
        <w:gridCol w:w="1073"/>
        <w:gridCol w:w="17"/>
      </w:tblGrid>
      <w:tr>
        <w:trPr>
          <w:gridBefore w:val="1"/>
          <w:wBefore w:w="96" w:type="dxa"/>
          <w:trHeight w:val="308" w:hRule="atLeast"/>
        </w:trPr>
        <w:tc>
          <w:tcPr>
            <w:tcW w:w="13940" w:type="dxa"/>
            <w:gridSpan w:val="13"/>
            <w:tcBorders>
              <w:top w:val="nil"/>
              <w:left w:val="nil"/>
              <w:bottom w:val="nil"/>
              <w:right w:val="nil"/>
            </w:tcBorders>
            <w:shd w:val="clear" w:color="auto" w:fill="auto"/>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p>
        </w:tc>
      </w:tr>
      <w:tr>
        <w:tblPrEx>
          <w:tblCellMar>
            <w:top w:w="0" w:type="dxa"/>
            <w:left w:w="108" w:type="dxa"/>
            <w:bottom w:w="0" w:type="dxa"/>
            <w:right w:w="108" w:type="dxa"/>
          </w:tblCellMar>
        </w:tblPrEx>
        <w:trPr>
          <w:gridAfter w:val="1"/>
          <w:wAfter w:w="17" w:type="dxa"/>
          <w:trHeight w:val="632" w:hRule="atLeast"/>
        </w:trPr>
        <w:tc>
          <w:tcPr>
            <w:tcW w:w="14019" w:type="dxa"/>
            <w:gridSpan w:val="13"/>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jc w:val="left"/>
              <w:rPr>
                <w:rFonts w:hint="default" w:ascii="仿宋" w:hAnsi="仿宋" w:eastAsia="仿宋" w:cs="仿宋"/>
                <w:sz w:val="24"/>
                <w:highlight w:val="none"/>
              </w:rPr>
            </w:pPr>
            <w:r>
              <w:rPr>
                <w:rFonts w:hint="eastAsia" w:ascii="仿宋" w:hAnsi="仿宋" w:eastAsia="仿宋" w:cs="仿宋"/>
                <w:sz w:val="24"/>
                <w:highlight w:val="none"/>
                <w:lang w:val="en-US" w:eastAsia="zh-CN"/>
              </w:rPr>
              <w:t>表九：</w:t>
            </w:r>
            <w:r>
              <w:rPr>
                <w:rFonts w:hint="eastAsia" w:ascii="仿宋" w:hAnsi="仿宋" w:eastAsia="仿宋" w:cs="仿宋"/>
                <w:sz w:val="24"/>
                <w:highlight w:val="none"/>
              </w:rPr>
              <w:t>一般公共预算财政拨款安排的“三公”经费支出决算表</w:t>
            </w:r>
          </w:p>
          <w:p>
            <w:pPr>
              <w:keepNext w:val="0"/>
              <w:keepLines w:val="0"/>
              <w:widowControl/>
              <w:suppressLineNumbers w:val="0"/>
              <w:spacing w:before="0" w:beforeAutospacing="0" w:after="0" w:afterAutospacing="0"/>
              <w:ind w:left="0" w:right="0"/>
              <w:jc w:val="center"/>
              <w:textAlignment w:val="bottom"/>
              <w:rPr>
                <w:rFonts w:hint="eastAsia" w:ascii="宋体" w:hAnsi="宋体" w:eastAsia="宋体" w:cs="宋体"/>
                <w:color w:val="000000"/>
                <w:kern w:val="0"/>
                <w:sz w:val="30"/>
                <w:szCs w:val="30"/>
                <w:highlight w:val="none"/>
                <w:lang w:bidi="ar"/>
              </w:rPr>
            </w:pPr>
          </w:p>
          <w:p>
            <w:pPr>
              <w:keepNext w:val="0"/>
              <w:keepLines w:val="0"/>
              <w:widowControl/>
              <w:suppressLineNumbers w:val="0"/>
              <w:spacing w:before="0" w:beforeAutospacing="0" w:after="0" w:afterAutospacing="0"/>
              <w:ind w:left="0" w:right="0"/>
              <w:jc w:val="center"/>
              <w:textAlignment w:val="bottom"/>
              <w:rPr>
                <w:rFonts w:hint="default" w:ascii="宋体" w:hAnsi="宋体" w:eastAsia="宋体" w:cs="宋体"/>
                <w:color w:val="000000"/>
                <w:sz w:val="30"/>
                <w:szCs w:val="30"/>
                <w:highlight w:val="none"/>
              </w:rPr>
            </w:pPr>
            <w:r>
              <w:rPr>
                <w:rFonts w:hint="eastAsia" w:ascii="宋体" w:hAnsi="宋体" w:eastAsia="宋体" w:cs="宋体"/>
                <w:color w:val="000000"/>
                <w:kern w:val="0"/>
                <w:sz w:val="32"/>
                <w:szCs w:val="32"/>
                <w:highlight w:val="none"/>
                <w:lang w:bidi="ar"/>
              </w:rPr>
              <w:t>一般公共预算财政拨款“三公”经费支出决算表</w:t>
            </w:r>
          </w:p>
        </w:tc>
      </w:tr>
      <w:tr>
        <w:tblPrEx>
          <w:tblCellMar>
            <w:top w:w="0" w:type="dxa"/>
            <w:left w:w="108" w:type="dxa"/>
            <w:bottom w:w="0" w:type="dxa"/>
            <w:right w:w="108" w:type="dxa"/>
          </w:tblCellMar>
        </w:tblPrEx>
        <w:trPr>
          <w:gridAfter w:val="1"/>
          <w:wAfter w:w="17" w:type="dxa"/>
          <w:trHeight w:val="316" w:hRule="atLeast"/>
        </w:trPr>
        <w:tc>
          <w:tcPr>
            <w:tcW w:w="1534" w:type="dxa"/>
            <w:gridSpan w:val="2"/>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425"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94"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59"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40"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3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73" w:type="dxa"/>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公开0</w:t>
            </w:r>
            <w:r>
              <w:rPr>
                <w:rFonts w:hint="eastAsia" w:ascii="宋体" w:hAnsi="宋体" w:eastAsia="宋体" w:cs="宋体"/>
                <w:color w:val="000000"/>
                <w:kern w:val="0"/>
                <w:sz w:val="20"/>
                <w:szCs w:val="20"/>
                <w:highlight w:val="none"/>
                <w:lang w:val="en-US" w:eastAsia="zh-CN" w:bidi="ar"/>
              </w:rPr>
              <w:t>9</w:t>
            </w:r>
            <w:r>
              <w:rPr>
                <w:rFonts w:hint="eastAsia" w:ascii="宋体" w:hAnsi="宋体" w:eastAsia="宋体" w:cs="宋体"/>
                <w:color w:val="000000"/>
                <w:kern w:val="0"/>
                <w:sz w:val="20"/>
                <w:szCs w:val="20"/>
                <w:highlight w:val="none"/>
                <w:lang w:bidi="ar"/>
              </w:rPr>
              <w:t>表</w:t>
            </w:r>
          </w:p>
        </w:tc>
      </w:tr>
      <w:tr>
        <w:tblPrEx>
          <w:tblCellMar>
            <w:top w:w="0" w:type="dxa"/>
            <w:left w:w="108" w:type="dxa"/>
            <w:bottom w:w="0" w:type="dxa"/>
            <w:right w:w="108" w:type="dxa"/>
          </w:tblCellMar>
        </w:tblPrEx>
        <w:trPr>
          <w:gridAfter w:val="1"/>
          <w:wAfter w:w="17" w:type="dxa"/>
          <w:trHeight w:val="316" w:hRule="atLeast"/>
        </w:trPr>
        <w:tc>
          <w:tcPr>
            <w:tcW w:w="7385" w:type="dxa"/>
            <w:gridSpan w:val="7"/>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eastAsia" w:ascii="Arial" w:hAnsi="Arial" w:eastAsia="宋体" w:cs="Arial"/>
                <w:color w:val="000000"/>
                <w:sz w:val="20"/>
                <w:szCs w:val="20"/>
                <w:highlight w:val="none"/>
                <w:lang w:eastAsia="zh-CN"/>
              </w:rPr>
            </w:pPr>
            <w:r>
              <w:rPr>
                <w:rFonts w:hint="eastAsia" w:ascii="宋体" w:hAnsi="宋体" w:eastAsia="宋体" w:cs="宋体"/>
                <w:color w:val="000000"/>
                <w:kern w:val="0"/>
                <w:sz w:val="20"/>
                <w:szCs w:val="20"/>
                <w:highlight w:val="none"/>
                <w:lang w:bidi="ar"/>
              </w:rPr>
              <w:t>部门：</w:t>
            </w:r>
            <w:r>
              <w:rPr>
                <w:rFonts w:hint="eastAsia" w:ascii="宋体" w:hAnsi="宋体" w:eastAsia="宋体" w:cs="宋体"/>
                <w:color w:val="000000"/>
                <w:sz w:val="20"/>
                <w:u w:color="auto"/>
                <w:lang w:eastAsia="zh-CN"/>
              </w:rPr>
              <w:t>环江毛南族自治县林业局</w:t>
            </w:r>
          </w:p>
        </w:tc>
        <w:tc>
          <w:tcPr>
            <w:tcW w:w="1066"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61"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053"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1148" w:type="dxa"/>
            <w:tcBorders>
              <w:top w:val="nil"/>
              <w:left w:val="nil"/>
              <w:bottom w:val="nil"/>
              <w:right w:val="nil"/>
            </w:tcBorders>
            <w:shd w:val="clear" w:color="auto" w:fill="auto"/>
            <w:noWrap/>
            <w:vAlign w:val="bottom"/>
          </w:tcPr>
          <w:p>
            <w:pPr>
              <w:keepNext w:val="0"/>
              <w:keepLines w:val="0"/>
              <w:suppressLineNumbers w:val="0"/>
              <w:spacing w:before="0" w:beforeAutospacing="0" w:after="0" w:afterAutospacing="0"/>
              <w:ind w:left="0" w:right="0"/>
              <w:rPr>
                <w:rFonts w:hint="default" w:ascii="Arial" w:hAnsi="Arial" w:cs="Arial"/>
                <w:color w:val="000000"/>
                <w:sz w:val="20"/>
                <w:szCs w:val="20"/>
                <w:highlight w:val="none"/>
              </w:rPr>
            </w:pPr>
          </w:p>
        </w:tc>
        <w:tc>
          <w:tcPr>
            <w:tcW w:w="2206" w:type="dxa"/>
            <w:gridSpan w:val="2"/>
            <w:tcBorders>
              <w:top w:val="nil"/>
              <w:left w:val="nil"/>
              <w:bottom w:val="nil"/>
              <w:right w:val="nil"/>
            </w:tcBorders>
            <w:shd w:val="clear" w:color="auto" w:fill="auto"/>
            <w:noWrap/>
            <w:vAlign w:val="bottom"/>
          </w:tcPr>
          <w:p>
            <w:pPr>
              <w:keepNext w:val="0"/>
              <w:keepLines w:val="0"/>
              <w:widowControl/>
              <w:suppressLineNumbers w:val="0"/>
              <w:spacing w:before="0" w:beforeAutospacing="0" w:after="0" w:afterAutospacing="0"/>
              <w:ind w:left="0" w:right="0"/>
              <w:jc w:val="right"/>
              <w:textAlignment w:val="bottom"/>
              <w:rPr>
                <w:rFonts w:hint="default" w:ascii="宋体" w:hAnsi="宋体" w:eastAsia="宋体" w:cs="宋体"/>
                <w:color w:val="000000"/>
                <w:sz w:val="20"/>
                <w:szCs w:val="20"/>
                <w:highlight w:val="none"/>
              </w:rPr>
            </w:pPr>
            <w:r>
              <w:rPr>
                <w:rFonts w:hint="eastAsia" w:ascii="宋体" w:hAnsi="宋体" w:eastAsia="宋体" w:cs="宋体"/>
                <w:color w:val="000000"/>
                <w:kern w:val="0"/>
                <w:sz w:val="20"/>
                <w:szCs w:val="20"/>
                <w:highlight w:val="none"/>
                <w:lang w:bidi="ar"/>
              </w:rPr>
              <w:t>金额单位：万元</w:t>
            </w:r>
          </w:p>
        </w:tc>
      </w:tr>
      <w:tr>
        <w:tblPrEx>
          <w:tblCellMar>
            <w:top w:w="0" w:type="dxa"/>
            <w:left w:w="108" w:type="dxa"/>
            <w:bottom w:w="0" w:type="dxa"/>
            <w:right w:w="108" w:type="dxa"/>
          </w:tblCellMar>
        </w:tblPrEx>
        <w:trPr>
          <w:gridAfter w:val="1"/>
          <w:wAfter w:w="17" w:type="dxa"/>
          <w:trHeight w:val="326" w:hRule="atLeast"/>
        </w:trPr>
        <w:tc>
          <w:tcPr>
            <w:tcW w:w="73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预算数</w:t>
            </w:r>
          </w:p>
        </w:tc>
        <w:tc>
          <w:tcPr>
            <w:tcW w:w="6634" w:type="dxa"/>
            <w:gridSpan w:val="6"/>
            <w:tcBorders>
              <w:top w:val="single" w:color="000000" w:sz="4" w:space="0"/>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决算数</w:t>
            </w:r>
          </w:p>
        </w:tc>
      </w:tr>
      <w:tr>
        <w:tblPrEx>
          <w:tblCellMar>
            <w:top w:w="0" w:type="dxa"/>
            <w:left w:w="108" w:type="dxa"/>
            <w:bottom w:w="0" w:type="dxa"/>
            <w:right w:w="108" w:type="dxa"/>
          </w:tblCellMar>
        </w:tblPrEx>
        <w:trPr>
          <w:gridAfter w:val="1"/>
          <w:wAfter w:w="17" w:type="dxa"/>
          <w:trHeight w:val="326" w:hRule="atLeast"/>
        </w:trPr>
        <w:tc>
          <w:tcPr>
            <w:tcW w:w="1534" w:type="dxa"/>
            <w:gridSpan w:val="2"/>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42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86"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40"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c>
          <w:tcPr>
            <w:tcW w:w="1066"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合计</w:t>
            </w:r>
          </w:p>
        </w:tc>
        <w:tc>
          <w:tcPr>
            <w:tcW w:w="116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因公出国（境）费</w:t>
            </w:r>
          </w:p>
        </w:tc>
        <w:tc>
          <w:tcPr>
            <w:tcW w:w="3334"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公务用车购置及运行费</w:t>
            </w:r>
          </w:p>
        </w:tc>
        <w:tc>
          <w:tcPr>
            <w:tcW w:w="1073"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公务接待费</w:t>
            </w:r>
          </w:p>
        </w:tc>
      </w:tr>
      <w:tr>
        <w:tblPrEx>
          <w:tblCellMar>
            <w:top w:w="0" w:type="dxa"/>
            <w:left w:w="108" w:type="dxa"/>
            <w:bottom w:w="0" w:type="dxa"/>
            <w:right w:w="108" w:type="dxa"/>
          </w:tblCellMar>
        </w:tblPrEx>
        <w:trPr>
          <w:gridAfter w:val="1"/>
          <w:wAfter w:w="17" w:type="dxa"/>
          <w:trHeight w:val="642" w:hRule="atLeast"/>
        </w:trPr>
        <w:tc>
          <w:tcPr>
            <w:tcW w:w="1534" w:type="dxa"/>
            <w:gridSpan w:val="2"/>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425"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40"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66"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161"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小计</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公务用车购置费</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公务用车运行费</w:t>
            </w:r>
          </w:p>
        </w:tc>
        <w:tc>
          <w:tcPr>
            <w:tcW w:w="1073" w:type="dxa"/>
            <w:vMerge w:val="continue"/>
            <w:tcBorders>
              <w:top w:val="nil"/>
              <w:left w:val="nil"/>
              <w:bottom w:val="single" w:color="000000" w:sz="4" w:space="0"/>
              <w:right w:val="single" w:color="000000" w:sz="4" w:space="0"/>
            </w:tcBorders>
            <w:shd w:val="clear" w:color="auto" w:fill="auto"/>
            <w:vAlign w:val="center"/>
          </w:tcPr>
          <w:p>
            <w:pPr>
              <w:keepNext w:val="0"/>
              <w:keepLines w:val="0"/>
              <w:suppressLineNumbers w:val="0"/>
              <w:spacing w:before="0" w:beforeAutospacing="0" w:after="0" w:afterAutospacing="0"/>
              <w:ind w:left="0" w:right="0"/>
              <w:jc w:val="center"/>
              <w:rPr>
                <w:rFonts w:hint="default" w:ascii="宋体" w:hAnsi="宋体" w:eastAsia="宋体" w:cs="宋体"/>
                <w:color w:val="000000"/>
                <w:sz w:val="22"/>
                <w:szCs w:val="22"/>
                <w:highlight w:val="none"/>
              </w:rPr>
            </w:pPr>
          </w:p>
        </w:tc>
      </w:tr>
      <w:tr>
        <w:tblPrEx>
          <w:tblCellMar>
            <w:top w:w="0" w:type="dxa"/>
            <w:left w:w="108" w:type="dxa"/>
            <w:bottom w:w="0" w:type="dxa"/>
            <w:right w:w="108" w:type="dxa"/>
          </w:tblCellMar>
        </w:tblPrEx>
        <w:trPr>
          <w:gridAfter w:val="1"/>
          <w:wAfter w:w="17" w:type="dxa"/>
          <w:trHeight w:val="959" w:hRule="atLeast"/>
        </w:trPr>
        <w:tc>
          <w:tcPr>
            <w:tcW w:w="1534"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w:t>
            </w:r>
          </w:p>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p>
        </w:tc>
        <w:tc>
          <w:tcPr>
            <w:tcW w:w="142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2</w:t>
            </w:r>
          </w:p>
        </w:tc>
        <w:tc>
          <w:tcPr>
            <w:tcW w:w="1094"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3</w:t>
            </w:r>
          </w:p>
        </w:tc>
        <w:tc>
          <w:tcPr>
            <w:tcW w:w="1159"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4</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5</w:t>
            </w:r>
          </w:p>
        </w:tc>
        <w:tc>
          <w:tcPr>
            <w:tcW w:w="1040"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6</w:t>
            </w:r>
          </w:p>
        </w:tc>
        <w:tc>
          <w:tcPr>
            <w:tcW w:w="1066"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7</w:t>
            </w:r>
          </w:p>
        </w:tc>
        <w:tc>
          <w:tcPr>
            <w:tcW w:w="1161"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8</w:t>
            </w:r>
          </w:p>
        </w:tc>
        <w:tc>
          <w:tcPr>
            <w:tcW w:w="105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9</w:t>
            </w:r>
          </w:p>
        </w:tc>
        <w:tc>
          <w:tcPr>
            <w:tcW w:w="1148"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10</w:t>
            </w:r>
          </w:p>
        </w:tc>
        <w:tc>
          <w:tcPr>
            <w:tcW w:w="113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11</w:t>
            </w:r>
          </w:p>
        </w:tc>
        <w:tc>
          <w:tcPr>
            <w:tcW w:w="1073"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color w:val="000000"/>
                <w:sz w:val="22"/>
                <w:szCs w:val="22"/>
                <w:highlight w:val="none"/>
              </w:rPr>
            </w:pPr>
            <w:r>
              <w:rPr>
                <w:rFonts w:hint="eastAsia" w:ascii="宋体" w:hAnsi="宋体" w:eastAsia="宋体" w:cs="宋体"/>
                <w:color w:val="000000"/>
                <w:kern w:val="0"/>
                <w:sz w:val="22"/>
                <w:szCs w:val="22"/>
                <w:highlight w:val="none"/>
                <w:lang w:bidi="ar"/>
              </w:rPr>
              <w:t>12</w:t>
            </w:r>
          </w:p>
        </w:tc>
      </w:tr>
      <w:tr>
        <w:tblPrEx>
          <w:tblCellMar>
            <w:top w:w="0" w:type="dxa"/>
            <w:left w:w="108" w:type="dxa"/>
            <w:bottom w:w="0" w:type="dxa"/>
            <w:right w:w="108" w:type="dxa"/>
          </w:tblCellMar>
        </w:tblPrEx>
        <w:trPr>
          <w:gridAfter w:val="1"/>
          <w:wAfter w:w="17" w:type="dxa"/>
          <w:trHeight w:val="642" w:hRule="atLeast"/>
        </w:trPr>
        <w:tc>
          <w:tcPr>
            <w:tcW w:w="1534"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1.01</w:t>
            </w:r>
          </w:p>
        </w:tc>
        <w:tc>
          <w:tcPr>
            <w:tcW w:w="1425"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94"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59"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default" w:ascii="宋体" w:hAnsi="宋体" w:eastAsia="宋体" w:cs="宋体"/>
                <w:color w:val="000000"/>
                <w:sz w:val="22"/>
                <w:szCs w:val="22"/>
                <w:highlight w:val="none"/>
              </w:rPr>
              <w:t>0.00</w:t>
            </w:r>
          </w:p>
        </w:tc>
        <w:tc>
          <w:tcPr>
            <w:tcW w:w="104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1.01</w:t>
            </w:r>
          </w:p>
        </w:tc>
        <w:tc>
          <w:tcPr>
            <w:tcW w:w="1066"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spacing w:before="0" w:beforeAutospacing="0" w:after="0" w:afterAutospacing="0"/>
              <w:ind w:left="0" w:right="0"/>
              <w:jc w:val="righ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1.01</w:t>
            </w:r>
          </w:p>
        </w:tc>
        <w:tc>
          <w:tcPr>
            <w:tcW w:w="1161"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053"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48" w:type="dxa"/>
            <w:tcBorders>
              <w:top w:val="nil"/>
              <w:left w:val="nil"/>
              <w:bottom w:val="single" w:color="000000" w:sz="4" w:space="0"/>
              <w:right w:val="single" w:color="000000" w:sz="4" w:space="0"/>
            </w:tcBorders>
            <w:shd w:val="clear" w:color="auto" w:fill="auto"/>
            <w:noWrap/>
            <w:vAlign w:val="center"/>
          </w:tcPr>
          <w:p>
            <w:pPr>
              <w:keepNext w:val="0"/>
              <w:keepLines w:val="0"/>
              <w:suppressLineNumbers w:val="0"/>
              <w:spacing w:before="0" w:beforeAutospacing="0" w:after="0" w:afterAutospacing="0"/>
              <w:ind w:left="0" w:right="0"/>
              <w:jc w:val="right"/>
              <w:rPr>
                <w:rFonts w:hint="default" w:ascii="宋体" w:hAnsi="宋体" w:eastAsia="宋体" w:cs="宋体"/>
                <w:color w:val="000000"/>
                <w:sz w:val="22"/>
                <w:szCs w:val="22"/>
                <w:highlight w:val="none"/>
              </w:rPr>
            </w:pPr>
            <w:r>
              <w:rPr>
                <w:rFonts w:hint="eastAsia" w:ascii="宋体" w:hAnsi="宋体" w:eastAsia="宋体" w:cs="宋体"/>
                <w:color w:val="000000"/>
                <w:sz w:val="22"/>
                <w:szCs w:val="22"/>
                <w:highlight w:val="none"/>
              </w:rPr>
              <w:t>0.00</w:t>
            </w:r>
          </w:p>
        </w:tc>
        <w:tc>
          <w:tcPr>
            <w:tcW w:w="113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default"/>
                <w:highlight w:val="none"/>
              </w:rPr>
              <w:t>0.00</w:t>
            </w:r>
          </w:p>
        </w:tc>
        <w:tc>
          <w:tcPr>
            <w:tcW w:w="1073" w:type="dxa"/>
            <w:tcBorders>
              <w:top w:val="nil"/>
              <w:left w:val="nil"/>
              <w:bottom w:val="single" w:color="000000" w:sz="4" w:space="0"/>
              <w:right w:val="single" w:color="000000" w:sz="4" w:space="0"/>
            </w:tcBorders>
            <w:shd w:val="clear" w:color="auto" w:fill="auto"/>
            <w:noWrap/>
          </w:tcPr>
          <w:p>
            <w:pPr>
              <w:keepNext w:val="0"/>
              <w:keepLines w:val="0"/>
              <w:suppressLineNumbers w:val="0"/>
              <w:spacing w:before="0" w:beforeAutospacing="0" w:after="0" w:afterAutospacing="0"/>
              <w:ind w:left="0" w:right="0"/>
              <w:jc w:val="right"/>
              <w:rPr>
                <w:rFonts w:hint="default"/>
                <w:highlight w:val="none"/>
              </w:rPr>
            </w:pPr>
            <w:r>
              <w:rPr>
                <w:rFonts w:hint="eastAsia" w:ascii="宋体" w:hAnsi="宋体" w:eastAsia="宋体" w:cs="宋体"/>
                <w:color w:val="000000"/>
                <w:kern w:val="0"/>
                <w:sz w:val="22"/>
                <w:szCs w:val="22"/>
                <w:highlight w:val="none"/>
                <w:lang w:bidi="ar"/>
              </w:rPr>
              <w:t>1.01</w:t>
            </w:r>
          </w:p>
        </w:tc>
      </w:tr>
      <w:tr>
        <w:tblPrEx>
          <w:tblCellMar>
            <w:top w:w="0" w:type="dxa"/>
            <w:left w:w="108" w:type="dxa"/>
            <w:bottom w:w="0" w:type="dxa"/>
            <w:right w:w="108" w:type="dxa"/>
          </w:tblCellMar>
        </w:tblPrEx>
        <w:trPr>
          <w:gridAfter w:val="1"/>
          <w:wAfter w:w="17" w:type="dxa"/>
          <w:trHeight w:val="642" w:hRule="atLeast"/>
        </w:trPr>
        <w:tc>
          <w:tcPr>
            <w:tcW w:w="14019" w:type="dxa"/>
            <w:gridSpan w:val="13"/>
            <w:tcBorders>
              <w:top w:val="nil"/>
              <w:left w:val="nil"/>
              <w:bottom w:val="nil"/>
              <w:right w:val="nil"/>
            </w:tcBorders>
            <w:shd w:val="clear" w:color="auto" w:fill="auto"/>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color w:val="000000"/>
                <w:kern w:val="0"/>
                <w:sz w:val="22"/>
                <w:szCs w:val="22"/>
                <w:highlight w:val="none"/>
                <w:lang w:bidi="ar"/>
              </w:rPr>
            </w:pPr>
            <w:r>
              <w:rPr>
                <w:rFonts w:hint="eastAsia" w:ascii="宋体" w:hAnsi="宋体" w:eastAsia="宋体" w:cs="宋体"/>
                <w:color w:val="000000"/>
                <w:kern w:val="0"/>
                <w:sz w:val="22"/>
                <w:szCs w:val="22"/>
                <w:highlight w:val="none"/>
                <w:lang w:bidi="ar"/>
              </w:rPr>
              <w:t>注：本表反映部门本年度“三公”经费支出预决算情况。其中，预算数为“三公”经费全年预算数，反映按规定程序调整后的预算数；决算数是包括当年一般公共预算财政拨款和以前年度结转资金安排的实际支出。</w:t>
            </w:r>
          </w:p>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color w:val="000000"/>
                <w:kern w:val="0"/>
                <w:sz w:val="22"/>
                <w:szCs w:val="22"/>
                <w:highlight w:val="none"/>
                <w:lang w:bidi="ar"/>
              </w:rPr>
            </w:pPr>
            <w:r>
              <w:rPr>
                <w:rFonts w:hint="eastAsia" w:ascii="宋体" w:hAnsi="宋体" w:eastAsia="宋体" w:cs="宋体"/>
                <w:color w:val="FF0000"/>
                <w:kern w:val="2"/>
                <w:sz w:val="21"/>
                <w:szCs w:val="21"/>
                <w:lang w:val="en-US" w:eastAsia="zh-CN" w:bidi="ar"/>
              </w:rPr>
              <w:t xml:space="preserve">  </w:t>
            </w:r>
          </w:p>
        </w:tc>
      </w:tr>
    </w:tbl>
    <w:p>
      <w:pPr>
        <w:ind w:firstLine="420" w:firstLineChars="0"/>
        <w:jc w:val="left"/>
        <w:rPr>
          <w:rFonts w:ascii="仿宋" w:hAnsi="仿宋" w:eastAsia="仿宋" w:cs="仿宋"/>
          <w:sz w:val="24"/>
          <w:highlight w:val="none"/>
        </w:rPr>
        <w:sectPr>
          <w:pgSz w:w="16838" w:h="11906" w:orient="landscape"/>
          <w:pgMar w:top="1800" w:right="1440" w:bottom="1800" w:left="1440" w:header="851" w:footer="992" w:gutter="0"/>
          <w:cols w:space="425" w:num="1"/>
          <w:docGrid w:type="lines" w:linePitch="312" w:charSpace="0"/>
        </w:sectPr>
      </w:pPr>
    </w:p>
    <w:p>
      <w:pPr>
        <w:jc w:val="left"/>
        <w:rPr>
          <w:rFonts w:ascii="仿宋" w:hAnsi="仿宋" w:eastAsia="仿宋" w:cs="仿宋"/>
          <w:sz w:val="24"/>
          <w:highlight w:val="none"/>
        </w:rPr>
      </w:pPr>
    </w:p>
    <w:p>
      <w:pPr>
        <w:jc w:val="center"/>
        <w:rPr>
          <w:rFonts w:ascii="仿宋" w:hAnsi="仿宋" w:eastAsia="仿宋" w:cs="仿宋"/>
          <w:sz w:val="32"/>
          <w:szCs w:val="32"/>
          <w:highlight w:val="none"/>
        </w:rPr>
      </w:pPr>
      <w:r>
        <w:rPr>
          <w:rFonts w:hint="eastAsia" w:ascii="黑体" w:hAnsi="黑体" w:eastAsia="黑体" w:cs="黑体"/>
          <w:sz w:val="32"/>
          <w:szCs w:val="32"/>
          <w:highlight w:val="none"/>
        </w:rPr>
        <w:t>第三部分：</w:t>
      </w:r>
      <w:r>
        <w:rPr>
          <w:rFonts w:hint="eastAsia" w:ascii="黑体" w:hAnsi="黑体" w:eastAsia="黑体" w:cs="黑体"/>
          <w:sz w:val="32"/>
          <w:u w:color="auto"/>
          <w:lang w:eastAsia="zh-CN"/>
        </w:rPr>
        <w:t>环江毛南族自治县林业局</w:t>
      </w:r>
      <w:r>
        <w:rPr>
          <w:rFonts w:hint="eastAsia" w:ascii="黑体" w:hAnsi="黑体" w:eastAsia="黑体" w:cs="黑体"/>
          <w:sz w:val="32"/>
          <w:szCs w:val="32"/>
          <w:highlight w:val="none"/>
        </w:rPr>
        <w:t>2022年度部门决算情况说明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一、2022年度收入支出决算总体情况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（一）本部门2022年度总收入</w:t>
      </w:r>
      <w:r>
        <w:rPr>
          <w:rFonts w:hint="eastAsia" w:ascii="仿宋" w:hAnsi="仿宋" w:eastAsia="仿宋" w:cs="仿宋"/>
          <w:sz w:val="32"/>
          <w:u w:color="auto"/>
        </w:rPr>
        <w:t>9,016.47</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lang w:val="en-US" w:eastAsia="zh-CN"/>
        </w:rPr>
        <w:t>增加</w:t>
      </w:r>
      <w:r>
        <w:rPr>
          <w:rFonts w:hint="eastAsia" w:ascii="仿宋" w:hAnsi="仿宋" w:eastAsia="仿宋" w:cs="仿宋"/>
          <w:sz w:val="32"/>
          <w:u w:color="auto"/>
        </w:rPr>
        <w:t>1</w:t>
      </w:r>
      <w:r>
        <w:rPr>
          <w:rFonts w:hint="eastAsia" w:ascii="仿宋" w:hAnsi="仿宋" w:eastAsia="仿宋" w:cs="仿宋"/>
          <w:sz w:val="32"/>
          <w:u w:color="auto"/>
          <w:lang w:eastAsia="zh-CN"/>
        </w:rPr>
        <w:t>，</w:t>
      </w:r>
      <w:r>
        <w:rPr>
          <w:rFonts w:hint="eastAsia" w:ascii="仿宋" w:hAnsi="仿宋" w:eastAsia="仿宋" w:cs="仿宋"/>
          <w:sz w:val="32"/>
          <w:u w:color="auto"/>
        </w:rPr>
        <w:t>241.31</w:t>
      </w:r>
      <w:r>
        <w:rPr>
          <w:rFonts w:hint="eastAsia" w:ascii="仿宋" w:hAnsi="仿宋" w:eastAsia="仿宋" w:cs="仿宋"/>
          <w:sz w:val="32"/>
          <w:szCs w:val="32"/>
          <w:highlight w:val="none"/>
        </w:rPr>
        <w:t>万元，</w:t>
      </w:r>
      <w:r>
        <w:rPr>
          <w:rFonts w:hint="eastAsia" w:ascii="仿宋" w:hAnsi="仿宋" w:eastAsia="仿宋" w:cs="仿宋"/>
          <w:sz w:val="32"/>
          <w:u w:color="auto"/>
          <w:lang w:val="en-US" w:eastAsia="zh-CN"/>
        </w:rPr>
        <w:t>增加15.97</w:t>
      </w:r>
      <w:r>
        <w:rPr>
          <w:rFonts w:ascii="仿宋" w:hAnsi="仿宋" w:eastAsia="仿宋" w:cs="仿宋"/>
          <w:sz w:val="32"/>
          <w:u w:color="auto"/>
        </w:rPr>
        <w:t>%</w:t>
      </w:r>
      <w:r>
        <w:rPr>
          <w:rFonts w:hint="eastAsia" w:ascii="仿宋" w:hAnsi="仿宋" w:eastAsia="仿宋" w:cs="仿宋"/>
          <w:sz w:val="32"/>
          <w:szCs w:val="32"/>
          <w:highlight w:val="none"/>
        </w:rPr>
        <w:t>，其中本年收入</w:t>
      </w:r>
      <w:r>
        <w:rPr>
          <w:rFonts w:hint="eastAsia" w:ascii="仿宋" w:hAnsi="仿宋" w:eastAsia="仿宋" w:cs="仿宋"/>
          <w:sz w:val="32"/>
          <w:u w:color="auto"/>
        </w:rPr>
        <w:t>9,016.47</w:t>
      </w:r>
      <w:r>
        <w:rPr>
          <w:rFonts w:hint="eastAsia" w:ascii="仿宋" w:hAnsi="仿宋" w:eastAsia="仿宋" w:cs="仿宋"/>
          <w:sz w:val="32"/>
          <w:szCs w:val="32"/>
          <w:highlight w:val="none"/>
        </w:rPr>
        <w:t>万元。收入具体情况如下。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color w:val="auto"/>
          <w:sz w:val="32"/>
          <w:szCs w:val="32"/>
          <w:highlight w:val="none"/>
          <w:lang w:val="en-US"/>
        </w:rPr>
      </w:pPr>
      <w:r>
        <w:rPr>
          <w:rFonts w:hint="eastAsia" w:ascii="仿宋" w:hAnsi="仿宋" w:eastAsia="仿宋" w:cs="仿宋"/>
          <w:kern w:val="2"/>
          <w:sz w:val="32"/>
          <w:szCs w:val="32"/>
          <w:highlight w:val="none"/>
          <w:lang w:val="en-US" w:eastAsia="zh-CN" w:bidi="ar"/>
        </w:rPr>
        <w:t>1.一般公共预算财政拨款收入</w:t>
      </w:r>
      <w:r>
        <w:rPr>
          <w:rFonts w:hint="eastAsia" w:ascii="仿宋" w:hAnsi="仿宋" w:eastAsia="仿宋" w:cs="仿宋"/>
          <w:sz w:val="32"/>
          <w:u w:color="auto"/>
        </w:rPr>
        <w:t>9,016.47</w:t>
      </w:r>
      <w:r>
        <w:rPr>
          <w:rFonts w:hint="eastAsia" w:ascii="仿宋" w:hAnsi="仿宋" w:eastAsia="仿宋" w:cs="仿宋"/>
          <w:kern w:val="2"/>
          <w:sz w:val="32"/>
          <w:szCs w:val="32"/>
          <w:highlight w:val="none"/>
          <w:lang w:val="en-US" w:eastAsia="zh-CN" w:bidi="ar"/>
        </w:rPr>
        <w:t>万元，为</w:t>
      </w:r>
      <w:r>
        <w:rPr>
          <w:rFonts w:hint="eastAsia" w:ascii="仿宋" w:hAnsi="仿宋" w:eastAsia="仿宋" w:cs="仿宋"/>
          <w:sz w:val="32"/>
          <w:szCs w:val="32"/>
          <w:highlight w:val="none"/>
        </w:rPr>
        <w:t>河池市</w:t>
      </w:r>
      <w:r>
        <w:rPr>
          <w:rFonts w:hint="eastAsia" w:ascii="仿宋" w:hAnsi="仿宋" w:eastAsia="仿宋" w:cs="仿宋"/>
          <w:kern w:val="2"/>
          <w:sz w:val="32"/>
          <w:szCs w:val="32"/>
          <w:highlight w:val="none"/>
          <w:lang w:val="en-US" w:eastAsia="zh-CN" w:bidi="ar"/>
        </w:rPr>
        <w:t>本级财政当年拨付的资金。较2021年度决算数</w:t>
      </w:r>
      <w:r>
        <w:rPr>
          <w:rFonts w:hint="eastAsia" w:ascii="仿宋" w:hAnsi="仿宋" w:eastAsia="仿宋" w:cs="仿宋"/>
          <w:sz w:val="32"/>
          <w:u w:color="auto"/>
        </w:rPr>
        <w:t>增加1，241.31万元，增加15.97</w:t>
      </w:r>
      <w:r>
        <w:rPr>
          <w:rFonts w:hint="eastAsia" w:ascii="仿宋" w:hAnsi="仿宋" w:eastAsia="仿宋" w:cs="仿宋"/>
          <w:color w:val="auto"/>
          <w:sz w:val="32"/>
          <w:u w:color="auto"/>
        </w:rPr>
        <w:t>%，</w:t>
      </w:r>
      <w:r>
        <w:rPr>
          <w:rFonts w:hint="eastAsia" w:ascii="仿宋" w:hAnsi="仿宋" w:eastAsia="仿宋" w:cs="仿宋"/>
          <w:color w:val="auto"/>
          <w:kern w:val="2"/>
          <w:sz w:val="32"/>
          <w:szCs w:val="32"/>
          <w:highlight w:val="none"/>
          <w:lang w:val="en-US" w:eastAsia="zh-CN" w:bidi="ar"/>
        </w:rPr>
        <w:t>主要原因：2021年重点区域生态保护和修复专项中央基建投资（预算）拨款资金-2021年湘桂岩溶地区石漠化综合治理项目在2022年支付，2022年县级追加资金支付国家储备林建设暨乡村振兴、现代林业产业发展项目经费和森林火灾风险普查工作经费。</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Times New Roman"/>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2.政府性基金预算财政拨款收入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rPr>
        <w:t>河池市</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，主要原因：本单位没有政府性基金预算财政拨款收入。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3.国有资本经营预算财政拨款收入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w:t>
      </w:r>
      <w:r>
        <w:rPr>
          <w:rFonts w:hint="eastAsia" w:ascii="仿宋" w:hAnsi="仿宋" w:eastAsia="仿宋" w:cs="仿宋"/>
          <w:color w:val="auto"/>
          <w:sz w:val="32"/>
          <w:szCs w:val="32"/>
          <w:highlight w:val="none"/>
        </w:rPr>
        <w:t>河池市</w:t>
      </w:r>
      <w:r>
        <w:rPr>
          <w:rFonts w:hint="eastAsia" w:ascii="仿宋" w:hAnsi="仿宋" w:eastAsia="仿宋" w:cs="仿宋"/>
          <w:color w:val="auto"/>
          <w:kern w:val="2"/>
          <w:sz w:val="32"/>
          <w:szCs w:val="32"/>
          <w:highlight w:val="none"/>
          <w:lang w:val="en-US" w:eastAsia="zh-CN" w:bidi="ar"/>
        </w:rPr>
        <w:t>本级财政当年拨付的资金。较2021年度决算数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，主要原因是：本单位没有国有资本经营预算财政拨款收入。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4.上级补助收入</w:t>
      </w:r>
      <w:r>
        <w:rPr>
          <w:rFonts w:hint="eastAsia" w:ascii="仿宋" w:hAnsi="仿宋" w:eastAsia="仿宋" w:cs="仿宋"/>
          <w:sz w:val="32"/>
          <w:u w:color="auto"/>
          <w:lang w:val="en-US" w:eastAsia="zh-CN"/>
        </w:rPr>
        <w:t>0</w:t>
      </w:r>
      <w:r>
        <w:rPr>
          <w:rFonts w:hint="eastAsia" w:ascii="仿宋" w:hAnsi="仿宋" w:eastAsia="仿宋" w:cs="仿宋"/>
          <w:kern w:val="2"/>
          <w:sz w:val="32"/>
          <w:szCs w:val="32"/>
          <w:highlight w:val="none"/>
          <w:lang w:val="en-US" w:eastAsia="zh-CN" w:bidi="ar"/>
        </w:rPr>
        <w:t>万元，为上级部门当年拨付的资金。</w:t>
      </w:r>
      <w:r>
        <w:rPr>
          <w:rFonts w:hint="eastAsia" w:ascii="仿宋" w:hAnsi="仿宋" w:eastAsia="仿宋" w:cs="仿宋"/>
          <w:color w:val="auto"/>
          <w:kern w:val="2"/>
          <w:sz w:val="32"/>
          <w:szCs w:val="32"/>
          <w:highlight w:val="none"/>
          <w:lang w:val="en-US" w:eastAsia="zh-CN" w:bidi="ar"/>
        </w:rPr>
        <w:t>较2021年度决算数</w:t>
      </w:r>
      <w:r>
        <w:rPr>
          <w:rFonts w:ascii="仿宋" w:hAnsi="仿宋" w:eastAsia="仿宋" w:cs="仿宋"/>
          <w:color w:val="auto"/>
          <w:sz w:val="32"/>
          <w:u w:color="auto"/>
        </w:rPr>
        <w:t>增加</w:t>
      </w:r>
      <w:r>
        <w:rPr>
          <w:rFonts w:hint="eastAsia" w:ascii="仿宋" w:hAnsi="仿宋" w:eastAsia="仿宋" w:cs="仿宋"/>
          <w:color w:val="auto"/>
          <w:sz w:val="32"/>
          <w:u w:color="auto"/>
          <w:lang w:val="en-US" w:eastAsia="zh-CN"/>
        </w:rPr>
        <w:t>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w:t>
      </w:r>
      <w:r>
        <w:rPr>
          <w:rFonts w:hint="eastAsia" w:ascii="仿宋" w:hAnsi="仿宋" w:eastAsia="仿宋" w:cs="仿宋"/>
          <w:color w:val="auto"/>
          <w:sz w:val="32"/>
          <w:u w:color="auto"/>
          <w:lang w:val="en-US" w:eastAsia="zh-CN"/>
        </w:rPr>
        <w:t>0</w:t>
      </w:r>
      <w:r>
        <w:rPr>
          <w:rFonts w:ascii="仿宋" w:hAnsi="仿宋" w:eastAsia="仿宋" w:cs="仿宋"/>
          <w:color w:val="auto"/>
          <w:sz w:val="32"/>
          <w:u w:color="auto"/>
        </w:rPr>
        <w:t>%</w:t>
      </w:r>
      <w:r>
        <w:rPr>
          <w:rFonts w:hint="eastAsia" w:ascii="仿宋" w:hAnsi="仿宋" w:eastAsia="仿宋" w:cs="仿宋"/>
          <w:color w:val="auto"/>
          <w:kern w:val="2"/>
          <w:sz w:val="32"/>
          <w:szCs w:val="32"/>
          <w:highlight w:val="none"/>
          <w:lang w:val="en-US" w:eastAsia="zh-CN" w:bidi="ar"/>
        </w:rPr>
        <w:t>，主要原因是：本单位没有上级补助收入。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5.事业收入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万元，为事业单位开展业务活动取得的收入。较2021年度决算数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，主要原因是：本单位没有事业收入。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6.</w:t>
      </w:r>
      <w:r>
        <w:rPr>
          <w:rFonts w:hint="eastAsia" w:ascii="仿宋" w:hAnsi="仿宋" w:eastAsia="仿宋" w:cs="仿宋"/>
          <w:color w:val="auto"/>
          <w:kern w:val="2"/>
          <w:sz w:val="36"/>
          <w:szCs w:val="36"/>
          <w:highlight w:val="none"/>
          <w:lang w:val="en-US" w:eastAsia="zh-CN" w:bidi="ar"/>
        </w:rPr>
        <w:t>经营收入</w:t>
      </w:r>
      <w:r>
        <w:rPr>
          <w:rFonts w:hint="eastAsia" w:ascii="仿宋" w:hAnsi="仿宋" w:eastAsia="仿宋" w:cs="仿宋"/>
          <w:color w:val="auto"/>
          <w:kern w:val="2"/>
          <w:sz w:val="32"/>
          <w:szCs w:val="32"/>
          <w:highlight w:val="none"/>
          <w:lang w:val="en-US" w:eastAsia="zh-CN" w:bidi="ar"/>
        </w:rPr>
        <w:t>0.00万,为事业单位在业务活动之外开展非独立核算经营活动取得的收入。较2021年度决算数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，主要原因是：本单位没有经营性收入。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7.附属单位上缴收入</w:t>
      </w:r>
      <w:r>
        <w:rPr>
          <w:rFonts w:ascii="仿宋" w:hAnsi="仿宋" w:eastAsia="仿宋" w:cs="仿宋"/>
          <w:color w:val="auto"/>
          <w:sz w:val="32"/>
          <w:u w:color="auto"/>
        </w:rPr>
        <w:t>0.00</w:t>
      </w:r>
      <w:r>
        <w:rPr>
          <w:rFonts w:hint="eastAsia" w:ascii="仿宋" w:hAnsi="仿宋" w:eastAsia="仿宋" w:cs="仿宋"/>
          <w:color w:val="auto"/>
          <w:kern w:val="2"/>
          <w:sz w:val="32"/>
          <w:szCs w:val="32"/>
          <w:highlight w:val="none"/>
          <w:lang w:val="en-US" w:eastAsia="zh-CN" w:bidi="ar"/>
        </w:rPr>
        <w:t>万元。较2021年度决算数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，主要原因是：本单位无附属单位上缴收入。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8.其他收入</w:t>
      </w:r>
      <w:r>
        <w:rPr>
          <w:rFonts w:hint="eastAsia" w:ascii="仿宋" w:hAnsi="仿宋" w:eastAsia="仿宋" w:cs="仿宋"/>
          <w:color w:val="auto"/>
          <w:sz w:val="32"/>
          <w:u w:color="auto"/>
          <w:lang w:val="en-US" w:eastAsia="zh-CN"/>
        </w:rPr>
        <w:t>0.00</w:t>
      </w:r>
      <w:r>
        <w:rPr>
          <w:rFonts w:hint="eastAsia" w:ascii="仿宋" w:hAnsi="仿宋" w:eastAsia="仿宋" w:cs="仿宋"/>
          <w:color w:val="auto"/>
          <w:kern w:val="2"/>
          <w:sz w:val="32"/>
          <w:szCs w:val="32"/>
          <w:highlight w:val="none"/>
          <w:lang w:val="en-US" w:eastAsia="zh-CN" w:bidi="ar"/>
        </w:rPr>
        <w:t>万元,为预算单位在“财政拨款收入”“事业收入”“经营收入”之外取得的收入。较2021年度决算数</w:t>
      </w:r>
      <w:r>
        <w:rPr>
          <w:rFonts w:hint="eastAsia" w:ascii="仿宋" w:hAnsi="仿宋" w:eastAsia="仿宋" w:cs="仿宋"/>
          <w:color w:val="auto"/>
          <w:sz w:val="32"/>
          <w:u w:color="auto"/>
          <w:lang w:val="en-US" w:eastAsia="zh-CN"/>
        </w:rPr>
        <w:t>增加0.00</w:t>
      </w:r>
      <w:r>
        <w:rPr>
          <w:rFonts w:hint="eastAsia" w:ascii="仿宋" w:hAnsi="仿宋" w:eastAsia="仿宋" w:cs="仿宋"/>
          <w:color w:val="auto"/>
          <w:kern w:val="2"/>
          <w:sz w:val="32"/>
          <w:szCs w:val="32"/>
          <w:highlight w:val="none"/>
          <w:lang w:val="en-US" w:eastAsia="zh-CN" w:bidi="ar"/>
        </w:rPr>
        <w:t>万元，</w:t>
      </w:r>
      <w:r>
        <w:rPr>
          <w:rFonts w:hint="eastAsia" w:ascii="仿宋" w:hAnsi="仿宋" w:eastAsia="仿宋" w:cs="仿宋"/>
          <w:color w:val="auto"/>
          <w:sz w:val="32"/>
          <w:u w:color="auto"/>
          <w:lang w:val="en-US" w:eastAsia="zh-CN"/>
        </w:rPr>
        <w:t>增加0</w:t>
      </w:r>
      <w:r>
        <w:rPr>
          <w:rFonts w:ascii="仿宋" w:hAnsi="仿宋" w:eastAsia="仿宋" w:cs="仿宋"/>
          <w:color w:val="auto"/>
          <w:sz w:val="32"/>
          <w:u w:color="auto"/>
        </w:rPr>
        <w:t>%</w:t>
      </w:r>
      <w:r>
        <w:rPr>
          <w:rFonts w:hint="eastAsia" w:ascii="仿宋" w:hAnsi="仿宋" w:eastAsia="仿宋" w:cs="仿宋"/>
          <w:color w:val="auto"/>
          <w:kern w:val="2"/>
          <w:sz w:val="32"/>
          <w:szCs w:val="32"/>
          <w:highlight w:val="none"/>
          <w:lang w:val="en-US" w:eastAsia="zh-CN" w:bidi="ar"/>
        </w:rPr>
        <w:t>，主要原因是：本单位没有其他收入。</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kern w:val="2"/>
          <w:sz w:val="32"/>
          <w:szCs w:val="32"/>
          <w:highlight w:val="none"/>
          <w:lang w:val="en-US" w:eastAsia="zh-CN" w:bidi="ar"/>
        </w:rPr>
        <w:t>9.使用非财政拨款结余</w:t>
      </w:r>
      <w:r>
        <w:rPr>
          <w:rFonts w:ascii="仿宋" w:hAnsi="仿宋" w:eastAsia="仿宋" w:cs="仿宋"/>
          <w:sz w:val="32"/>
          <w:u w:color="auto"/>
        </w:rPr>
        <w:t>0.00</w:t>
      </w:r>
      <w:r>
        <w:rPr>
          <w:rFonts w:hint="eastAsia" w:ascii="仿宋" w:hAnsi="仿宋" w:eastAsia="仿宋" w:cs="仿宋"/>
          <w:kern w:val="2"/>
          <w:sz w:val="32"/>
          <w:szCs w:val="32"/>
          <w:highlight w:val="none"/>
          <w:lang w:val="en-US" w:eastAsia="zh-CN" w:bidi="ar"/>
        </w:rPr>
        <w:t>万元,主要是所属事业单位在当年的“财政</w:t>
      </w:r>
      <w:r>
        <w:rPr>
          <w:rFonts w:hint="eastAsia" w:ascii="仿宋" w:hAnsi="仿宋" w:eastAsia="仿宋" w:cs="仿宋"/>
          <w:color w:val="auto"/>
          <w:kern w:val="2"/>
          <w:sz w:val="32"/>
          <w:szCs w:val="32"/>
          <w:highlight w:val="none"/>
          <w:lang w:val="en-US" w:eastAsia="zh-CN" w:bidi="ar"/>
        </w:rPr>
        <w:t>拨款收入”“事业收入”“经营收入”及“其他收入”不能保证其支出的情况下，使用以前年度积累的非财政拨款结余弥补本年度收支缺口的资金。较2021年度决算数</w:t>
      </w:r>
      <w:r>
        <w:rPr>
          <w:rFonts w:ascii="仿宋" w:hAnsi="仿宋" w:eastAsia="仿宋" w:cs="仿宋"/>
          <w:color w:val="auto"/>
          <w:sz w:val="32"/>
          <w:u w:color="auto"/>
        </w:rPr>
        <w:t>增加0.00</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增长0%</w:t>
      </w:r>
      <w:r>
        <w:rPr>
          <w:rFonts w:hint="eastAsia" w:ascii="仿宋" w:hAnsi="仿宋" w:eastAsia="仿宋" w:cs="仿宋"/>
          <w:color w:val="auto"/>
          <w:kern w:val="2"/>
          <w:sz w:val="32"/>
          <w:szCs w:val="32"/>
          <w:highlight w:val="none"/>
          <w:lang w:val="en-US" w:eastAsia="zh-CN" w:bidi="ar"/>
        </w:rPr>
        <w:t>，主要原因是：本单位没有非财政拨款结余。</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kern w:val="2"/>
          <w:sz w:val="32"/>
          <w:szCs w:val="32"/>
          <w:highlight w:val="none"/>
          <w:lang w:val="en-US" w:eastAsia="zh-CN" w:bidi="ar"/>
        </w:rPr>
        <w:t>10.上年结转和结余</w:t>
      </w:r>
      <w:r>
        <w:rPr>
          <w:rFonts w:hint="eastAsia" w:ascii="仿宋" w:hAnsi="仿宋" w:eastAsia="仿宋" w:cs="仿宋"/>
          <w:color w:val="auto"/>
          <w:sz w:val="32"/>
          <w:u w:color="auto"/>
          <w:lang w:val="en-US" w:eastAsia="zh-CN"/>
        </w:rPr>
        <w:t>0.00</w:t>
      </w:r>
      <w:r>
        <w:rPr>
          <w:rFonts w:hint="eastAsia" w:ascii="仿宋" w:hAnsi="仿宋" w:eastAsia="仿宋" w:cs="仿宋"/>
          <w:color w:val="auto"/>
          <w:kern w:val="2"/>
          <w:sz w:val="32"/>
          <w:szCs w:val="32"/>
          <w:highlight w:val="none"/>
          <w:lang w:val="en-US" w:eastAsia="zh-CN" w:bidi="ar"/>
        </w:rPr>
        <w:t>万元，为以前年度支出预算因客观条件变化未执行完毕、结转到本年度按有关规定继续使用的资金。较2021年度决算数</w:t>
      </w:r>
      <w:r>
        <w:rPr>
          <w:rFonts w:ascii="仿宋" w:hAnsi="仿宋" w:eastAsia="仿宋" w:cs="仿宋"/>
          <w:color w:val="auto"/>
          <w:sz w:val="32"/>
          <w:u w:color="auto"/>
        </w:rPr>
        <w:t>减少1</w:t>
      </w:r>
      <w:r>
        <w:rPr>
          <w:rFonts w:hint="eastAsia" w:ascii="仿宋" w:hAnsi="仿宋" w:eastAsia="仿宋" w:cs="仿宋"/>
          <w:color w:val="auto"/>
          <w:sz w:val="32"/>
          <w:u w:color="auto"/>
          <w:lang w:eastAsia="zh-CN"/>
        </w:rPr>
        <w:t>，</w:t>
      </w:r>
      <w:r>
        <w:rPr>
          <w:rFonts w:hint="eastAsia" w:ascii="仿宋" w:hAnsi="仿宋" w:eastAsia="仿宋" w:cs="仿宋"/>
          <w:color w:val="auto"/>
          <w:sz w:val="32"/>
          <w:u w:color="auto"/>
          <w:lang w:val="en-US" w:eastAsia="zh-CN"/>
        </w:rPr>
        <w:t>675.03</w:t>
      </w:r>
      <w:r>
        <w:rPr>
          <w:rFonts w:hint="eastAsia" w:ascii="仿宋" w:hAnsi="仿宋" w:eastAsia="仿宋" w:cs="仿宋"/>
          <w:color w:val="auto"/>
          <w:kern w:val="2"/>
          <w:sz w:val="32"/>
          <w:szCs w:val="32"/>
          <w:highlight w:val="none"/>
          <w:lang w:val="en-US" w:eastAsia="zh-CN" w:bidi="ar"/>
        </w:rPr>
        <w:t>万元，</w:t>
      </w:r>
      <w:r>
        <w:rPr>
          <w:rFonts w:ascii="仿宋" w:hAnsi="仿宋" w:eastAsia="仿宋" w:cs="仿宋"/>
          <w:color w:val="auto"/>
          <w:sz w:val="32"/>
          <w:u w:color="auto"/>
        </w:rPr>
        <w:t>下降</w:t>
      </w:r>
      <w:r>
        <w:rPr>
          <w:rFonts w:hint="eastAsia" w:ascii="仿宋" w:hAnsi="仿宋" w:eastAsia="仿宋" w:cs="仿宋"/>
          <w:color w:val="auto"/>
          <w:sz w:val="32"/>
          <w:u w:color="auto"/>
          <w:lang w:val="en-US" w:eastAsia="zh-CN"/>
        </w:rPr>
        <w:t>100</w:t>
      </w:r>
      <w:r>
        <w:rPr>
          <w:rFonts w:ascii="仿宋" w:hAnsi="仿宋" w:eastAsia="仿宋" w:cs="仿宋"/>
          <w:color w:val="auto"/>
          <w:sz w:val="32"/>
          <w:u w:color="auto"/>
        </w:rPr>
        <w:t>%</w:t>
      </w:r>
      <w:r>
        <w:rPr>
          <w:rFonts w:hint="eastAsia" w:ascii="仿宋" w:hAnsi="仿宋" w:eastAsia="仿宋" w:cs="仿宋"/>
          <w:color w:val="auto"/>
          <w:kern w:val="2"/>
          <w:sz w:val="32"/>
          <w:szCs w:val="32"/>
          <w:highlight w:val="none"/>
          <w:lang w:val="en-US" w:eastAsia="zh-CN" w:bidi="ar"/>
        </w:rPr>
        <w:t>，主要原因：部分项目已在本年执行完毕，不需要结转至下年继续执行。</w:t>
      </w:r>
    </w:p>
    <w:p>
      <w:pPr>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5080000" cy="3810000"/>
            <wp:effectExtent l="4445" t="4445" r="5715" b="10795"/>
            <wp:docPr id="2" name="图表 2" title="{{img_js_srzc}}"/>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（二）本部门2022年度总支出</w:t>
      </w:r>
      <w:r>
        <w:rPr>
          <w:rFonts w:hint="eastAsia" w:ascii="仿宋" w:hAnsi="仿宋" w:eastAsia="仿宋" w:cs="仿宋"/>
          <w:sz w:val="32"/>
          <w:u w:color="auto"/>
        </w:rPr>
        <w:t>9016.47</w:t>
      </w:r>
      <w:r>
        <w:rPr>
          <w:rFonts w:hint="eastAsia" w:ascii="仿宋" w:hAnsi="仿宋" w:eastAsia="仿宋" w:cs="仿宋"/>
          <w:sz w:val="32"/>
          <w:szCs w:val="32"/>
          <w:highlight w:val="none"/>
        </w:rPr>
        <w:t>万元，其中本年支出</w:t>
      </w:r>
      <w:r>
        <w:rPr>
          <w:rFonts w:hint="eastAsia" w:ascii="仿宋" w:hAnsi="仿宋" w:eastAsia="仿宋" w:cs="仿宋"/>
          <w:sz w:val="32"/>
          <w:u w:color="auto"/>
        </w:rPr>
        <w:t>9016.47</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rPr>
        <w:t>增加1，241.31万元，增加15.97%，</w:t>
      </w:r>
      <w:r>
        <w:rPr>
          <w:rFonts w:hint="eastAsia" w:ascii="仿宋" w:hAnsi="仿宋" w:eastAsia="仿宋" w:cs="仿宋"/>
          <w:sz w:val="32"/>
          <w:szCs w:val="32"/>
          <w:highlight w:val="none"/>
        </w:rPr>
        <w:t>。支出具体情况如下：</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sz w:val="32"/>
          <w:szCs w:val="32"/>
          <w:highlight w:val="none"/>
        </w:rPr>
        <w:t>1</w:t>
      </w:r>
      <w:r>
        <w:rPr>
          <w:rFonts w:ascii="仿宋" w:hAnsi="仿宋" w:eastAsia="仿宋" w:cs="仿宋"/>
          <w:sz w:val="32"/>
          <w:u w:color="auto"/>
        </w:rPr>
        <w:t>.</w:t>
      </w:r>
      <w:r>
        <w:rPr>
          <w:rFonts w:hint="eastAsia" w:ascii="仿宋" w:hAnsi="仿宋" w:eastAsia="仿宋" w:cs="仿宋"/>
          <w:sz w:val="32"/>
          <w:szCs w:val="32"/>
          <w:highlight w:val="none"/>
          <w:lang w:bidi="ar"/>
        </w:rPr>
        <w:t>一般公共</w:t>
      </w:r>
      <w:r>
        <w:rPr>
          <w:rFonts w:hint="eastAsia" w:ascii="仿宋" w:hAnsi="仿宋" w:eastAsia="仿宋" w:cs="仿宋"/>
          <w:color w:val="auto"/>
          <w:sz w:val="32"/>
          <w:szCs w:val="32"/>
          <w:highlight w:val="none"/>
          <w:lang w:bidi="ar"/>
        </w:rPr>
        <w:t>服务支出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w:t>
      </w:r>
      <w:r>
        <w:rPr>
          <w:rFonts w:hint="eastAsia" w:ascii="仿宋" w:hAnsi="仿宋" w:eastAsia="仿宋" w:cs="仿宋"/>
          <w:color w:val="auto"/>
          <w:sz w:val="32"/>
          <w:szCs w:val="32"/>
          <w:highlight w:val="none"/>
          <w:lang w:val="en-US" w:eastAsia="zh-CN" w:bidi="ar"/>
        </w:rPr>
        <w:t>1</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2</w:t>
      </w:r>
      <w:r>
        <w:rPr>
          <w:rFonts w:hint="eastAsia" w:ascii="仿宋" w:hAnsi="仿宋" w:eastAsia="仿宋" w:cs="仿宋"/>
          <w:color w:val="auto"/>
          <w:sz w:val="32"/>
          <w:szCs w:val="32"/>
          <w:highlight w:val="none"/>
          <w:lang w:val="en-US" w:eastAsia="zh-CN" w:bidi="ar"/>
        </w:rPr>
        <w:t>7.17</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工会经费</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val="en-US" w:eastAsia="zh-CN" w:bidi="ar"/>
        </w:rPr>
        <w:t>增加1.32</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bidi="ar"/>
        </w:rPr>
        <w:t>增加5.11</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主要原因是：2022年开始下达工会经费指标。</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2</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社会保障和就业支出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208</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val="en-US" w:eastAsia="zh-CN" w:bidi="ar"/>
        </w:rPr>
        <w:t>217.39</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机关事业单位基本养老保险缴费支出和机关事业单位职业年金缴费支出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减少46.42</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w:t>
      </w:r>
      <w:r>
        <w:rPr>
          <w:rFonts w:hint="eastAsia" w:ascii="仿宋" w:hAnsi="仿宋" w:eastAsia="仿宋" w:cs="仿宋"/>
          <w:color w:val="auto"/>
          <w:sz w:val="32"/>
          <w:szCs w:val="32"/>
          <w:highlight w:val="none"/>
          <w:lang w:val="en-US" w:eastAsia="zh-CN" w:bidi="ar"/>
        </w:rPr>
        <w:t>17.60</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主要原因是：2021年补拨2021年在职在编应缴养老保险 。</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3</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节能环保支出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21</w:t>
      </w:r>
      <w:r>
        <w:rPr>
          <w:rFonts w:hint="eastAsia" w:ascii="仿宋" w:hAnsi="仿宋" w:eastAsia="仿宋" w:cs="仿宋"/>
          <w:color w:val="auto"/>
          <w:sz w:val="32"/>
          <w:szCs w:val="32"/>
          <w:highlight w:val="none"/>
          <w:lang w:val="en-US" w:eastAsia="zh-CN" w:bidi="ar"/>
        </w:rPr>
        <w:t>1</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966.27</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2021年重点区域生态保护和修复专项中央基建投资（预算）拨款资金-2021年湘桂岩溶地区石漠化综合治理项目和禁食野生动物补偿资金</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val="en-US" w:eastAsia="zh-CN" w:bidi="ar"/>
        </w:rPr>
        <w:t>增加889.71</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bidi="ar"/>
        </w:rPr>
        <w:t>增加1162.11</w:t>
      </w:r>
      <w:r>
        <w:rPr>
          <w:rFonts w:hint="eastAsia" w:ascii="仿宋" w:hAnsi="仿宋" w:eastAsia="仿宋" w:cs="仿宋"/>
          <w:color w:val="auto"/>
          <w:sz w:val="32"/>
          <w:szCs w:val="32"/>
          <w:highlight w:val="none"/>
          <w:lang w:bidi="ar"/>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主要原因是：2021年</w:t>
      </w:r>
      <w:r>
        <w:rPr>
          <w:rFonts w:hint="eastAsia" w:ascii="仿宋" w:hAnsi="仿宋" w:eastAsia="仿宋" w:cs="仿宋"/>
          <w:color w:val="auto"/>
          <w:sz w:val="32"/>
          <w:szCs w:val="32"/>
          <w:highlight w:val="none"/>
          <w:lang w:val="en-US" w:eastAsia="zh-CN"/>
        </w:rPr>
        <w:t>湘桂岩溶地区石漠化综合治理</w:t>
      </w:r>
      <w:r>
        <w:rPr>
          <w:rFonts w:hint="eastAsia" w:ascii="仿宋" w:hAnsi="仿宋" w:eastAsia="仿宋" w:cs="仿宋"/>
          <w:color w:val="auto"/>
          <w:kern w:val="2"/>
          <w:sz w:val="32"/>
          <w:szCs w:val="32"/>
          <w:highlight w:val="none"/>
          <w:lang w:val="en-US" w:eastAsia="zh-CN" w:bidi="ar"/>
        </w:rPr>
        <w:t>项目在2022年支付。</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4</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农林水支出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213</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7,322.34</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事业运行、事业机构、森林资源管理、技术推广与转化、森林生态效益补偿、 动植物保护、执法与监督、林业草原防灾减灾、其他林业和草原支出、生产发展</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val="en-US" w:eastAsia="zh-CN"/>
        </w:rPr>
        <w:t>增加</w:t>
      </w:r>
      <w:r>
        <w:rPr>
          <w:rFonts w:hint="eastAsia" w:ascii="仿宋" w:hAnsi="仿宋" w:eastAsia="仿宋" w:cs="仿宋"/>
          <w:color w:val="auto"/>
          <w:sz w:val="32"/>
          <w:szCs w:val="32"/>
          <w:highlight w:val="none"/>
          <w:lang w:bidi="ar"/>
        </w:rPr>
        <w:t>673.59</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val="en-US" w:eastAsia="zh-CN"/>
        </w:rPr>
        <w:t>增加</w:t>
      </w:r>
      <w:r>
        <w:rPr>
          <w:rFonts w:hint="eastAsia" w:ascii="仿宋" w:hAnsi="仿宋" w:eastAsia="仿宋" w:cs="仿宋"/>
          <w:color w:val="auto"/>
          <w:sz w:val="32"/>
          <w:szCs w:val="32"/>
          <w:highlight w:val="none"/>
          <w:lang w:bidi="ar"/>
        </w:rPr>
        <w:t>10.13%</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主要原因是：农林水项目补助支出增加。</w:t>
      </w:r>
    </w:p>
    <w:p>
      <w:pPr>
        <w:keepNext w:val="0"/>
        <w:keepLines w:val="0"/>
        <w:widowControl w:val="0"/>
        <w:suppressLineNumbers w:val="0"/>
        <w:spacing w:before="0" w:beforeAutospacing="0" w:after="0" w:afterAutospacing="0"/>
        <w:ind w:left="0" w:right="0" w:firstLine="640" w:firstLineChars="200"/>
        <w:jc w:val="left"/>
        <w:rPr>
          <w:rFonts w:hint="eastAsia" w:ascii="仿宋" w:hAnsi="仿宋" w:eastAsia="仿宋" w:cs="仿宋"/>
          <w:color w:val="auto"/>
          <w:sz w:val="32"/>
          <w:szCs w:val="32"/>
          <w:highlight w:val="none"/>
          <w:lang w:val="en-US"/>
        </w:rPr>
      </w:pPr>
      <w:r>
        <w:rPr>
          <w:rFonts w:hint="eastAsia" w:ascii="仿宋" w:hAnsi="仿宋" w:eastAsia="仿宋" w:cs="仿宋"/>
          <w:color w:val="auto"/>
          <w:sz w:val="32"/>
          <w:szCs w:val="32"/>
          <w:highlight w:val="none"/>
        </w:rPr>
        <w:t>5</w:t>
      </w:r>
      <w:r>
        <w:rPr>
          <w:rFonts w:ascii="仿宋" w:hAnsi="仿宋" w:eastAsia="仿宋" w:cs="仿宋"/>
          <w:color w:val="auto"/>
          <w:sz w:val="32"/>
          <w:u w:color="auto"/>
        </w:rPr>
        <w:t>.</w:t>
      </w:r>
      <w:r>
        <w:rPr>
          <w:rFonts w:hint="eastAsia" w:ascii="仿宋" w:hAnsi="仿宋" w:eastAsia="仿宋" w:cs="仿宋"/>
          <w:color w:val="auto"/>
          <w:sz w:val="32"/>
          <w:szCs w:val="32"/>
          <w:highlight w:val="none"/>
          <w:lang w:bidi="ar"/>
        </w:rPr>
        <w:t>住房保障支出</w:t>
      </w:r>
      <w:r>
        <w:rPr>
          <w:rFonts w:hint="eastAsia" w:ascii="仿宋" w:hAnsi="仿宋" w:eastAsia="仿宋" w:cs="仿宋"/>
          <w:color w:val="auto"/>
          <w:sz w:val="32"/>
          <w:szCs w:val="32"/>
          <w:highlight w:val="none"/>
        </w:rPr>
        <w:t>（</w:t>
      </w:r>
      <w:r>
        <w:rPr>
          <w:rFonts w:hint="eastAsia" w:ascii="仿宋" w:hAnsi="仿宋" w:eastAsia="仿宋" w:cs="仿宋"/>
          <w:color w:val="auto"/>
          <w:sz w:val="32"/>
          <w:szCs w:val="32"/>
          <w:highlight w:val="none"/>
          <w:lang w:bidi="ar"/>
        </w:rPr>
        <w:t>221</w:t>
      </w:r>
      <w:r>
        <w:rPr>
          <w:rFonts w:ascii="Calibri" w:hAnsi="Calibri" w:eastAsia="宋体" w:cs="Times New Roman"/>
          <w:color w:val="auto"/>
          <w:highlight w:val="none"/>
          <w:lang w:bidi="ar"/>
        </w:rPr>
        <w:t xml:space="preserve"> </w:t>
      </w:r>
      <w:r>
        <w:rPr>
          <w:rFonts w:hint="eastAsia" w:ascii="仿宋" w:hAnsi="仿宋" w:eastAsia="仿宋" w:cs="仿宋"/>
          <w:color w:val="auto"/>
          <w:sz w:val="32"/>
          <w:szCs w:val="32"/>
          <w:highlight w:val="none"/>
        </w:rPr>
        <w:t>类）</w:t>
      </w:r>
      <w:r>
        <w:rPr>
          <w:rFonts w:hint="eastAsia" w:ascii="仿宋" w:hAnsi="仿宋" w:eastAsia="仿宋" w:cs="仿宋"/>
          <w:color w:val="auto"/>
          <w:sz w:val="32"/>
          <w:szCs w:val="32"/>
          <w:highlight w:val="none"/>
          <w:lang w:bidi="ar"/>
        </w:rPr>
        <w:t>153.05</w:t>
      </w:r>
      <w:r>
        <w:rPr>
          <w:rFonts w:hint="eastAsia" w:ascii="仿宋" w:hAnsi="仿宋" w:eastAsia="仿宋" w:cs="仿宋"/>
          <w:color w:val="auto"/>
          <w:sz w:val="32"/>
          <w:szCs w:val="32"/>
          <w:highlight w:val="none"/>
        </w:rPr>
        <w:t>万元：主要用于</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lang w:val="en-US" w:eastAsia="zh-CN"/>
        </w:rPr>
        <w:t>按照国家政策规定向职工发放的住房公积金、提租补贴、购房补贴等住房改革方面的支出</w:t>
      </w:r>
      <w:r>
        <w:rPr>
          <w:rFonts w:hint="eastAsia" w:ascii="仿宋" w:hAnsi="仿宋" w:eastAsia="仿宋" w:cs="仿宋"/>
          <w:color w:val="auto"/>
          <w:sz w:val="32"/>
          <w:szCs w:val="32"/>
          <w:highlight w:val="none"/>
        </w:rPr>
        <w:t>。较2021年度决算数</w:t>
      </w:r>
      <w:r>
        <w:rPr>
          <w:rFonts w:hint="eastAsia" w:ascii="仿宋" w:hAnsi="仿宋" w:eastAsia="仿宋" w:cs="仿宋"/>
          <w:color w:val="auto"/>
          <w:sz w:val="32"/>
          <w:szCs w:val="32"/>
          <w:highlight w:val="none"/>
          <w:lang w:bidi="ar"/>
        </w:rPr>
        <w:t>减少9.52</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bidi="ar"/>
        </w:rPr>
        <w:t>下降5.86%%</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主要原因是：公积金基数及人员变动。</w:t>
      </w:r>
    </w:p>
    <w:p>
      <w:pPr>
        <w:keepNext w:val="0"/>
        <w:keepLines w:val="0"/>
        <w:widowControl w:val="0"/>
        <w:suppressLineNumbers w:val="0"/>
        <w:spacing w:before="0" w:beforeAutospacing="0" w:after="0" w:afterAutospacing="0"/>
        <w:ind w:left="0" w:right="0" w:firstLine="620" w:firstLineChars="200"/>
        <w:jc w:val="left"/>
        <w:rPr>
          <w:rFonts w:hint="eastAsia" w:ascii="仿宋" w:hAnsi="仿宋" w:eastAsia="仿宋_GB2312" w:cs="仿宋"/>
          <w:color w:val="auto"/>
          <w:sz w:val="32"/>
          <w:szCs w:val="32"/>
          <w:highlight w:val="none"/>
          <w:lang w:eastAsia="zh-CN" w:bidi="ar"/>
        </w:rPr>
      </w:pPr>
      <w:r>
        <w:rPr>
          <w:rFonts w:hint="default" w:ascii="仿宋_GB2312" w:hAnsi="微软雅黑" w:eastAsia="仿宋_GB2312" w:cs="仿宋_GB2312"/>
          <w:i w:val="0"/>
          <w:iCs w:val="0"/>
          <w:caps w:val="0"/>
          <w:color w:val="auto"/>
          <w:spacing w:val="0"/>
          <w:sz w:val="31"/>
          <w:szCs w:val="31"/>
          <w:highlight w:val="none"/>
          <w:shd w:val="clear" w:color="auto" w:fill="FFFFFF"/>
        </w:rPr>
        <w:t>结余分配</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万元，为事业单位按规定提取的专用结余、缴纳所得税和转入非财政拨款结余等。较202</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1</w:t>
      </w:r>
      <w:r>
        <w:rPr>
          <w:rFonts w:hint="default" w:ascii="仿宋_GB2312" w:hAnsi="微软雅黑" w:eastAsia="仿宋_GB2312" w:cs="仿宋_GB2312"/>
          <w:i w:val="0"/>
          <w:iCs w:val="0"/>
          <w:caps w:val="0"/>
          <w:color w:val="auto"/>
          <w:spacing w:val="0"/>
          <w:sz w:val="31"/>
          <w:szCs w:val="31"/>
          <w:highlight w:val="none"/>
          <w:shd w:val="clear" w:color="auto" w:fill="FFFFFF"/>
        </w:rPr>
        <w:t>年决算</w:t>
      </w:r>
      <w:r>
        <w:rPr>
          <w:rFonts w:hint="eastAsia" w:ascii="仿宋_GB2312" w:hAnsi="微软雅黑" w:eastAsia="仿宋_GB2312" w:cs="仿宋_GB2312"/>
          <w:color w:val="auto"/>
          <w:sz w:val="31"/>
          <w:szCs w:val="31"/>
          <w:highlight w:val="none"/>
          <w:shd w:val="clear" w:color="auto" w:fill="FFFFFF"/>
        </w:rPr>
        <w:t>0.00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_GB2312" w:hAnsi="微软雅黑" w:eastAsia="仿宋_GB2312" w:cs="仿宋_GB2312"/>
          <w:i w:val="0"/>
          <w:iCs w:val="0"/>
          <w:caps w:val="0"/>
          <w:color w:val="auto"/>
          <w:spacing w:val="0"/>
          <w:sz w:val="31"/>
          <w:szCs w:val="31"/>
          <w:highlight w:val="none"/>
          <w:shd w:val="clear" w:color="auto" w:fill="FFFFFF"/>
          <w:lang w:val="en-US" w:eastAsia="zh-CN"/>
        </w:rPr>
        <w:t>,</w:t>
      </w:r>
      <w:r>
        <w:rPr>
          <w:rFonts w:hint="eastAsia" w:ascii="仿宋_GB2312" w:hAnsi="微软雅黑" w:eastAsia="仿宋_GB2312" w:cs="仿宋_GB2312"/>
          <w:color w:val="auto"/>
          <w:sz w:val="31"/>
          <w:szCs w:val="31"/>
          <w:highlight w:val="none"/>
          <w:shd w:val="clear" w:color="auto" w:fill="FFFFFF"/>
        </w:rPr>
        <w:t>增加0.00</w:t>
      </w:r>
      <w:r>
        <w:rPr>
          <w:rFonts w:hint="default" w:ascii="仿宋_GB2312" w:hAnsi="微软雅黑" w:eastAsia="仿宋_GB2312" w:cs="仿宋_GB2312"/>
          <w:i w:val="0"/>
          <w:iCs w:val="0"/>
          <w:caps w:val="0"/>
          <w:color w:val="auto"/>
          <w:spacing w:val="0"/>
          <w:sz w:val="31"/>
          <w:szCs w:val="31"/>
          <w:highlight w:val="none"/>
          <w:shd w:val="clear" w:color="auto" w:fill="FFFFFF"/>
        </w:rPr>
        <w:t>万元，</w:t>
      </w:r>
      <w:r>
        <w:rPr>
          <w:rFonts w:hint="eastAsia" w:ascii="仿宋_GB2312" w:hAnsi="微软雅黑" w:eastAsia="仿宋_GB2312" w:cs="仿宋_GB2312"/>
          <w:color w:val="auto"/>
          <w:sz w:val="31"/>
          <w:szCs w:val="31"/>
          <w:highlight w:val="none"/>
          <w:shd w:val="clear" w:color="auto" w:fill="FFFFFF"/>
        </w:rPr>
        <w:t>增长0%</w:t>
      </w:r>
      <w:r>
        <w:rPr>
          <w:rFonts w:hint="default" w:ascii="仿宋_GB2312" w:hAnsi="微软雅黑" w:eastAsia="仿宋_GB2312" w:cs="仿宋_GB2312"/>
          <w:i w:val="0"/>
          <w:iCs w:val="0"/>
          <w:caps w:val="0"/>
          <w:color w:val="auto"/>
          <w:spacing w:val="0"/>
          <w:sz w:val="31"/>
          <w:szCs w:val="31"/>
          <w:highlight w:val="none"/>
          <w:shd w:val="clear" w:color="auto" w:fill="FFFFFF"/>
        </w:rPr>
        <w:t>，主要原因是</w:t>
      </w:r>
      <w:r>
        <w:rPr>
          <w:rFonts w:hint="eastAsia" w:ascii="仿宋" w:hAnsi="仿宋" w:eastAsia="仿宋" w:cs="仿宋"/>
          <w:color w:val="auto"/>
          <w:kern w:val="2"/>
          <w:sz w:val="32"/>
          <w:szCs w:val="32"/>
          <w:highlight w:val="none"/>
          <w:lang w:val="en-US" w:eastAsia="zh-CN" w:bidi="ar"/>
        </w:rPr>
        <w:t>：单位无提取的专用结余、缴纳所得税和转入非财政拨款结余。</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年末结转和结余</w:t>
      </w:r>
      <w:r>
        <w:rPr>
          <w:rFonts w:hint="eastAsia" w:ascii="仿宋" w:hAnsi="仿宋" w:eastAsia="仿宋" w:cs="仿宋"/>
          <w:sz w:val="32"/>
          <w:u w:color="auto"/>
          <w:lang w:val="en-US" w:eastAsia="zh-CN"/>
        </w:rPr>
        <w:t>0</w:t>
      </w:r>
      <w:r>
        <w:rPr>
          <w:rFonts w:hint="eastAsia" w:ascii="仿宋" w:hAnsi="仿宋" w:eastAsia="仿宋" w:cs="仿宋"/>
          <w:sz w:val="32"/>
          <w:szCs w:val="32"/>
          <w:highlight w:val="none"/>
        </w:rPr>
        <w:t>万元，</w:t>
      </w:r>
      <w:r>
        <w:rPr>
          <w:rFonts w:hint="eastAsia" w:ascii="仿宋" w:hAnsi="仿宋" w:eastAsia="仿宋" w:cs="仿宋"/>
          <w:color w:val="000000" w:themeColor="text1"/>
          <w:sz w:val="32"/>
          <w:szCs w:val="32"/>
          <w:highlight w:val="none"/>
          <w14:textFill>
            <w14:solidFill>
              <w14:schemeClr w14:val="tx1"/>
            </w14:solidFill>
          </w14:textFill>
        </w:rPr>
        <w:t>为本年度或以前年度预算安排、因客观条件发生变</w:t>
      </w:r>
      <w:r>
        <w:rPr>
          <w:rFonts w:hint="eastAsia" w:ascii="仿宋" w:hAnsi="仿宋" w:eastAsia="仿宋" w:cs="仿宋"/>
          <w:color w:val="auto"/>
          <w:sz w:val="32"/>
          <w:szCs w:val="32"/>
          <w:highlight w:val="none"/>
        </w:rPr>
        <w:t>化无法按原计划实施，需要延迟到以后年度按有关规定继续使用的资金。较2021年度决算数</w:t>
      </w:r>
      <w:r>
        <w:rPr>
          <w:rFonts w:ascii="仿宋" w:hAnsi="仿宋" w:eastAsia="仿宋" w:cs="仿宋"/>
          <w:color w:val="auto"/>
          <w:sz w:val="32"/>
          <w:u w:color="auto"/>
        </w:rPr>
        <w:t>增加</w:t>
      </w:r>
      <w:r>
        <w:rPr>
          <w:rFonts w:hint="eastAsia" w:ascii="仿宋" w:hAnsi="仿宋" w:eastAsia="仿宋" w:cs="仿宋"/>
          <w:color w:val="auto"/>
          <w:sz w:val="32"/>
          <w:u w:color="auto"/>
          <w:lang w:val="en-US" w:eastAsia="zh-CN"/>
        </w:rPr>
        <w:t>0</w:t>
      </w:r>
      <w:r>
        <w:rPr>
          <w:rFonts w:hint="eastAsia" w:ascii="仿宋" w:hAnsi="仿宋" w:eastAsia="仿宋" w:cs="仿宋"/>
          <w:color w:val="auto"/>
          <w:sz w:val="32"/>
          <w:szCs w:val="32"/>
          <w:highlight w:val="none"/>
        </w:rPr>
        <w:t>万元，</w:t>
      </w:r>
      <w:r>
        <w:rPr>
          <w:rFonts w:ascii="仿宋" w:hAnsi="仿宋" w:eastAsia="仿宋" w:cs="仿宋"/>
          <w:color w:val="auto"/>
          <w:sz w:val="32"/>
          <w:u w:color="auto"/>
        </w:rPr>
        <w:t>增长</w:t>
      </w:r>
      <w:r>
        <w:rPr>
          <w:rFonts w:hint="eastAsia" w:ascii="仿宋" w:hAnsi="仿宋" w:eastAsia="仿宋" w:cs="仿宋"/>
          <w:color w:val="auto"/>
          <w:sz w:val="32"/>
          <w:u w:color="auto"/>
          <w:lang w:val="en-US" w:eastAsia="zh-CN"/>
        </w:rPr>
        <w:t>0</w:t>
      </w:r>
      <w:r>
        <w:rPr>
          <w:rFonts w:ascii="仿宋" w:hAnsi="仿宋" w:eastAsia="仿宋" w:cs="仿宋"/>
          <w:color w:val="auto"/>
          <w:sz w:val="32"/>
          <w:u w:color="auto"/>
        </w:rPr>
        <w:t>%</w:t>
      </w:r>
      <w:r>
        <w:rPr>
          <w:rFonts w:hint="eastAsia" w:ascii="仿宋" w:hAnsi="仿宋" w:eastAsia="仿宋" w:cs="仿宋"/>
          <w:color w:val="auto"/>
          <w:sz w:val="32"/>
          <w:szCs w:val="32"/>
          <w:highlight w:val="none"/>
        </w:rPr>
        <w:t>，</w:t>
      </w:r>
      <w:r>
        <w:rPr>
          <w:rFonts w:hint="eastAsia" w:ascii="仿宋" w:hAnsi="仿宋" w:eastAsia="仿宋" w:cs="仿宋"/>
          <w:color w:val="auto"/>
          <w:kern w:val="2"/>
          <w:sz w:val="32"/>
          <w:szCs w:val="32"/>
          <w:highlight w:val="none"/>
          <w:lang w:val="en-US" w:eastAsia="zh-CN" w:bidi="ar"/>
        </w:rPr>
        <w:t>主要原因是：年末结转和结余0万元。</w:t>
      </w:r>
    </w:p>
    <w:p>
      <w:pPr>
        <w:ind w:firstLine="640" w:firstLineChars="200"/>
        <w:jc w:val="center"/>
        <w:rPr>
          <w:rFonts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747260" cy="2955925"/>
            <wp:effectExtent l="4445" t="4445" r="10795" b="11430"/>
            <wp:docPr id="3" name="图表 3" title="{{img_zcjs}}"/>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二、2022 年度</w:t>
      </w:r>
      <w:bookmarkStart w:id="3" w:name="OLE_LINK1"/>
      <w:r>
        <w:rPr>
          <w:rFonts w:hint="eastAsia" w:ascii="黑体" w:hAnsi="黑体" w:eastAsia="黑体" w:cs="黑体"/>
          <w:sz w:val="32"/>
          <w:szCs w:val="32"/>
          <w:highlight w:val="none"/>
        </w:rPr>
        <w:t>一般公共预算财政拨款支出决算情况</w:t>
      </w:r>
      <w:bookmarkEnd w:id="3"/>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环江毛南族自治县林业局</w:t>
      </w:r>
      <w:r>
        <w:rPr>
          <w:rFonts w:hint="eastAsia" w:ascii="仿宋" w:hAnsi="仿宋" w:eastAsia="仿宋" w:cs="仿宋"/>
          <w:sz w:val="32"/>
          <w:szCs w:val="32"/>
          <w:highlight w:val="none"/>
        </w:rPr>
        <w:t>2022年度一般公共预算财政拨款支出</w:t>
      </w:r>
      <w:r>
        <w:rPr>
          <w:rFonts w:hint="eastAsia" w:ascii="仿宋" w:hAnsi="仿宋" w:eastAsia="仿宋" w:cs="仿宋"/>
          <w:sz w:val="32"/>
          <w:u w:color="auto"/>
        </w:rPr>
        <w:t>9,016.47</w:t>
      </w:r>
      <w:r>
        <w:rPr>
          <w:rFonts w:hint="eastAsia" w:ascii="仿宋" w:hAnsi="仿宋" w:eastAsia="仿宋" w:cs="仿宋"/>
          <w:sz w:val="32"/>
          <w:szCs w:val="32"/>
          <w:highlight w:val="none"/>
        </w:rPr>
        <w:t>万元，较2021年度决算数</w:t>
      </w:r>
      <w:r>
        <w:rPr>
          <w:rFonts w:hint="eastAsia" w:ascii="仿宋" w:hAnsi="仿宋" w:eastAsia="仿宋" w:cs="仿宋"/>
          <w:sz w:val="32"/>
          <w:u w:color="auto"/>
        </w:rPr>
        <w:t>增加1，241.31万元，增加15.97%</w:t>
      </w:r>
      <w:r>
        <w:rPr>
          <w:rFonts w:hint="eastAsia" w:ascii="仿宋" w:hAnsi="仿宋" w:eastAsia="仿宋" w:cs="仿宋"/>
          <w:sz w:val="32"/>
          <w:szCs w:val="32"/>
          <w:highlight w:val="none"/>
        </w:rPr>
        <w:t>。其中：基本支出</w:t>
      </w:r>
      <w:r>
        <w:rPr>
          <w:rFonts w:hint="eastAsia" w:ascii="仿宋" w:hAnsi="仿宋" w:eastAsia="仿宋" w:cs="仿宋"/>
          <w:sz w:val="32"/>
          <w:u w:color="auto"/>
        </w:rPr>
        <w:t>2,062.35</w:t>
      </w:r>
      <w:r>
        <w:rPr>
          <w:rFonts w:hint="eastAsia" w:ascii="仿宋" w:hAnsi="仿宋" w:eastAsia="仿宋" w:cs="仿宋"/>
          <w:sz w:val="32"/>
          <w:szCs w:val="32"/>
          <w:highlight w:val="none"/>
        </w:rPr>
        <w:t>万元，项目支出</w:t>
      </w:r>
      <w:r>
        <w:rPr>
          <w:rFonts w:hint="eastAsia" w:ascii="仿宋" w:hAnsi="仿宋" w:eastAsia="仿宋" w:cs="仿宋"/>
          <w:sz w:val="32"/>
          <w:u w:color="auto"/>
        </w:rPr>
        <w:t>6,954.12</w:t>
      </w:r>
      <w:r>
        <w:rPr>
          <w:rFonts w:hint="eastAsia" w:ascii="仿宋" w:hAnsi="仿宋" w:eastAsia="仿宋" w:cs="仿宋"/>
          <w:sz w:val="32"/>
          <w:szCs w:val="32"/>
          <w:highlight w:val="none"/>
        </w:rPr>
        <w:t>万元。</w:t>
      </w:r>
    </w:p>
    <w:p>
      <w:pPr>
        <w:ind w:firstLine="640" w:firstLineChars="200"/>
        <w:jc w:val="left"/>
        <w:rPr>
          <w:rFonts w:ascii="仿宋" w:hAnsi="仿宋" w:eastAsia="仿宋"/>
          <w:sz w:val="32"/>
          <w:szCs w:val="32"/>
          <w:highlight w:val="none"/>
        </w:rPr>
      </w:pPr>
      <w:r>
        <w:rPr>
          <w:rFonts w:hint="eastAsia" w:ascii="仿宋" w:hAnsi="仿宋" w:eastAsia="仿宋" w:cs="仿宋"/>
          <w:sz w:val="32"/>
          <w:szCs w:val="32"/>
          <w:highlight w:val="none"/>
          <w:lang w:eastAsia="zh-CN"/>
        </w:rPr>
        <w:t>环江毛南族自治县林业局</w:t>
      </w:r>
      <w:r>
        <w:rPr>
          <w:rFonts w:hint="eastAsia" w:ascii="仿宋" w:hAnsi="仿宋" w:eastAsia="仿宋" w:cs="仿宋"/>
          <w:sz w:val="32"/>
          <w:szCs w:val="32"/>
          <w:highlight w:val="none"/>
        </w:rPr>
        <w:t>2022 年度一般公共预算财政拨款支出年初预算为</w:t>
      </w:r>
      <w:r>
        <w:rPr>
          <w:rFonts w:hint="eastAsia" w:ascii="仿宋" w:hAnsi="仿宋" w:eastAsia="仿宋" w:cs="仿宋"/>
          <w:sz w:val="32"/>
          <w:u w:color="auto"/>
        </w:rPr>
        <w:t>9,016.47</w:t>
      </w:r>
      <w:r>
        <w:rPr>
          <w:rFonts w:hint="eastAsia" w:ascii="仿宋" w:hAnsi="仿宋" w:eastAsia="仿宋" w:cs="仿宋"/>
          <w:sz w:val="32"/>
          <w:szCs w:val="32"/>
          <w:highlight w:val="none"/>
        </w:rPr>
        <w:t>万元，支出决算为</w:t>
      </w:r>
      <w:r>
        <w:rPr>
          <w:rFonts w:hint="eastAsia" w:ascii="仿宋" w:hAnsi="仿宋" w:eastAsia="仿宋" w:cs="仿宋"/>
          <w:sz w:val="32"/>
          <w:u w:color="auto"/>
          <w:lang w:val="en-US" w:eastAsia="zh-CN"/>
        </w:rPr>
        <w:t>9016.47</w:t>
      </w:r>
      <w:r>
        <w:rPr>
          <w:rFonts w:hint="eastAsia" w:ascii="仿宋" w:hAnsi="仿宋" w:eastAsia="仿宋" w:cs="仿宋"/>
          <w:sz w:val="32"/>
          <w:szCs w:val="32"/>
          <w:highlight w:val="none"/>
        </w:rPr>
        <w:t>万元，完成年初预算的</w:t>
      </w:r>
      <w:r>
        <w:rPr>
          <w:rFonts w:ascii="仿宋" w:hAnsi="仿宋" w:eastAsia="仿宋" w:cs="仿宋"/>
          <w:sz w:val="32"/>
          <w:u w:color="auto"/>
        </w:rPr>
        <w:t>1</w:t>
      </w:r>
      <w:r>
        <w:rPr>
          <w:rFonts w:hint="eastAsia" w:ascii="仿宋" w:hAnsi="仿宋" w:eastAsia="仿宋" w:cs="仿宋"/>
          <w:sz w:val="32"/>
          <w:u w:color="auto"/>
          <w:lang w:val="en-US" w:eastAsia="zh-CN"/>
        </w:rPr>
        <w:t>0</w:t>
      </w:r>
      <w:r>
        <w:rPr>
          <w:rFonts w:ascii="仿宋" w:hAnsi="仿宋" w:eastAsia="仿宋" w:cs="仿宋"/>
          <w:sz w:val="32"/>
          <w:u w:color="auto"/>
        </w:rPr>
        <w:t>0%</w:t>
      </w:r>
      <w:r>
        <w:rPr>
          <w:rFonts w:hint="eastAsia" w:ascii="仿宋" w:hAnsi="仿宋" w:eastAsia="仿宋" w:cs="仿宋"/>
          <w:sz w:val="32"/>
          <w:szCs w:val="32"/>
          <w:highlight w:val="none"/>
        </w:rPr>
        <w:t>。</w:t>
      </w:r>
      <w:bookmarkStart w:id="4" w:name="OLE_LINK2"/>
      <w:bookmarkEnd w:id="4"/>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一般公共服务支出</w:t>
      </w:r>
      <w:r>
        <w:rPr>
          <w:rFonts w:ascii="仿宋" w:hAnsi="仿宋" w:eastAsia="仿宋"/>
          <w:sz w:val="32"/>
          <w:u w:color="auto"/>
        </w:rPr>
        <w:t>（20</w:t>
      </w:r>
      <w:r>
        <w:rPr>
          <w:rFonts w:hint="eastAsia" w:ascii="仿宋" w:hAnsi="仿宋" w:eastAsia="仿宋"/>
          <w:sz w:val="32"/>
          <w:u w:color="auto"/>
          <w:lang w:val="en-US" w:eastAsia="zh-CN"/>
        </w:rPr>
        <w:t>1</w:t>
      </w:r>
      <w:r>
        <w:rPr>
          <w:rFonts w:hint="eastAsia" w:ascii="仿宋" w:hAnsi="仿宋" w:eastAsia="仿宋"/>
          <w:sz w:val="32"/>
          <w:szCs w:val="32"/>
          <w:highlight w:val="none"/>
        </w:rPr>
        <w:t>类）年初预算为27.17万元，支出决算为27.17万元，完成年初预算的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不存在</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2012999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其他群众团体事务支出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27.17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27.17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工会经费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27.17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27.17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6"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社会保障和就业支出</w:t>
      </w:r>
      <w:r>
        <w:rPr>
          <w:rFonts w:ascii="仿宋" w:hAnsi="仿宋" w:eastAsia="仿宋"/>
          <w:sz w:val="32"/>
          <w:u w:color="auto"/>
        </w:rPr>
        <w:t>（208</w:t>
      </w:r>
      <w:r>
        <w:rPr>
          <w:rFonts w:hint="eastAsia" w:ascii="仿宋" w:hAnsi="仿宋" w:eastAsia="仿宋"/>
          <w:sz w:val="32"/>
          <w:szCs w:val="32"/>
          <w:highlight w:val="none"/>
        </w:rPr>
        <w:t>类）年初预算为217.39万元，支出决算为217.39万元，完成年初预算的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不存在</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keepNext w:val="0"/>
        <w:keepLines w:val="0"/>
        <w:widowControl w:val="0"/>
        <w:numPr>
          <w:ilvl w:val="0"/>
          <w:numId w:val="0"/>
        </w:numPr>
        <w:suppressLineNumbers w:val="0"/>
        <w:spacing w:before="0" w:beforeAutospacing="0" w:after="0" w:afterAutospacing="0"/>
        <w:ind w:right="0" w:rightChars="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p>
    <w:p>
      <w:pPr>
        <w:keepNext w:val="0"/>
        <w:keepLines w:val="0"/>
        <w:widowControl w:val="0"/>
        <w:numPr>
          <w:ilvl w:val="0"/>
          <w:numId w:val="0"/>
        </w:numPr>
        <w:suppressLineNumbers w:val="0"/>
        <w:spacing w:before="0" w:beforeAutospacing="0" w:after="0" w:afterAutospacing="0"/>
        <w:ind w:right="0" w:rightChars="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p>
    <w:p>
      <w:pPr>
        <w:keepNext w:val="0"/>
        <w:keepLines w:val="0"/>
        <w:widowControl w:val="0"/>
        <w:numPr>
          <w:ilvl w:val="0"/>
          <w:numId w:val="0"/>
        </w:numPr>
        <w:suppressLineNumbers w:val="0"/>
        <w:spacing w:before="0" w:beforeAutospacing="0" w:after="0" w:afterAutospacing="0"/>
        <w:ind w:right="0" w:rightChars="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p>
    <w:p>
      <w:pPr>
        <w:keepNext w:val="0"/>
        <w:keepLines w:val="0"/>
        <w:widowControl w:val="0"/>
        <w:numPr>
          <w:ilvl w:val="0"/>
          <w:numId w:val="0"/>
        </w:numPr>
        <w:suppressLineNumbers w:val="0"/>
        <w:spacing w:before="0" w:beforeAutospacing="0" w:after="0" w:afterAutospacing="0"/>
        <w:ind w:right="0" w:rightChars="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2080505</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 xml:space="preserve"> 机关事业单位基本养老保险缴费支出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205.68</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205.68</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机关事业单位基本养老保险缴费支出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sz w:val="20"/>
                <w:szCs w:val="20"/>
              </w:rPr>
              <w:t>2080506</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 xml:space="preserve">  机关事业单位职业年金缴费支出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11.71</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11.71</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机关事业单位职业年金缴费支出</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217.39</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217.39</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8"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eastAsia="仿宋"/>
          <w:color w:val="FF0000"/>
          <w:highlight w:val="none"/>
          <w:lang w:val="en-US" w:eastAsia="zh-CN"/>
        </w:rPr>
      </w:pPr>
      <w:r>
        <w:rPr>
          <w:rFonts w:hint="eastAsia" w:ascii="仿宋" w:hAnsi="仿宋" w:eastAsia="仿宋"/>
          <w:sz w:val="32"/>
          <w:szCs w:val="32"/>
          <w:highlight w:val="none"/>
        </w:rPr>
        <w:t>节能环保支出</w:t>
      </w:r>
      <w:r>
        <w:rPr>
          <w:rFonts w:ascii="仿宋" w:hAnsi="仿宋" w:eastAsia="仿宋"/>
          <w:sz w:val="32"/>
          <w:u w:color="auto"/>
        </w:rPr>
        <w:t>（210</w:t>
      </w:r>
      <w:r>
        <w:rPr>
          <w:rFonts w:hint="eastAsia" w:ascii="仿宋" w:hAnsi="仿宋" w:eastAsia="仿宋"/>
          <w:sz w:val="32"/>
          <w:szCs w:val="32"/>
          <w:highlight w:val="none"/>
        </w:rPr>
        <w:t>类）年初预算为966.27万元，支出决算为966.27万元，完成年初预算的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不存在</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bookmarkStart w:id="5" w:name="OLE_LINK5"/>
            <w:r>
              <w:rPr>
                <w:rFonts w:hint="eastAsia" w:ascii="宋体" w:hAnsi="宋体" w:eastAsia="宋体" w:cs="宋体"/>
                <w:i w:val="0"/>
                <w:iCs w:val="0"/>
                <w:color w:val="000000"/>
                <w:sz w:val="20"/>
                <w:szCs w:val="20"/>
                <w:highlight w:val="none"/>
                <w:u w:val="none"/>
                <w:lang w:val="en-US" w:eastAsia="zh-CN"/>
              </w:rPr>
              <w:t>2110401</w:t>
            </w:r>
            <w:bookmarkEnd w:id="5"/>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 xml:space="preserve">  生态保护</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6.27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6.27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2022年护林员人身意外保险</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2119999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其他节能环保支出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960</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960</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21"/>
                <w:szCs w:val="21"/>
                <w:highlight w:val="none"/>
                <w:lang w:val="en-US" w:eastAsia="zh-CN"/>
              </w:rPr>
              <w:t>2021年重点区域生态保护和修复专项中央基建投资（预算）拨款</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966.27</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966.27</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0"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pPr>
      <w:r>
        <w:rPr>
          <w:rFonts w:hint="eastAsia" w:ascii="仿宋" w:hAnsi="仿宋" w:eastAsia="仿宋"/>
          <w:sz w:val="32"/>
          <w:szCs w:val="32"/>
          <w:highlight w:val="none"/>
        </w:rPr>
        <w:t>农林水支出</w:t>
      </w:r>
      <w:r>
        <w:rPr>
          <w:rFonts w:ascii="仿宋" w:hAnsi="仿宋" w:eastAsia="仿宋"/>
          <w:sz w:val="32"/>
          <w:u w:color="auto"/>
        </w:rPr>
        <w:t>（213</w:t>
      </w:r>
      <w:r>
        <w:rPr>
          <w:rFonts w:hint="eastAsia" w:ascii="仿宋" w:hAnsi="仿宋" w:eastAsia="仿宋"/>
          <w:sz w:val="32"/>
          <w:szCs w:val="32"/>
          <w:highlight w:val="none"/>
        </w:rPr>
        <w:t>类）年初预算为7,322.34万元，支出决算为7,322.34万元，完成年初预算的</w:t>
      </w:r>
      <w:r>
        <w:rPr>
          <w:rFonts w:ascii="仿宋" w:hAnsi="仿宋" w:eastAsia="仿宋"/>
          <w:sz w:val="32"/>
          <w:szCs w:val="32"/>
          <w:highlight w:val="none"/>
        </w:rPr>
        <w:t>100.00%</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不存在</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124"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252"/>
        <w:gridCol w:w="1033"/>
        <w:gridCol w:w="1084"/>
        <w:gridCol w:w="866"/>
        <w:gridCol w:w="1521"/>
        <w:gridCol w:w="141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25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10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108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86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52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41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2130104</w:t>
            </w:r>
            <w:r>
              <w:rPr>
                <w:rFonts w:hint="eastAsia" w:ascii="宋体" w:hAnsi="宋体" w:eastAsia="宋体" w:cs="宋体"/>
                <w:i w:val="0"/>
                <w:iCs w:val="0"/>
                <w:color w:val="000000"/>
                <w:sz w:val="20"/>
                <w:szCs w:val="20"/>
                <w:highlight w:val="none"/>
                <w:u w:val="none"/>
                <w:lang w:val="en-US" w:eastAsia="zh-CN"/>
              </w:rPr>
              <w:tab/>
            </w:r>
          </w:p>
        </w:tc>
        <w:tc>
          <w:tcPr>
            <w:tcW w:w="125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事业运行</w:t>
            </w:r>
          </w:p>
        </w:tc>
        <w:tc>
          <w:tcPr>
            <w:tcW w:w="10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3.73</w:t>
            </w:r>
          </w:p>
        </w:tc>
        <w:tc>
          <w:tcPr>
            <w:tcW w:w="108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3.73</w:t>
            </w:r>
          </w:p>
        </w:tc>
        <w:tc>
          <w:tcPr>
            <w:tcW w:w="86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52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default" w:ascii="宋体" w:hAnsi="宋体" w:eastAsia="宋体" w:cs="宋体"/>
                <w:i w:val="0"/>
                <w:iCs w:val="0"/>
                <w:color w:val="auto"/>
                <w:sz w:val="18"/>
                <w:szCs w:val="18"/>
                <w:highlight w:val="none"/>
                <w:u w:val="none"/>
                <w:lang w:val="en-US" w:eastAsia="zh-CN"/>
              </w:rPr>
              <w:t>离退休人员生活补助</w:t>
            </w:r>
          </w:p>
        </w:tc>
        <w:tc>
          <w:tcPr>
            <w:tcW w:w="141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2130204</w:t>
            </w:r>
          </w:p>
        </w:tc>
        <w:tc>
          <w:tcPr>
            <w:tcW w:w="125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事业机构</w:t>
            </w:r>
          </w:p>
        </w:tc>
        <w:tc>
          <w:tcPr>
            <w:tcW w:w="10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1,297.87</w:t>
            </w:r>
          </w:p>
        </w:tc>
        <w:tc>
          <w:tcPr>
            <w:tcW w:w="108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u w:val="none"/>
                <w:lang w:val="en-US" w:eastAsia="zh-CN" w:bidi="ar"/>
              </w:rPr>
              <w:t>1,297.87</w:t>
            </w:r>
          </w:p>
        </w:tc>
        <w:tc>
          <w:tcPr>
            <w:tcW w:w="86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52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单位基本运行、抚恤金、机关公务移动通信补贴、公务用车运行维护费、遗属生活补助、独生子女保健费、工资性支出、奖励性绩效工资</w:t>
            </w:r>
          </w:p>
        </w:tc>
        <w:tc>
          <w:tcPr>
            <w:tcW w:w="141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2130205</w:t>
            </w:r>
          </w:p>
        </w:tc>
        <w:tc>
          <w:tcPr>
            <w:tcW w:w="125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森林资源培育</w:t>
            </w:r>
          </w:p>
        </w:tc>
        <w:tc>
          <w:tcPr>
            <w:tcW w:w="10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1,050.30</w:t>
            </w:r>
          </w:p>
        </w:tc>
        <w:tc>
          <w:tcPr>
            <w:tcW w:w="108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u w:val="none"/>
                <w:lang w:val="en-US" w:eastAsia="zh-CN" w:bidi="ar"/>
              </w:rPr>
              <w:t>1,050.30</w:t>
            </w:r>
          </w:p>
        </w:tc>
        <w:tc>
          <w:tcPr>
            <w:tcW w:w="86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52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林木良种补助、油茶低产低效林改造补助、木本油料等特色经济林产业发展补助、绿化景观提升补助、古树名木管护补助、森林抚育补助、重点区域绿化补助、国家储备林建设暨乡村振兴、现代林业产业发展项目</w:t>
            </w:r>
          </w:p>
        </w:tc>
        <w:tc>
          <w:tcPr>
            <w:tcW w:w="141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2130206</w:t>
            </w:r>
          </w:p>
        </w:tc>
        <w:tc>
          <w:tcPr>
            <w:tcW w:w="125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技术推广与转化</w:t>
            </w:r>
          </w:p>
        </w:tc>
        <w:tc>
          <w:tcPr>
            <w:tcW w:w="10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49.89</w:t>
            </w:r>
          </w:p>
        </w:tc>
        <w:tc>
          <w:tcPr>
            <w:tcW w:w="108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u w:val="none"/>
                <w:lang w:val="en-US" w:eastAsia="zh-CN" w:bidi="ar"/>
              </w:rPr>
              <w:t>49.89</w:t>
            </w:r>
          </w:p>
        </w:tc>
        <w:tc>
          <w:tcPr>
            <w:tcW w:w="86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52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林业科技推广示范补助</w:t>
            </w:r>
          </w:p>
        </w:tc>
        <w:tc>
          <w:tcPr>
            <w:tcW w:w="141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2130209</w:t>
            </w:r>
          </w:p>
        </w:tc>
        <w:tc>
          <w:tcPr>
            <w:tcW w:w="125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森林生态效益补偿</w:t>
            </w:r>
          </w:p>
        </w:tc>
        <w:tc>
          <w:tcPr>
            <w:tcW w:w="10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3,598.48</w:t>
            </w:r>
          </w:p>
        </w:tc>
        <w:tc>
          <w:tcPr>
            <w:tcW w:w="108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u w:val="none"/>
                <w:lang w:val="en-US" w:eastAsia="zh-CN" w:bidi="ar"/>
              </w:rPr>
              <w:t>3,598.48</w:t>
            </w:r>
          </w:p>
        </w:tc>
        <w:tc>
          <w:tcPr>
            <w:tcW w:w="86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52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森林生态效益补偿</w:t>
            </w:r>
          </w:p>
        </w:tc>
        <w:tc>
          <w:tcPr>
            <w:tcW w:w="141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2130211</w:t>
            </w:r>
          </w:p>
        </w:tc>
        <w:tc>
          <w:tcPr>
            <w:tcW w:w="125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动植物保护</w:t>
            </w:r>
          </w:p>
        </w:tc>
        <w:tc>
          <w:tcPr>
            <w:tcW w:w="10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1.75</w:t>
            </w:r>
          </w:p>
        </w:tc>
        <w:tc>
          <w:tcPr>
            <w:tcW w:w="108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u w:val="none"/>
                <w:lang w:val="en-US" w:eastAsia="zh-CN" w:bidi="ar"/>
              </w:rPr>
              <w:t>1.75</w:t>
            </w:r>
          </w:p>
        </w:tc>
        <w:tc>
          <w:tcPr>
            <w:tcW w:w="86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52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禁食野生动物补偿资金</w:t>
            </w:r>
          </w:p>
        </w:tc>
        <w:tc>
          <w:tcPr>
            <w:tcW w:w="141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2130213</w:t>
            </w:r>
          </w:p>
        </w:tc>
        <w:tc>
          <w:tcPr>
            <w:tcW w:w="125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执法与监督</w:t>
            </w:r>
          </w:p>
        </w:tc>
        <w:tc>
          <w:tcPr>
            <w:tcW w:w="10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37.58</w:t>
            </w:r>
          </w:p>
        </w:tc>
        <w:tc>
          <w:tcPr>
            <w:tcW w:w="108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u w:val="none"/>
                <w:lang w:val="en-US" w:eastAsia="zh-CN" w:bidi="ar"/>
              </w:rPr>
              <w:t>37.58</w:t>
            </w:r>
          </w:p>
        </w:tc>
        <w:tc>
          <w:tcPr>
            <w:tcW w:w="86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52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案件鉴定费</w:t>
            </w:r>
          </w:p>
        </w:tc>
        <w:tc>
          <w:tcPr>
            <w:tcW w:w="141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2130234</w:t>
            </w:r>
          </w:p>
        </w:tc>
        <w:tc>
          <w:tcPr>
            <w:tcW w:w="125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林业草原防灾减灾</w:t>
            </w:r>
          </w:p>
        </w:tc>
        <w:tc>
          <w:tcPr>
            <w:tcW w:w="10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52.92</w:t>
            </w:r>
          </w:p>
        </w:tc>
        <w:tc>
          <w:tcPr>
            <w:tcW w:w="108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u w:val="none"/>
                <w:lang w:val="en-US" w:eastAsia="zh-CN" w:bidi="ar"/>
              </w:rPr>
              <w:t>52.92</w:t>
            </w:r>
          </w:p>
        </w:tc>
        <w:tc>
          <w:tcPr>
            <w:tcW w:w="86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52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马尾松枯死木清理费</w:t>
            </w:r>
          </w:p>
        </w:tc>
        <w:tc>
          <w:tcPr>
            <w:tcW w:w="141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2130299</w:t>
            </w:r>
          </w:p>
        </w:tc>
        <w:tc>
          <w:tcPr>
            <w:tcW w:w="125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kern w:val="0"/>
                <w:sz w:val="22"/>
                <w:szCs w:val="22"/>
                <w:u w:val="none"/>
                <w:lang w:val="en-US" w:eastAsia="zh-CN" w:bidi="ar"/>
              </w:rPr>
              <w:t>其他林业和草原支出</w:t>
            </w:r>
          </w:p>
        </w:tc>
        <w:tc>
          <w:tcPr>
            <w:tcW w:w="10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kern w:val="0"/>
                <w:sz w:val="18"/>
                <w:szCs w:val="18"/>
                <w:u w:val="none"/>
                <w:lang w:val="en-US" w:eastAsia="zh-CN" w:bidi="ar"/>
              </w:rPr>
              <w:t>1,222.96</w:t>
            </w:r>
          </w:p>
        </w:tc>
        <w:tc>
          <w:tcPr>
            <w:tcW w:w="108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right"/>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0"/>
                <w:sz w:val="18"/>
                <w:szCs w:val="18"/>
                <w:u w:val="none"/>
                <w:lang w:val="en-US" w:eastAsia="zh-CN" w:bidi="ar"/>
              </w:rPr>
              <w:t>1,222.96</w:t>
            </w:r>
          </w:p>
        </w:tc>
        <w:tc>
          <w:tcPr>
            <w:tcW w:w="86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52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林业基础设施建设、天保工程区天然商品停伐管理补助、名目古树补助、森林火灾风险普查技术服务费、预算项目支出</w:t>
            </w:r>
          </w:p>
        </w:tc>
        <w:tc>
          <w:tcPr>
            <w:tcW w:w="141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2130505</w:t>
            </w:r>
            <w:r>
              <w:rPr>
                <w:rFonts w:hint="eastAsia" w:ascii="宋体" w:hAnsi="宋体" w:eastAsia="宋体" w:cs="宋体"/>
                <w:i w:val="0"/>
                <w:iCs w:val="0"/>
                <w:color w:val="000000"/>
                <w:sz w:val="18"/>
                <w:szCs w:val="18"/>
                <w:highlight w:val="none"/>
                <w:u w:val="none"/>
                <w:lang w:val="en-US" w:eastAsia="zh-CN"/>
              </w:rPr>
              <w:tab/>
            </w:r>
          </w:p>
        </w:tc>
        <w:tc>
          <w:tcPr>
            <w:tcW w:w="125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eastAsia"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 xml:space="preserve"> 生产发展</w:t>
            </w:r>
          </w:p>
        </w:tc>
        <w:tc>
          <w:tcPr>
            <w:tcW w:w="10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6.85</w:t>
            </w:r>
          </w:p>
        </w:tc>
        <w:tc>
          <w:tcPr>
            <w:tcW w:w="108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leftChars="0" w:right="0" w:rightChars="0"/>
              <w:jc w:val="center"/>
              <w:textAlignment w:val="center"/>
              <w:rPr>
                <w:rFonts w:hint="eastAsia"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sz w:val="18"/>
                <w:szCs w:val="18"/>
                <w:highlight w:val="none"/>
                <w:u w:val="none"/>
                <w:lang w:val="en-US" w:eastAsia="zh-CN"/>
              </w:rPr>
              <w:t>6.85</w:t>
            </w:r>
          </w:p>
        </w:tc>
        <w:tc>
          <w:tcPr>
            <w:tcW w:w="86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100.00%</w:t>
            </w:r>
          </w:p>
        </w:tc>
        <w:tc>
          <w:tcPr>
            <w:tcW w:w="152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贫工作差旅费、异地扶贫搬迁拆旧房新建板房</w:t>
            </w:r>
          </w:p>
        </w:tc>
        <w:tc>
          <w:tcPr>
            <w:tcW w:w="141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color w:val="auto"/>
                <w:sz w:val="18"/>
                <w:szCs w:val="18"/>
                <w:highlight w:val="none"/>
                <w:lang w:val="en-US" w:eastAsia="zh-CN"/>
              </w:rPr>
            </w:pPr>
            <w:r>
              <w:rPr>
                <w:rFonts w:hint="eastAsia" w:ascii="仿宋" w:hAnsi="仿宋" w:eastAsia="仿宋" w:cs="仿宋"/>
                <w:color w:val="auto"/>
                <w:sz w:val="18"/>
                <w:szCs w:val="18"/>
                <w:highlight w:val="none"/>
                <w:lang w:val="en-US" w:eastAsia="zh-CN"/>
              </w:rPr>
              <w:t>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252"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103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default" w:ascii="宋体" w:hAnsi="宋体" w:eastAsia="宋体" w:cs="宋体"/>
                <w:i w:val="0"/>
                <w:iCs w:val="0"/>
                <w:color w:val="000000"/>
                <w:sz w:val="18"/>
                <w:szCs w:val="18"/>
                <w:highlight w:val="none"/>
                <w:u w:val="none"/>
                <w:lang w:val="en-US" w:eastAsia="zh-CN"/>
              </w:rPr>
              <w:t>7,322.34</w:t>
            </w:r>
          </w:p>
        </w:tc>
        <w:tc>
          <w:tcPr>
            <w:tcW w:w="108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1672.20</w:t>
            </w:r>
          </w:p>
        </w:tc>
        <w:tc>
          <w:tcPr>
            <w:tcW w:w="86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521"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41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ascii="仿宋" w:hAnsi="仿宋" w:eastAsia="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5715"/>
            <wp:docPr id="12"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ascii="仿宋" w:hAnsi="仿宋" w:eastAsia="仿宋"/>
          <w:sz w:val="32"/>
          <w:szCs w:val="32"/>
          <w:highlight w:val="none"/>
          <w:lang w:val="en-US" w:eastAsia="zh-CN"/>
        </w:rPr>
      </w:pPr>
      <w:r>
        <w:rPr>
          <w:rFonts w:hint="eastAsia" w:ascii="仿宋" w:hAnsi="仿宋" w:eastAsia="仿宋"/>
          <w:sz w:val="32"/>
          <w:szCs w:val="32"/>
          <w:highlight w:val="none"/>
        </w:rPr>
        <w:t>住房保障支出</w:t>
      </w:r>
      <w:r>
        <w:rPr>
          <w:rFonts w:ascii="仿宋" w:hAnsi="仿宋" w:eastAsia="仿宋"/>
          <w:sz w:val="32"/>
          <w:u w:color="auto"/>
        </w:rPr>
        <w:t>（221</w:t>
      </w:r>
      <w:r>
        <w:rPr>
          <w:rFonts w:hint="eastAsia" w:ascii="仿宋" w:hAnsi="仿宋" w:eastAsia="仿宋"/>
          <w:sz w:val="32"/>
          <w:szCs w:val="32"/>
          <w:highlight w:val="none"/>
        </w:rPr>
        <w:t>类）年初预算为153.05万元，支出决算为153.05万元，完成年初预算的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不存在</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2210201</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住房公积金</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153.05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153.05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单位在职人员住房公积金</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r>
              <w:rPr>
                <w:rFonts w:hint="eastAsia" w:ascii="宋体" w:hAnsi="宋体" w:eastAsia="宋体" w:cs="宋体"/>
                <w:i w:val="0"/>
                <w:iCs w:val="0"/>
                <w:color w:val="auto"/>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auto"/>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auto"/>
                <w:sz w:val="18"/>
                <w:szCs w:val="18"/>
                <w:highlight w:val="none"/>
                <w:u w:val="none"/>
                <w:lang w:val="en-US" w:eastAsia="zh-CN"/>
              </w:rPr>
              <w:t>1530.5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kern w:val="2"/>
                <w:sz w:val="18"/>
                <w:szCs w:val="18"/>
                <w:highlight w:val="none"/>
                <w:u w:val="none"/>
                <w:lang w:val="en-US" w:eastAsia="zh-CN" w:bidi="ar-SA"/>
              </w:rPr>
            </w:pPr>
            <w:r>
              <w:rPr>
                <w:rFonts w:hint="eastAsia" w:ascii="宋体" w:hAnsi="宋体" w:eastAsia="宋体" w:cs="宋体"/>
                <w:i w:val="0"/>
                <w:iCs w:val="0"/>
                <w:color w:val="auto"/>
                <w:kern w:val="2"/>
                <w:sz w:val="18"/>
                <w:szCs w:val="18"/>
                <w:highlight w:val="none"/>
                <w:u w:val="none"/>
                <w:lang w:val="en-US" w:eastAsia="zh-CN" w:bidi="ar-SA"/>
              </w:rPr>
              <w:t>153.05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color w:val="auto"/>
          <w:sz w:val="32"/>
          <w:szCs w:val="32"/>
          <w:highlight w:val="none"/>
        </w:rPr>
      </w:pP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692400"/>
            <wp:effectExtent l="4445" t="4445" r="16510" b="8255"/>
            <wp:docPr id="14"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keepNext w:val="0"/>
        <w:keepLines w:val="0"/>
        <w:widowControl w:val="0"/>
        <w:numPr>
          <w:ilvl w:val="0"/>
          <w:numId w:val="1"/>
        </w:numPr>
        <w:suppressLineNumbers w:val="0"/>
        <w:spacing w:before="0" w:beforeAutospacing="0" w:after="0" w:afterAutospacing="0"/>
        <w:ind w:left="0" w:leftChars="0" w:right="0" w:rightChars="0" w:firstLine="420" w:firstLineChars="0"/>
        <w:jc w:val="left"/>
        <w:rPr>
          <w:rFonts w:hint="eastAsia" w:ascii="仿宋" w:hAnsi="仿宋" w:eastAsia="仿宋"/>
          <w:sz w:val="32"/>
          <w:szCs w:val="32"/>
          <w:highlight w:val="none"/>
          <w:lang w:val="en-US" w:eastAsia="zh-CN"/>
        </w:rPr>
      </w:pPr>
      <w:r>
        <w:rPr>
          <w:rFonts w:hint="eastAsia" w:ascii="仿宋" w:hAnsi="仿宋" w:eastAsia="仿宋"/>
          <w:sz w:val="32"/>
          <w:szCs w:val="32"/>
          <w:highlight w:val="none"/>
        </w:rPr>
        <w:t>其他支出</w:t>
      </w:r>
      <w:r>
        <w:rPr>
          <w:rFonts w:ascii="仿宋" w:hAnsi="仿宋" w:eastAsia="仿宋"/>
          <w:sz w:val="32"/>
          <w:u w:color="auto"/>
        </w:rPr>
        <w:t>（22</w:t>
      </w:r>
      <w:r>
        <w:rPr>
          <w:rFonts w:hint="eastAsia" w:ascii="仿宋" w:hAnsi="仿宋" w:eastAsia="仿宋"/>
          <w:sz w:val="32"/>
          <w:u w:color="auto"/>
          <w:lang w:val="en-US" w:eastAsia="zh-CN"/>
        </w:rPr>
        <w:t>9</w:t>
      </w:r>
      <w:r>
        <w:rPr>
          <w:rFonts w:hint="eastAsia" w:ascii="仿宋" w:hAnsi="仿宋" w:eastAsia="仿宋"/>
          <w:sz w:val="32"/>
          <w:szCs w:val="32"/>
          <w:highlight w:val="none"/>
        </w:rPr>
        <w:t>类）年初预算为330.25万元，支出决算为330.25万元，完成年初预算的</w:t>
      </w:r>
      <w:r>
        <w:rPr>
          <w:rFonts w:hint="eastAsia" w:ascii="仿宋" w:hAnsi="仿宋" w:eastAsia="仿宋"/>
          <w:sz w:val="32"/>
          <w:szCs w:val="32"/>
          <w:highlight w:val="none"/>
          <w:lang w:val="en-US" w:eastAsia="zh-CN"/>
        </w:rPr>
        <w:t>100</w:t>
      </w:r>
      <w:r>
        <w:rPr>
          <w:rFonts w:ascii="仿宋" w:hAnsi="仿宋" w:eastAsia="仿宋"/>
          <w:sz w:val="32"/>
          <w:szCs w:val="32"/>
          <w:highlight w:val="none"/>
        </w:rPr>
        <w:t>%</w:t>
      </w:r>
      <w:r>
        <w:rPr>
          <w:rFonts w:hint="eastAsia" w:ascii="仿宋" w:hAnsi="仿宋" w:eastAsia="仿宋"/>
          <w:sz w:val="32"/>
          <w:szCs w:val="32"/>
          <w:highlight w:val="none"/>
        </w:rPr>
        <w:t>。</w:t>
      </w:r>
      <w:r>
        <w:rPr>
          <w:rFonts w:hint="eastAsia" w:ascii="仿宋" w:hAnsi="仿宋" w:eastAsia="仿宋"/>
          <w:color w:val="000000" w:themeColor="text1"/>
          <w:sz w:val="32"/>
          <w:szCs w:val="32"/>
          <w:highlight w:val="none"/>
          <w14:textFill>
            <w14:solidFill>
              <w14:schemeClr w14:val="tx1"/>
            </w14:solidFill>
          </w14:textFill>
        </w:rPr>
        <w:t>预决算</w:t>
      </w:r>
      <w:r>
        <w:rPr>
          <w:rFonts w:hint="eastAsia" w:ascii="仿宋" w:hAnsi="仿宋" w:eastAsia="仿宋"/>
          <w:color w:val="000000" w:themeColor="text1"/>
          <w:sz w:val="32"/>
          <w:szCs w:val="32"/>
          <w:highlight w:val="none"/>
          <w:lang w:val="en-US" w:eastAsia="zh-CN"/>
          <w14:textFill>
            <w14:solidFill>
              <w14:schemeClr w14:val="tx1"/>
            </w14:solidFill>
          </w14:textFill>
        </w:rPr>
        <w:t>不存在</w:t>
      </w:r>
      <w:r>
        <w:rPr>
          <w:rFonts w:hint="eastAsia" w:ascii="仿宋" w:hAnsi="仿宋" w:eastAsia="仿宋"/>
          <w:color w:val="000000" w:themeColor="text1"/>
          <w:sz w:val="32"/>
          <w:szCs w:val="32"/>
          <w:highlight w:val="none"/>
          <w14:textFill>
            <w14:solidFill>
              <w14:schemeClr w14:val="tx1"/>
            </w14:solidFill>
          </w14:textFill>
        </w:rPr>
        <w:t>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jc w:val="left"/>
        <w:rPr>
          <w:rFonts w:hint="eastAsia" w:ascii="仿宋" w:hAnsi="仿宋" w:eastAsia="仿宋"/>
          <w:sz w:val="32"/>
          <w:szCs w:val="32"/>
          <w:highlight w:val="none"/>
        </w:rPr>
      </w:pPr>
      <w:r>
        <w:rPr>
          <w:rFonts w:hint="eastAsia" w:ascii="仿宋" w:hAnsi="仿宋" w:eastAsia="仿宋"/>
          <w:sz w:val="32"/>
          <w:szCs w:val="32"/>
          <w:highlight w:val="none"/>
          <w:lang w:val="en-US" w:eastAsia="zh-CN"/>
        </w:rPr>
        <w:t>支出具体情况如下</w:t>
      </w:r>
      <w:r>
        <w:rPr>
          <w:rFonts w:hint="eastAsia" w:ascii="仿宋" w:hAnsi="仿宋" w:eastAsia="仿宋"/>
          <w:sz w:val="32"/>
          <w:szCs w:val="32"/>
          <w:highlight w:val="none"/>
        </w:rPr>
        <w:t>：</w:t>
      </w:r>
    </w:p>
    <w:tbl>
      <w:tblPr>
        <w:tblStyle w:val="7"/>
        <w:tblW w:w="853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955"/>
        <w:gridCol w:w="1076"/>
        <w:gridCol w:w="994"/>
        <w:gridCol w:w="806"/>
        <w:gridCol w:w="1097"/>
        <w:gridCol w:w="1783"/>
        <w:gridCol w:w="182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类款项</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科目名称</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年初预算数</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决算</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20"/>
                <w:szCs w:val="20"/>
                <w:highlight w:val="none"/>
                <w:u w:val="none"/>
                <w:lang w:val="en-US"/>
              </w:rPr>
            </w:pPr>
            <w:r>
              <w:rPr>
                <w:rFonts w:hint="eastAsia" w:ascii="宋体" w:hAnsi="宋体" w:eastAsia="宋体" w:cs="宋体"/>
                <w:i w:val="0"/>
                <w:iCs w:val="0"/>
                <w:color w:val="000000"/>
                <w:kern w:val="0"/>
                <w:sz w:val="20"/>
                <w:szCs w:val="20"/>
                <w:highlight w:val="none"/>
                <w:u w:val="none"/>
                <w:lang w:val="en-US" w:eastAsia="zh-CN" w:bidi="ar"/>
              </w:rPr>
              <w:t>完成预算百分比</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主要用于</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eastAsia" w:ascii="宋体" w:hAnsi="宋体" w:eastAsia="宋体" w:cs="宋体"/>
                <w:i w:val="0"/>
                <w:iCs w:val="0"/>
                <w:color w:val="000000"/>
                <w:sz w:val="20"/>
                <w:szCs w:val="20"/>
                <w:highlight w:val="none"/>
                <w:u w:val="none"/>
              </w:rPr>
            </w:pPr>
            <w:r>
              <w:rPr>
                <w:rFonts w:hint="eastAsia" w:ascii="宋体" w:hAnsi="宋体" w:eastAsia="宋体" w:cs="宋体"/>
                <w:i w:val="0"/>
                <w:iCs w:val="0"/>
                <w:color w:val="000000"/>
                <w:kern w:val="0"/>
                <w:sz w:val="20"/>
                <w:szCs w:val="20"/>
                <w:highlight w:val="none"/>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2299999</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其他支出</w:t>
            </w: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330.25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330.25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100%</w:t>
            </w: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绩效考评奖金、伙食补助费</w:t>
            </w: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r>
              <w:rPr>
                <w:rFonts w:hint="eastAsia" w:ascii="仿宋" w:hAnsi="仿宋" w:eastAsia="仿宋" w:cs="仿宋"/>
                <w:color w:val="auto"/>
                <w:sz w:val="18"/>
                <w:szCs w:val="18"/>
                <w:highlight w:val="none"/>
                <w:lang w:val="en-US" w:eastAsia="zh-CN"/>
              </w:rPr>
              <w:t>无差异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4" w:hRule="atLeast"/>
        </w:trPr>
        <w:tc>
          <w:tcPr>
            <w:tcW w:w="95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i w:val="0"/>
                <w:iCs w:val="0"/>
                <w:color w:val="000000"/>
                <w:sz w:val="20"/>
                <w:szCs w:val="20"/>
                <w:highlight w:val="none"/>
                <w:u w:val="none"/>
                <w:lang w:val="en-US" w:eastAsia="zh-CN"/>
              </w:rPr>
              <w:t>合计数</w:t>
            </w:r>
          </w:p>
        </w:tc>
        <w:tc>
          <w:tcPr>
            <w:tcW w:w="107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left"/>
              <w:textAlignment w:val="center"/>
              <w:rPr>
                <w:rFonts w:hint="default" w:ascii="宋体" w:hAnsi="宋体" w:eastAsia="宋体" w:cs="宋体"/>
                <w:i w:val="0"/>
                <w:iCs w:val="0"/>
                <w:color w:val="000000"/>
                <w:sz w:val="20"/>
                <w:szCs w:val="20"/>
                <w:highlight w:val="none"/>
                <w:u w:val="none"/>
                <w:lang w:val="en-US" w:eastAsia="zh-CN"/>
              </w:rPr>
            </w:pPr>
          </w:p>
        </w:tc>
        <w:tc>
          <w:tcPr>
            <w:tcW w:w="994"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r>
              <w:rPr>
                <w:rFonts w:hint="eastAsia" w:ascii="宋体" w:hAnsi="宋体" w:eastAsia="宋体" w:cs="宋体"/>
                <w:i w:val="0"/>
                <w:iCs w:val="0"/>
                <w:color w:val="000000"/>
                <w:sz w:val="18"/>
                <w:szCs w:val="18"/>
                <w:highlight w:val="none"/>
                <w:u w:val="none"/>
                <w:lang w:val="en-US" w:eastAsia="zh-CN"/>
              </w:rPr>
              <w:t>330.25</w:t>
            </w:r>
          </w:p>
        </w:tc>
        <w:tc>
          <w:tcPr>
            <w:tcW w:w="806"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kern w:val="2"/>
                <w:sz w:val="18"/>
                <w:szCs w:val="18"/>
                <w:highlight w:val="none"/>
                <w:u w:val="none"/>
                <w:lang w:val="en-US" w:eastAsia="zh-CN" w:bidi="ar-SA"/>
              </w:rPr>
            </w:pPr>
            <w:r>
              <w:rPr>
                <w:rFonts w:hint="eastAsia" w:ascii="宋体" w:hAnsi="宋体" w:eastAsia="宋体" w:cs="宋体"/>
                <w:i w:val="0"/>
                <w:iCs w:val="0"/>
                <w:color w:val="000000"/>
                <w:kern w:val="2"/>
                <w:sz w:val="18"/>
                <w:szCs w:val="18"/>
                <w:highlight w:val="none"/>
                <w:u w:val="none"/>
                <w:lang w:val="en-US" w:eastAsia="zh-CN" w:bidi="ar-SA"/>
              </w:rPr>
              <w:t>330.25</w:t>
            </w:r>
          </w:p>
        </w:tc>
        <w:tc>
          <w:tcPr>
            <w:tcW w:w="1097"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000000"/>
                <w:sz w:val="18"/>
                <w:szCs w:val="18"/>
                <w:highlight w:val="none"/>
                <w:u w:val="none"/>
                <w:lang w:val="en-US" w:eastAsia="zh-CN"/>
              </w:rPr>
            </w:pPr>
          </w:p>
        </w:tc>
        <w:tc>
          <w:tcPr>
            <w:tcW w:w="1783"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c>
          <w:tcPr>
            <w:tcW w:w="1825" w:type="dxa"/>
            <w:tcBorders>
              <w:top w:val="dotted" w:color="auto" w:sz="0" w:space="0"/>
              <w:left w:val="dotted" w:color="auto" w:sz="0" w:space="0"/>
              <w:bottom w:val="dotted" w:color="auto" w:sz="0" w:space="0"/>
              <w:right w:val="dotted" w:color="auto" w:sz="0" w:space="0"/>
            </w:tcBorders>
            <w:shd w:val="clear" w:color="auto" w:fill="FFFFFF"/>
            <w:noWrap/>
            <w:vAlign w:val="center"/>
          </w:tcPr>
          <w:p>
            <w:pPr>
              <w:keepNext w:val="0"/>
              <w:keepLines w:val="0"/>
              <w:widowControl/>
              <w:suppressLineNumbers w:val="0"/>
              <w:spacing w:before="0" w:beforeAutospacing="0" w:after="0" w:afterAutospacing="0"/>
              <w:ind w:left="0" w:right="0"/>
              <w:jc w:val="center"/>
              <w:textAlignment w:val="center"/>
              <w:rPr>
                <w:rFonts w:hint="default" w:ascii="宋体" w:hAnsi="宋体" w:eastAsia="宋体" w:cs="宋体"/>
                <w:i w:val="0"/>
                <w:iCs w:val="0"/>
                <w:color w:val="auto"/>
                <w:sz w:val="18"/>
                <w:szCs w:val="18"/>
                <w:highlight w:val="none"/>
                <w:u w:val="none"/>
                <w:lang w:val="en-US" w:eastAsia="zh-CN"/>
              </w:rPr>
            </w:pPr>
          </w:p>
        </w:tc>
      </w:tr>
    </w:tbl>
    <w:p>
      <w:pPr>
        <w:jc w:val="left"/>
        <w:rPr>
          <w:rFonts w:hint="eastAsia" w:ascii="仿宋" w:hAnsi="仿宋" w:eastAsia="仿宋"/>
          <w:sz w:val="32"/>
          <w:szCs w:val="32"/>
          <w:highlight w:val="none"/>
        </w:rPr>
      </w:pP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2663825"/>
            <wp:effectExtent l="4445" t="4445" r="16510" b="17780"/>
            <wp:docPr id="1" name="图表 4" title="{{ybggysgnkm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三、2022年度一般公共预算财政拨款基本支出决算情况说明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环江毛南族自治县林业局</w:t>
      </w:r>
      <w:r>
        <w:rPr>
          <w:rFonts w:hint="eastAsia" w:ascii="仿宋" w:hAnsi="仿宋" w:eastAsia="仿宋" w:cs="仿宋"/>
          <w:sz w:val="32"/>
          <w:szCs w:val="32"/>
          <w:highlight w:val="none"/>
        </w:rPr>
        <w:t>2022年度一般公共预算财政拨款基本支出</w:t>
      </w:r>
      <w:r>
        <w:rPr>
          <w:rFonts w:hint="eastAsia" w:ascii="仿宋" w:hAnsi="仿宋" w:eastAsia="仿宋" w:cs="仿宋"/>
          <w:sz w:val="32"/>
          <w:u w:color="auto"/>
        </w:rPr>
        <w:t>2,062.35</w:t>
      </w:r>
      <w:r>
        <w:rPr>
          <w:rFonts w:hint="eastAsia" w:ascii="仿宋" w:hAnsi="仿宋" w:eastAsia="仿宋" w:cs="仿宋"/>
          <w:sz w:val="32"/>
          <w:szCs w:val="32"/>
          <w:highlight w:val="none"/>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其中：人员经费支出</w:t>
      </w:r>
      <w:r>
        <w:rPr>
          <w:rFonts w:hint="eastAsia" w:ascii="仿宋" w:hAnsi="仿宋" w:eastAsia="仿宋" w:cs="仿宋"/>
          <w:sz w:val="32"/>
          <w:szCs w:val="32"/>
          <w:highlight w:val="none"/>
          <w:lang w:val="en-US" w:eastAsia="zh-CN"/>
        </w:rPr>
        <w:t>1953.54</w:t>
      </w:r>
      <w:r>
        <w:rPr>
          <w:rFonts w:hint="default" w:ascii="仿宋_GB2312" w:hAnsi="微软雅黑" w:eastAsia="仿宋_GB2312" w:cs="仿宋_GB2312"/>
          <w:i w:val="0"/>
          <w:iCs w:val="0"/>
          <w:caps w:val="0"/>
          <w:color w:val="000000"/>
          <w:spacing w:val="0"/>
          <w:sz w:val="31"/>
          <w:szCs w:val="31"/>
          <w:highlight w:val="none"/>
          <w:shd w:val="clear" w:color="auto" w:fill="FFFFFF"/>
        </w:rPr>
        <w:t>万元，公用经费支出</w:t>
      </w:r>
      <w:r>
        <w:rPr>
          <w:rFonts w:hint="eastAsia" w:ascii="仿宋" w:hAnsi="仿宋" w:eastAsia="仿宋" w:cs="仿宋"/>
          <w:sz w:val="32"/>
          <w:szCs w:val="32"/>
          <w:highlight w:val="none"/>
          <w:lang w:val="en-US" w:eastAsia="zh-CN"/>
        </w:rPr>
        <w:t>108.81</w:t>
      </w:r>
      <w:r>
        <w:rPr>
          <w:rFonts w:hint="default" w:ascii="仿宋_GB2312" w:hAnsi="微软雅黑" w:eastAsia="仿宋_GB2312" w:cs="仿宋_GB2312"/>
          <w:i w:val="0"/>
          <w:iCs w:val="0"/>
          <w:caps w:val="0"/>
          <w:color w:val="000000"/>
          <w:spacing w:val="0"/>
          <w:sz w:val="31"/>
          <w:szCs w:val="31"/>
          <w:highlight w:val="none"/>
          <w:shd w:val="clear" w:color="auto" w:fill="FFFFFF"/>
        </w:rPr>
        <w:t>万元，</w:t>
      </w:r>
      <w:r>
        <w:rPr>
          <w:rFonts w:hint="eastAsia" w:ascii="仿宋" w:hAnsi="仿宋" w:eastAsia="仿宋" w:cs="仿宋"/>
          <w:sz w:val="32"/>
          <w:szCs w:val="32"/>
          <w:highlight w:val="none"/>
        </w:rPr>
        <w:t>支出具体情况如下：</w:t>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工资福利支出</w:t>
      </w:r>
      <w:r>
        <w:rPr>
          <w:rFonts w:hint="eastAsia" w:ascii="仿宋" w:hAnsi="仿宋" w:eastAsia="仿宋" w:cs="仿宋"/>
          <w:sz w:val="32"/>
          <w:highlight w:val="none"/>
          <w:u w:color="auto"/>
        </w:rPr>
        <w:t>1,920.21</w:t>
      </w:r>
      <w:r>
        <w:rPr>
          <w:rFonts w:ascii="仿宋" w:hAnsi="仿宋" w:eastAsia="仿宋" w:cs="仿宋"/>
          <w:sz w:val="32"/>
          <w:highlight w:val="none"/>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100</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lang w:val="en-US" w:eastAsia="zh-CN"/>
        </w:rPr>
        <w:t>预决算无</w:t>
      </w:r>
      <w:r>
        <w:rPr>
          <w:rFonts w:hint="eastAsia" w:ascii="仿宋" w:hAnsi="仿宋" w:eastAsia="仿宋" w:cs="仿宋"/>
          <w:sz w:val="32"/>
          <w:szCs w:val="32"/>
          <w:highlight w:val="none"/>
        </w:rPr>
        <w:t>差</w:t>
      </w:r>
      <w:r>
        <w:rPr>
          <w:rFonts w:hint="eastAsia" w:ascii="仿宋" w:hAnsi="仿宋" w:eastAsia="仿宋" w:cs="仿宋"/>
          <w:color w:val="000000" w:themeColor="text1"/>
          <w:sz w:val="32"/>
          <w:szCs w:val="32"/>
          <w:highlight w:val="none"/>
          <w14:textFill>
            <w14:solidFill>
              <w14:schemeClr w14:val="tx1"/>
            </w14:solidFill>
          </w14:textFill>
        </w:rPr>
        <w:t>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30101基本工资373.12万元，30102津贴补贴316.14万元，30103奖金460.97万元，30106伙食补助费25.73万元，30107绩效工资249.28万元，30108机关事业单位基本养老保险缴费234.81万元，30109职业年金缴费15.46万元，30110职工基本医疗保险缴费82.05万元，30112其他社会保障缴费8.59万元，30113住房公积金153.05万元，30114 医疗费1.00万元。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pPr>
        <w:jc w:val="both"/>
        <w:rPr>
          <w:rFonts w:hint="eastAsia" w:ascii="仿宋" w:hAnsi="仿宋" w:eastAsia="仿宋" w:cs="仿宋"/>
          <w:sz w:val="32"/>
          <w:szCs w:val="32"/>
          <w:highlight w:val="none"/>
        </w:rPr>
      </w:pP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商品和服务支出</w:t>
      </w:r>
      <w:r>
        <w:rPr>
          <w:rFonts w:hint="eastAsia" w:ascii="仿宋" w:hAnsi="仿宋" w:eastAsia="仿宋" w:cs="仿宋"/>
          <w:sz w:val="32"/>
          <w:highlight w:val="none"/>
          <w:u w:color="auto"/>
        </w:rPr>
        <w:t>108.81</w:t>
      </w:r>
      <w:r>
        <w:rPr>
          <w:rFonts w:ascii="仿宋" w:hAnsi="仿宋" w:eastAsia="仿宋" w:cs="仿宋"/>
          <w:sz w:val="32"/>
          <w:highlight w:val="none"/>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100</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预决算</w:t>
      </w:r>
      <w:r>
        <w:rPr>
          <w:rFonts w:hint="eastAsia" w:ascii="仿宋" w:hAnsi="仿宋" w:eastAsia="仿宋" w:cs="仿宋"/>
          <w:sz w:val="32"/>
          <w:szCs w:val="32"/>
          <w:highlight w:val="none"/>
          <w:lang w:val="en-US" w:eastAsia="zh-CN"/>
        </w:rPr>
        <w:t>无</w:t>
      </w:r>
      <w:r>
        <w:rPr>
          <w:rFonts w:hint="eastAsia" w:ascii="仿宋" w:hAnsi="仿宋" w:eastAsia="仿宋" w:cs="仿宋"/>
          <w:sz w:val="32"/>
          <w:szCs w:val="32"/>
          <w:highlight w:val="none"/>
        </w:rPr>
        <w:t>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r>
        <w:rPr>
          <w:rFonts w:hint="eastAsia" w:ascii="仿宋" w:hAnsi="仿宋" w:eastAsia="仿宋" w:cs="仿宋"/>
          <w:sz w:val="32"/>
          <w:szCs w:val="32"/>
          <w:highlight w:val="none"/>
          <w:lang w:val="en-US" w:eastAsia="zh-CN"/>
        </w:rPr>
        <w:t>30201办公费0.12万元，30205水费5.31万元，30206电费13.56万元，30207邮电费9.95万元，30209  物业管理费0.28万元，30211差旅费0.04万元，30213  维修（护）费0.07万元，30214租赁费0.03万元，30228工会经费27.17万元，30231  公务用车运行维护费18.39万元，30239其他交通费用29.78万元，30299其他商品和服务支出4.10万元。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18"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对个人和家庭的补助</w:t>
      </w:r>
      <w:r>
        <w:rPr>
          <w:rFonts w:hint="eastAsia" w:ascii="仿宋" w:hAnsi="仿宋" w:eastAsia="仿宋" w:cs="仿宋"/>
          <w:sz w:val="32"/>
          <w:u w:color="auto"/>
        </w:rPr>
        <w:t>33.33</w:t>
      </w:r>
      <w:r>
        <w:rPr>
          <w:rFonts w:ascii="仿宋" w:hAnsi="仿宋" w:eastAsia="仿宋" w:cs="仿宋"/>
          <w:sz w:val="32"/>
          <w:u w:color="auto"/>
        </w:rPr>
        <w:t>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lang w:val="en-US" w:eastAsia="zh-CN"/>
        </w:rPr>
        <w:t>100</w:t>
      </w:r>
      <w:r>
        <w:rPr>
          <w:rFonts w:hint="eastAsia" w:ascii="仿宋" w:hAnsi="仿宋" w:eastAsia="仿宋" w:cs="仿宋"/>
          <w:sz w:val="32"/>
          <w:szCs w:val="32"/>
          <w:highlight w:val="none"/>
        </w:rPr>
        <w:t>%</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预决算</w:t>
      </w:r>
      <w:r>
        <w:rPr>
          <w:rFonts w:hint="eastAsia" w:ascii="仿宋" w:hAnsi="仿宋" w:eastAsia="仿宋" w:cs="仿宋"/>
          <w:sz w:val="32"/>
          <w:szCs w:val="32"/>
          <w:highlight w:val="none"/>
          <w:lang w:val="en-US" w:eastAsia="zh-CN"/>
        </w:rPr>
        <w:t>无</w:t>
      </w:r>
      <w:r>
        <w:rPr>
          <w:rFonts w:hint="eastAsia" w:ascii="仿宋" w:hAnsi="仿宋" w:eastAsia="仿宋" w:cs="仿宋"/>
          <w:sz w:val="32"/>
          <w:szCs w:val="32"/>
          <w:highlight w:val="none"/>
        </w:rPr>
        <w:t>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：30304抚恤金6.36</w:t>
      </w:r>
      <w:r>
        <w:rPr>
          <w:rFonts w:hint="eastAsia" w:ascii="仿宋" w:hAnsi="仿宋" w:eastAsia="仿宋" w:cs="仿宋"/>
          <w:sz w:val="32"/>
          <w:szCs w:val="32"/>
          <w:highlight w:val="none"/>
          <w:lang w:val="en-US" w:eastAsia="zh-CN"/>
        </w:rPr>
        <w:t>万元</w:t>
      </w:r>
      <w:r>
        <w:rPr>
          <w:rFonts w:hint="eastAsia" w:ascii="仿宋" w:hAnsi="仿宋" w:eastAsia="仿宋" w:cs="仿宋"/>
          <w:sz w:val="32"/>
          <w:szCs w:val="32"/>
          <w:highlight w:val="none"/>
          <w:lang w:eastAsia="zh-CN"/>
        </w:rPr>
        <w:t>，</w:t>
      </w:r>
      <w:r>
        <w:rPr>
          <w:rFonts w:hint="eastAsia" w:ascii="仿宋" w:hAnsi="仿宋" w:eastAsia="仿宋" w:cs="仿宋"/>
          <w:sz w:val="32"/>
          <w:szCs w:val="32"/>
          <w:highlight w:val="none"/>
          <w:lang w:val="en-US" w:eastAsia="zh-CN"/>
        </w:rPr>
        <w:t>30305生活补助26.65万元，30399其他对个人和家庭的补助0.32万元。</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0"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债</w:t>
      </w:r>
      <w:r>
        <w:rPr>
          <w:rFonts w:hint="eastAsia" w:ascii="仿宋" w:hAnsi="仿宋" w:eastAsia="仿宋" w:cs="仿宋"/>
          <w:color w:val="auto"/>
          <w:sz w:val="32"/>
          <w:szCs w:val="32"/>
          <w:highlight w:val="none"/>
        </w:rPr>
        <w:t>务利息及费用支出</w:t>
      </w:r>
      <w:r>
        <w:rPr>
          <w:rFonts w:ascii="仿宋" w:hAnsi="仿宋" w:eastAsia="仿宋" w:cs="仿宋"/>
          <w:color w:val="auto"/>
          <w:sz w:val="32"/>
          <w:u w:color="auto"/>
        </w:rPr>
        <w:t>0.00万元，</w:t>
      </w:r>
      <w:r>
        <w:rPr>
          <w:rFonts w:hint="default" w:ascii="仿宋_GB2312" w:hAnsi="微软雅黑" w:eastAsia="仿宋_GB2312" w:cs="仿宋_GB2312"/>
          <w:i w:val="0"/>
          <w:iCs w:val="0"/>
          <w:caps w:val="0"/>
          <w:color w:val="auto"/>
          <w:spacing w:val="0"/>
          <w:sz w:val="31"/>
          <w:szCs w:val="31"/>
          <w:highlight w:val="none"/>
          <w:shd w:val="clear" w:color="auto" w:fill="FFFFFF"/>
        </w:rPr>
        <w:t>完成年初预算的</w:t>
      </w:r>
      <w:r>
        <w:rPr>
          <w:rFonts w:hint="eastAsia" w:ascii="仿宋" w:hAnsi="仿宋" w:eastAsia="仿宋" w:cs="仿宋"/>
          <w:color w:val="auto"/>
          <w:sz w:val="32"/>
          <w:szCs w:val="32"/>
          <w:highlight w:val="none"/>
        </w:rPr>
        <w:t>0%</w:t>
      </w:r>
      <w:r>
        <w:rPr>
          <w:rFonts w:hint="default" w:ascii="仿宋_GB2312" w:hAnsi="微软雅黑" w:eastAsia="仿宋_GB2312" w:cs="仿宋_GB2312"/>
          <w:i w:val="0"/>
          <w:iCs w:val="0"/>
          <w:caps w:val="0"/>
          <w:color w:val="auto"/>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主要原因是：本单位无债务利息及费用支出。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2"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资本性支出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sz w:val="32"/>
          <w:szCs w:val="32"/>
          <w:highlight w:val="none"/>
        </w:rPr>
        <w:t>（预决算</w:t>
      </w:r>
      <w:r>
        <w:rPr>
          <w:rFonts w:hint="eastAsia" w:ascii="仿宋" w:hAnsi="仿宋" w:eastAsia="仿宋" w:cs="仿宋"/>
          <w:sz w:val="32"/>
          <w:szCs w:val="32"/>
          <w:highlight w:val="none"/>
          <w:lang w:val="en-US" w:eastAsia="zh-CN"/>
        </w:rPr>
        <w:t>无</w:t>
      </w:r>
      <w:r>
        <w:rPr>
          <w:rFonts w:hint="eastAsia" w:ascii="仿宋" w:hAnsi="仿宋" w:eastAsia="仿宋" w:cs="仿宋"/>
          <w:sz w:val="32"/>
          <w:szCs w:val="32"/>
          <w:highlight w:val="none"/>
        </w:rPr>
        <w:t>差异）</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主要原因是</w:t>
      </w:r>
      <w:r>
        <w:rPr>
          <w:rFonts w:hint="eastAsia" w:ascii="仿宋" w:hAnsi="仿宋" w:eastAsia="仿宋" w:cs="仿宋"/>
          <w:color w:val="auto"/>
          <w:kern w:val="2"/>
          <w:sz w:val="32"/>
          <w:szCs w:val="32"/>
          <w:highlight w:val="none"/>
          <w:lang w:val="en-US" w:eastAsia="zh-CN" w:bidi="ar"/>
        </w:rPr>
        <w:t>：本单位无资本性支出。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4"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pPr>
        <w:keepNext w:val="0"/>
        <w:keepLines w:val="0"/>
        <w:widowControl w:val="0"/>
        <w:numPr>
          <w:ilvl w:val="0"/>
          <w:numId w:val="2"/>
        </w:numPr>
        <w:suppressLineNumbers w:val="0"/>
        <w:spacing w:before="0" w:beforeAutospacing="0" w:after="0" w:afterAutospacing="0"/>
        <w:ind w:left="0" w:leftChars="0" w:right="0" w:firstLine="420" w:firstLineChars="0"/>
        <w:jc w:val="left"/>
        <w:rPr>
          <w:rFonts w:ascii="仿宋" w:hAnsi="仿宋" w:eastAsia="仿宋" w:cs="仿宋"/>
          <w:color w:val="FF0000"/>
          <w:sz w:val="32"/>
          <w:szCs w:val="32"/>
          <w:highlight w:val="none"/>
        </w:rPr>
      </w:pPr>
      <w:r>
        <w:rPr>
          <w:rFonts w:hint="eastAsia" w:ascii="仿宋" w:hAnsi="仿宋" w:eastAsia="仿宋" w:cs="仿宋"/>
          <w:sz w:val="32"/>
          <w:szCs w:val="32"/>
          <w:highlight w:val="none"/>
        </w:rPr>
        <w:t>其他支出</w:t>
      </w:r>
      <w:r>
        <w:rPr>
          <w:rFonts w:ascii="仿宋" w:hAnsi="仿宋" w:eastAsia="仿宋" w:cs="仿宋"/>
          <w:sz w:val="32"/>
          <w:u w:color="auto"/>
        </w:rPr>
        <w:t>0.00万元，</w:t>
      </w:r>
      <w:r>
        <w:rPr>
          <w:rFonts w:hint="default" w:ascii="仿宋_GB2312" w:hAnsi="微软雅黑" w:eastAsia="仿宋_GB2312" w:cs="仿宋_GB2312"/>
          <w:i w:val="0"/>
          <w:iCs w:val="0"/>
          <w:caps w:val="0"/>
          <w:color w:val="000000"/>
          <w:spacing w:val="0"/>
          <w:sz w:val="31"/>
          <w:szCs w:val="31"/>
          <w:highlight w:val="none"/>
          <w:shd w:val="clear" w:color="auto" w:fill="FFFFFF"/>
        </w:rPr>
        <w:t>完成年初预算的</w:t>
      </w:r>
      <w:r>
        <w:rPr>
          <w:rFonts w:hint="eastAsia" w:ascii="仿宋" w:hAnsi="仿宋" w:eastAsia="仿宋" w:cs="仿宋"/>
          <w:sz w:val="32"/>
          <w:szCs w:val="32"/>
          <w:highlight w:val="none"/>
        </w:rPr>
        <w:t>0%</w:t>
      </w:r>
      <w:r>
        <w:rPr>
          <w:rFonts w:hint="default" w:ascii="仿宋_GB2312" w:hAnsi="微软雅黑" w:eastAsia="仿宋_GB2312" w:cs="仿宋_GB2312"/>
          <w:i w:val="0"/>
          <w:iCs w:val="0"/>
          <w:caps w:val="0"/>
          <w:color w:val="000000"/>
          <w:spacing w:val="0"/>
          <w:sz w:val="31"/>
          <w:szCs w:val="31"/>
          <w:highlight w:val="none"/>
          <w:shd w:val="clear" w:color="auto" w:fill="FFFFFF"/>
        </w:rPr>
        <w:t>，</w:t>
      </w:r>
      <w:r>
        <w:rPr>
          <w:rFonts w:hint="eastAsia" w:ascii="仿宋" w:hAnsi="仿宋" w:eastAsia="仿宋" w:cs="仿宋"/>
          <w:color w:val="auto"/>
          <w:kern w:val="2"/>
          <w:sz w:val="32"/>
          <w:szCs w:val="32"/>
          <w:highlight w:val="none"/>
          <w:lang w:val="en-US" w:eastAsia="zh-CN" w:bidi="ar"/>
        </w:rPr>
        <w:t>主要原因是：本单位无其他支出。</w:t>
      </w:r>
    </w:p>
    <w:p>
      <w:pPr>
        <w:jc w:val="left"/>
        <w:rPr>
          <w:rFonts w:hint="default" w:ascii="仿宋" w:hAnsi="仿宋" w:eastAsia="仿宋" w:cs="仿宋"/>
          <w:sz w:val="32"/>
          <w:szCs w:val="32"/>
          <w:highlight w:val="none"/>
          <w:lang w:val="en-US" w:eastAsia="zh-CN"/>
        </w:rPr>
      </w:pPr>
      <w:r>
        <w:rPr>
          <w:rFonts w:hint="eastAsia" w:ascii="仿宋" w:hAnsi="仿宋" w:eastAsia="仿宋"/>
          <w:sz w:val="32"/>
          <w:szCs w:val="32"/>
          <w:highlight w:val="none"/>
          <w:lang w:val="en-US" w:eastAsia="zh-CN"/>
        </w:rPr>
        <w:t>支出具体情况如下</w:t>
      </w:r>
      <w:r>
        <w:rPr>
          <w:rFonts w:hint="eastAsia" w:ascii="仿宋" w:hAnsi="仿宋" w:eastAsia="仿宋" w:cs="仿宋"/>
          <w:sz w:val="32"/>
          <w:szCs w:val="32"/>
          <w:highlight w:val="none"/>
        </w:rPr>
        <w:t>：</w:t>
      </w:r>
    </w:p>
    <w:p>
      <w:pPr>
        <w:jc w:val="center"/>
        <w:rPr>
          <w:rFonts w:hint="eastAsia" w:ascii="仿宋" w:hAnsi="仿宋" w:eastAsia="仿宋" w:cs="仿宋"/>
          <w:sz w:val="32"/>
          <w:szCs w:val="32"/>
          <w:highlight w:val="none"/>
        </w:rPr>
      </w:pPr>
      <w:r>
        <w:rPr>
          <w:rFonts w:hint="eastAsia" w:ascii="仿宋" w:hAnsi="仿宋" w:eastAsia="仿宋" w:cs="仿宋"/>
          <w:sz w:val="32"/>
          <w:szCs w:val="32"/>
          <w:highlight w:val="none"/>
        </w:rPr>
        <w:drawing>
          <wp:inline distT="0" distB="0" distL="114300" distR="114300">
            <wp:extent cx="4474845" cy="3215640"/>
            <wp:effectExtent l="4445" t="4445" r="16510" b="18415"/>
            <wp:docPr id="26" name="图表 1" title="{{test_sections_chart}}"/>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pPr>
        <w:jc w:val="left"/>
        <w:rPr>
          <w:rFonts w:ascii="仿宋" w:hAnsi="仿宋" w:eastAsia="仿宋" w:cs="仿宋"/>
          <w:sz w:val="32"/>
          <w:szCs w:val="32"/>
          <w:highlight w:val="none"/>
        </w:rPr>
      </w:pPr>
    </w:p>
    <w:p>
      <w:pPr>
        <w:jc w:val="left"/>
        <w:rPr>
          <w:rFonts w:ascii="黑体" w:hAnsi="黑体" w:eastAsia="黑体" w:cs="黑体"/>
          <w:sz w:val="32"/>
          <w:szCs w:val="32"/>
          <w:highlight w:val="none"/>
        </w:rPr>
      </w:pPr>
      <w:r>
        <w:rPr>
          <w:rFonts w:hint="eastAsia" w:ascii="黑体" w:hAnsi="黑体" w:eastAsia="黑体" w:cs="黑体"/>
          <w:sz w:val="32"/>
          <w:szCs w:val="32"/>
          <w:highlight w:val="none"/>
        </w:rPr>
        <w:t>四、2022年度政府性基金支出决算情况</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lang w:eastAsia="zh-CN"/>
        </w:rPr>
        <w:t>环江毛南族自治县林业局</w:t>
      </w:r>
      <w:r>
        <w:rPr>
          <w:rFonts w:hint="eastAsia" w:ascii="仿宋" w:hAnsi="仿宋" w:eastAsia="仿宋" w:cs="仿宋"/>
          <w:sz w:val="32"/>
          <w:szCs w:val="32"/>
          <w:highlight w:val="none"/>
        </w:rPr>
        <w:t>2022年度政府性基金支出</w:t>
      </w:r>
      <w:r>
        <w:rPr>
          <w:rFonts w:ascii="仿宋" w:hAnsi="仿宋" w:eastAsia="仿宋" w:cs="仿宋"/>
          <w:sz w:val="32"/>
          <w:szCs w:val="32"/>
          <w:highlight w:val="none"/>
        </w:rPr>
        <w:t>0.00</w:t>
      </w:r>
      <w:r>
        <w:rPr>
          <w:rFonts w:hint="eastAsia" w:ascii="仿宋" w:hAnsi="仿宋" w:eastAsia="仿宋" w:cs="仿宋"/>
          <w:sz w:val="32"/>
          <w:szCs w:val="32"/>
          <w:highlight w:val="none"/>
        </w:rPr>
        <w:t>万元，较2021年度决算数</w:t>
      </w:r>
      <w:r>
        <w:rPr>
          <w:rFonts w:ascii="仿宋" w:hAnsi="仿宋" w:eastAsia="仿宋" w:cs="仿宋"/>
          <w:sz w:val="32"/>
          <w:szCs w:val="32"/>
          <w:highlight w:val="none"/>
        </w:rPr>
        <w:t>增加0.00</w:t>
      </w:r>
      <w:r>
        <w:rPr>
          <w:rFonts w:hint="eastAsia" w:ascii="仿宋" w:hAnsi="仿宋" w:eastAsia="仿宋" w:cs="仿宋"/>
          <w:sz w:val="32"/>
          <w:szCs w:val="32"/>
          <w:highlight w:val="none"/>
        </w:rPr>
        <w:t>万元，</w:t>
      </w:r>
      <w:r>
        <w:rPr>
          <w:rFonts w:ascii="仿宋" w:hAnsi="仿宋" w:eastAsia="仿宋" w:cs="仿宋"/>
          <w:sz w:val="32"/>
          <w:szCs w:val="32"/>
          <w:highlight w:val="none"/>
        </w:rPr>
        <w:t>增长0%</w:t>
      </w:r>
      <w:r>
        <w:rPr>
          <w:rFonts w:hint="eastAsia" w:ascii="仿宋" w:hAnsi="仿宋" w:eastAsia="仿宋" w:cs="仿宋"/>
          <w:sz w:val="32"/>
          <w:szCs w:val="32"/>
          <w:highlight w:val="none"/>
        </w:rPr>
        <w:t>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sz w:val="32"/>
          <w:szCs w:val="32"/>
          <w:highlight w:val="none"/>
          <w:lang w:eastAsia="zh-CN"/>
        </w:rPr>
        <w:t>环江毛南族自治县林业局</w:t>
      </w:r>
      <w:r>
        <w:rPr>
          <w:rFonts w:hint="eastAsia" w:ascii="仿宋" w:hAnsi="仿宋" w:eastAsia="仿宋" w:cs="仿宋"/>
          <w:sz w:val="32"/>
          <w:szCs w:val="32"/>
          <w:highlight w:val="none"/>
        </w:rPr>
        <w:t>2022年度政府性基金支出年</w:t>
      </w:r>
      <w:r>
        <w:rPr>
          <w:rFonts w:hint="eastAsia" w:ascii="仿宋" w:hAnsi="仿宋" w:eastAsia="仿宋" w:cs="仿宋"/>
          <w:color w:val="auto"/>
          <w:sz w:val="32"/>
          <w:szCs w:val="32"/>
          <w:highlight w:val="none"/>
        </w:rPr>
        <w:t>初预算为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万元，支出决算为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ind w:firstLine="640" w:firstLineChars="200"/>
        <w:jc w:val="left"/>
        <w:rPr>
          <w:rFonts w:hint="eastAsia" w:ascii="仿宋" w:hAnsi="仿宋" w:eastAsia="仿宋" w:cs="仿宋"/>
          <w:color w:val="auto"/>
          <w:sz w:val="32"/>
          <w:szCs w:val="32"/>
          <w:highlight w:val="none"/>
        </w:rPr>
      </w:pPr>
      <w:r>
        <w:rPr>
          <w:rFonts w:hint="eastAsia" w:ascii="仿宋_GB2312" w:hAnsi="Times New Roman" w:eastAsia="仿宋_GB2312" w:cs="Times New Roman"/>
          <w:color w:val="auto"/>
          <w:sz w:val="32"/>
          <w:szCs w:val="32"/>
          <w:lang w:eastAsia="zh-CN"/>
        </w:rPr>
        <w:t>环江毛南族自治县林业局</w:t>
      </w:r>
      <w:r>
        <w:rPr>
          <w:rFonts w:ascii="仿宋_GB2312" w:hAnsi="仿宋_GB2312" w:eastAsia="仿宋_GB2312" w:cs="仿宋_GB2312"/>
          <w:color w:val="auto"/>
          <w:sz w:val="32"/>
          <w:u w:color="auto"/>
        </w:rPr>
        <w:t>没有政府性基金收入，也没有政府性基金收入安排的支出</w:t>
      </w:r>
      <w:r>
        <w:rPr>
          <w:rFonts w:hint="eastAsia" w:ascii="仿宋_GB2312" w:hAnsi="Times New Roman" w:eastAsia="仿宋_GB2312" w:cs="Times New Roman"/>
          <w:color w:val="auto"/>
          <w:sz w:val="32"/>
          <w:szCs w:val="32"/>
          <w:lang w:eastAsia="zh-CN"/>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五、2022年度国有资本经营预算支出决算情况</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sz w:val="32"/>
          <w:szCs w:val="32"/>
          <w:highlight w:val="none"/>
          <w:lang w:eastAsia="zh-CN"/>
        </w:rPr>
        <w:t>环江毛南族自治县林业局</w:t>
      </w:r>
      <w:r>
        <w:rPr>
          <w:rFonts w:hint="eastAsia" w:ascii="仿宋" w:hAnsi="仿宋" w:eastAsia="仿宋" w:cs="仿宋"/>
          <w:sz w:val="32"/>
          <w:szCs w:val="32"/>
          <w:highlight w:val="none"/>
        </w:rPr>
        <w:t>2022年度国有资本经营预算支出</w:t>
      </w:r>
      <w:r>
        <w:rPr>
          <w:rFonts w:ascii="仿宋" w:hAnsi="仿宋" w:eastAsia="仿宋" w:cs="仿宋"/>
          <w:sz w:val="32"/>
          <w:szCs w:val="32"/>
          <w:highlight w:val="none"/>
        </w:rPr>
        <w:t>0.00</w:t>
      </w:r>
      <w:r>
        <w:rPr>
          <w:rFonts w:hint="eastAsia" w:ascii="仿宋" w:hAnsi="仿宋" w:eastAsia="仿宋" w:cs="仿宋"/>
          <w:sz w:val="32"/>
          <w:szCs w:val="32"/>
          <w:highlight w:val="none"/>
        </w:rPr>
        <w:t>万元。其中：基本支出</w:t>
      </w:r>
      <w:r>
        <w:rPr>
          <w:rFonts w:ascii="仿宋" w:hAnsi="仿宋" w:eastAsia="仿宋" w:cs="仿宋"/>
          <w:sz w:val="32"/>
          <w:szCs w:val="32"/>
          <w:highlight w:val="none"/>
        </w:rPr>
        <w:t>0.00</w:t>
      </w:r>
      <w:r>
        <w:rPr>
          <w:rFonts w:hint="eastAsia" w:ascii="仿宋" w:hAnsi="仿宋" w:eastAsia="仿宋" w:cs="仿宋"/>
          <w:sz w:val="32"/>
          <w:szCs w:val="32"/>
          <w:highlight w:val="none"/>
        </w:rPr>
        <w:t>万元，项目支出</w:t>
      </w:r>
      <w:r>
        <w:rPr>
          <w:rFonts w:ascii="仿宋" w:hAnsi="仿宋" w:eastAsia="仿宋" w:cs="仿宋"/>
          <w:sz w:val="32"/>
          <w:szCs w:val="32"/>
          <w:highlight w:val="none"/>
        </w:rPr>
        <w:t>0.00</w:t>
      </w:r>
      <w:r>
        <w:rPr>
          <w:rFonts w:hint="eastAsia" w:ascii="仿宋" w:hAnsi="仿宋" w:eastAsia="仿宋" w:cs="仿宋"/>
          <w:sz w:val="32"/>
          <w:szCs w:val="32"/>
          <w:highlight w:val="none"/>
        </w:rPr>
        <w:t>万元。</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lang w:eastAsia="zh-CN"/>
        </w:rPr>
        <w:t>环江毛南族自治县林业局</w:t>
      </w:r>
      <w:r>
        <w:rPr>
          <w:rFonts w:hint="eastAsia" w:ascii="仿宋" w:hAnsi="仿宋" w:eastAsia="仿宋" w:cs="仿宋"/>
          <w:color w:val="auto"/>
          <w:sz w:val="32"/>
          <w:szCs w:val="32"/>
          <w:highlight w:val="none"/>
        </w:rPr>
        <w:t>2022 年度国有资本经营预算支出年初预算为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万元，支出决算为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w:t>
      </w:r>
    </w:p>
    <w:p>
      <w:pPr>
        <w:ind w:firstLine="640" w:firstLineChars="200"/>
        <w:jc w:val="left"/>
        <w:rPr>
          <w:rFonts w:hint="eastAsia" w:ascii="仿宋" w:hAnsi="仿宋" w:eastAsia="仿宋" w:cs="仿宋"/>
          <w:color w:val="auto"/>
          <w:sz w:val="32"/>
          <w:szCs w:val="32"/>
          <w:highlight w:val="none"/>
        </w:rPr>
      </w:pPr>
      <w:bookmarkStart w:id="6" w:name="PO_part3A5B1C1DiffReason1"/>
      <w:r>
        <w:rPr>
          <w:rFonts w:hint="eastAsia" w:ascii="仿宋_GB2312" w:hAnsi="Times New Roman" w:eastAsia="仿宋_GB2312" w:cs="Times New Roman"/>
          <w:color w:val="auto"/>
          <w:sz w:val="32"/>
          <w:szCs w:val="32"/>
          <w:lang w:eastAsia="zh-CN"/>
        </w:rPr>
        <w:t>环江毛南族自治县林业局</w:t>
      </w:r>
      <w:r>
        <w:rPr>
          <w:rFonts w:ascii="仿宋_GB2312" w:hAnsi="仿宋_GB2312" w:eastAsia="仿宋_GB2312" w:cs="仿宋_GB2312"/>
          <w:color w:val="auto"/>
          <w:sz w:val="32"/>
          <w:u w:color="auto"/>
        </w:rPr>
        <w:t>没有国有资本经营预算收入，也没有国有资本经营预算收入</w:t>
      </w:r>
      <w:r>
        <w:rPr>
          <w:rFonts w:hint="eastAsia" w:ascii="仿宋_GB2312" w:hAnsi="仿宋_GB2312" w:eastAsia="仿宋_GB2312" w:cs="仿宋_GB2312"/>
          <w:color w:val="auto"/>
          <w:sz w:val="32"/>
          <w:u w:color="auto"/>
          <w:lang w:val="en-US" w:eastAsia="zh-CN"/>
        </w:rPr>
        <w:t>安排的支出</w:t>
      </w:r>
      <w:r>
        <w:rPr>
          <w:rFonts w:hint="eastAsia" w:ascii="仿宋_GB2312" w:hAnsi="Times New Roman" w:eastAsia="仿宋_GB2312" w:cs="Times New Roman"/>
          <w:color w:val="auto"/>
          <w:sz w:val="32"/>
          <w:szCs w:val="32"/>
          <w:lang w:eastAsia="zh-CN"/>
        </w:rPr>
        <w:t>。</w:t>
      </w:r>
      <w:bookmarkEnd w:id="6"/>
    </w:p>
    <w:p>
      <w:pPr>
        <w:jc w:val="left"/>
        <w:rPr>
          <w:rFonts w:ascii="仿宋" w:hAnsi="仿宋" w:eastAsia="仿宋" w:cs="仿宋"/>
          <w:sz w:val="32"/>
          <w:szCs w:val="32"/>
          <w:highlight w:val="none"/>
        </w:rPr>
      </w:pPr>
      <w:r>
        <w:rPr>
          <w:rFonts w:hint="eastAsia" w:ascii="黑体" w:hAnsi="黑体" w:eastAsia="黑体" w:cs="黑体"/>
          <w:sz w:val="32"/>
          <w:szCs w:val="32"/>
          <w:highlight w:val="none"/>
        </w:rPr>
        <w:t>六、一般公共预算财政拨款安排的“三公”经费支出决算情况说明</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color w:val="auto"/>
          <w:sz w:val="32"/>
          <w:szCs w:val="32"/>
          <w:highlight w:val="none"/>
        </w:rPr>
      </w:pPr>
      <w:r>
        <w:rPr>
          <w:rFonts w:hint="eastAsia" w:ascii="仿宋" w:hAnsi="仿宋" w:eastAsia="仿宋" w:cs="仿宋"/>
          <w:sz w:val="32"/>
          <w:szCs w:val="32"/>
          <w:highlight w:val="none"/>
        </w:rPr>
        <w:t>2022年度一般公共预算财政拨款安排的“三公”经费支出</w:t>
      </w:r>
      <w:r>
        <w:rPr>
          <w:rFonts w:hint="eastAsia" w:ascii="仿宋" w:hAnsi="仿宋" w:eastAsia="仿宋" w:cs="仿宋"/>
          <w:sz w:val="32"/>
          <w:szCs w:val="32"/>
          <w:highlight w:val="none"/>
          <w:lang w:val="en-US" w:eastAsia="zh-CN"/>
        </w:rPr>
        <w:t>21.39</w:t>
      </w:r>
      <w:r>
        <w:rPr>
          <w:rFonts w:hint="eastAsia" w:ascii="仿宋" w:hAnsi="仿宋" w:eastAsia="仿宋" w:cs="仿宋"/>
          <w:sz w:val="32"/>
          <w:szCs w:val="32"/>
          <w:highlight w:val="none"/>
        </w:rPr>
        <w:t>万元，完成年初预算的</w:t>
      </w:r>
      <w:r>
        <w:rPr>
          <w:rFonts w:hint="eastAsia" w:ascii="仿宋" w:hAnsi="仿宋" w:eastAsia="仿宋" w:cs="仿宋"/>
          <w:sz w:val="32"/>
          <w:szCs w:val="32"/>
          <w:highlight w:val="none"/>
          <w:lang w:val="en-US" w:eastAsia="zh-CN"/>
        </w:rPr>
        <w:t>100</w:t>
      </w:r>
      <w:r>
        <w:rPr>
          <w:rFonts w:ascii="仿宋" w:hAnsi="仿宋" w:eastAsia="仿宋" w:cs="仿宋"/>
          <w:sz w:val="32"/>
          <w:szCs w:val="32"/>
          <w:highlight w:val="none"/>
        </w:rPr>
        <w:t>%</w:t>
      </w:r>
      <w:r>
        <w:rPr>
          <w:rFonts w:hint="eastAsia" w:ascii="仿宋" w:hAnsi="仿宋" w:eastAsia="仿宋" w:cs="仿宋"/>
          <w:sz w:val="32"/>
          <w:szCs w:val="32"/>
          <w:highlight w:val="none"/>
        </w:rPr>
        <w:t>，比上年</w:t>
      </w:r>
      <w:r>
        <w:rPr>
          <w:rFonts w:hint="eastAsia" w:ascii="仿宋" w:hAnsi="仿宋" w:eastAsia="仿宋" w:cs="仿宋"/>
          <w:sz w:val="32"/>
          <w:szCs w:val="32"/>
          <w:highlight w:val="none"/>
          <w:lang w:val="en-US" w:eastAsia="zh-CN"/>
        </w:rPr>
        <w:t>减少22.36</w:t>
      </w:r>
      <w:r>
        <w:rPr>
          <w:rFonts w:hint="eastAsia" w:ascii="仿宋" w:hAnsi="仿宋" w:eastAsia="仿宋" w:cs="仿宋"/>
          <w:sz w:val="32"/>
          <w:szCs w:val="32"/>
          <w:highlight w:val="none"/>
        </w:rPr>
        <w:t>万元，</w:t>
      </w:r>
      <w:r>
        <w:rPr>
          <w:rFonts w:hint="eastAsia" w:ascii="仿宋" w:hAnsi="仿宋" w:eastAsia="仿宋" w:cs="仿宋"/>
          <w:color w:val="000000" w:themeColor="text1"/>
          <w:kern w:val="2"/>
          <w:sz w:val="32"/>
          <w:szCs w:val="32"/>
          <w:highlight w:val="none"/>
          <w:lang w:val="en-US" w:eastAsia="zh-CN" w:bidi="ar"/>
          <w14:textFill>
            <w14:solidFill>
              <w14:schemeClr w14:val="tx1"/>
            </w14:solidFill>
          </w14:textFill>
        </w:rPr>
        <w:t>主要原</w:t>
      </w:r>
      <w:r>
        <w:rPr>
          <w:rFonts w:hint="eastAsia" w:ascii="仿宋" w:hAnsi="仿宋" w:eastAsia="仿宋" w:cs="仿宋"/>
          <w:color w:val="auto"/>
          <w:kern w:val="2"/>
          <w:sz w:val="32"/>
          <w:szCs w:val="32"/>
          <w:highlight w:val="none"/>
          <w:lang w:val="en-US" w:eastAsia="zh-CN" w:bidi="ar"/>
        </w:rPr>
        <w:t>因是：上一年单位公车报废后，因工作需要有公务用车购置费支出。</w:t>
      </w:r>
      <w:r>
        <w:rPr>
          <w:rFonts w:hint="eastAsia" w:ascii="仿宋" w:hAnsi="仿宋" w:eastAsia="仿宋" w:cs="仿宋"/>
          <w:color w:val="auto"/>
          <w:sz w:val="32"/>
          <w:szCs w:val="32"/>
          <w:highlight w:val="none"/>
        </w:rPr>
        <w:t>其中：因公出国（境）费支出决算</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万元，公务用车购置及运行费支出决算</w:t>
      </w:r>
      <w:r>
        <w:rPr>
          <w:rFonts w:hint="eastAsia" w:ascii="仿宋" w:hAnsi="仿宋" w:eastAsia="仿宋" w:cs="仿宋"/>
          <w:color w:val="auto"/>
          <w:sz w:val="32"/>
          <w:szCs w:val="32"/>
          <w:highlight w:val="none"/>
          <w:lang w:val="en-US" w:eastAsia="zh-CN"/>
        </w:rPr>
        <w:t>21.39</w:t>
      </w:r>
      <w:r>
        <w:rPr>
          <w:rFonts w:hint="eastAsia" w:ascii="仿宋" w:hAnsi="仿宋" w:eastAsia="仿宋" w:cs="仿宋"/>
          <w:color w:val="auto"/>
          <w:sz w:val="32"/>
          <w:szCs w:val="32"/>
          <w:highlight w:val="none"/>
        </w:rPr>
        <w:t>万元，公务接待费支出决算</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具体情况如下：</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color w:val="auto"/>
          <w:sz w:val="32"/>
          <w:szCs w:val="32"/>
          <w:highlight w:val="none"/>
        </w:rPr>
        <w:t>（一）因公出国（境）费支出</w:t>
      </w:r>
      <w:r>
        <w:rPr>
          <w:rFonts w:ascii="仿宋" w:hAnsi="仿宋" w:eastAsia="仿宋" w:cs="仿宋"/>
          <w:color w:val="auto"/>
          <w:sz w:val="32"/>
          <w:szCs w:val="32"/>
          <w:highlight w:val="none"/>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，比上年</w:t>
      </w:r>
      <w:r>
        <w:rPr>
          <w:rFonts w:ascii="仿宋" w:hAnsi="仿宋" w:eastAsia="仿宋" w:cs="仿宋"/>
          <w:color w:val="auto"/>
          <w:sz w:val="32"/>
          <w:szCs w:val="32"/>
          <w:highlight w:val="none"/>
        </w:rPr>
        <w:t>增加0.00</w:t>
      </w:r>
      <w:r>
        <w:rPr>
          <w:rFonts w:hint="eastAsia" w:ascii="仿宋" w:hAnsi="仿宋" w:eastAsia="仿宋" w:cs="仿宋"/>
          <w:color w:val="auto"/>
          <w:sz w:val="32"/>
          <w:szCs w:val="32"/>
          <w:highlight w:val="none"/>
        </w:rPr>
        <w:t xml:space="preserve"> 万元。</w:t>
      </w:r>
      <w:r>
        <w:rPr>
          <w:rFonts w:hint="eastAsia" w:ascii="仿宋" w:hAnsi="仿宋" w:eastAsia="仿宋" w:cs="仿宋"/>
          <w:color w:val="auto"/>
          <w:sz w:val="32"/>
          <w:szCs w:val="32"/>
          <w:highlight w:val="none"/>
          <w:lang w:val="en-US" w:eastAsia="zh-CN"/>
        </w:rPr>
        <w:t>原因是：本单位无</w:t>
      </w:r>
      <w:r>
        <w:rPr>
          <w:rFonts w:hint="eastAsia" w:ascii="仿宋_GB2312" w:hAnsi="Times New Roman" w:eastAsia="仿宋_GB2312" w:cs="Times New Roman"/>
          <w:color w:val="auto"/>
          <w:sz w:val="32"/>
          <w:szCs w:val="32"/>
          <w:lang w:val="en-US" w:eastAsia="zh-CN"/>
        </w:rPr>
        <w:t>因公出国（境）费支出。</w:t>
      </w:r>
      <w:r>
        <w:rPr>
          <w:rFonts w:hint="eastAsia" w:ascii="仿宋_GB2312" w:hAnsi="Times New Roman" w:eastAsia="仿宋_GB2312" w:cs="Times New Roman"/>
          <w:color w:val="auto"/>
          <w:sz w:val="32"/>
          <w:szCs w:val="32"/>
        </w:rPr>
        <w:t>全年使用财政拨款安排</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局</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机关、</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个所属单位出国团组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个，参加其他单位组织的出国团组</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u w:val="single"/>
          <w:lang w:val="en-US" w:eastAsia="zh-CN"/>
        </w:rPr>
        <w:t>0</w:t>
      </w:r>
      <w:r>
        <w:rPr>
          <w:rFonts w:hint="eastAsia" w:ascii="仿宋_GB2312" w:hAnsi="Times New Roman" w:eastAsia="仿宋_GB2312" w:cs="Times New Roman"/>
          <w:color w:val="auto"/>
          <w:sz w:val="32"/>
          <w:szCs w:val="32"/>
          <w:u w:val="single"/>
        </w:rPr>
        <w:t xml:space="preserve"> </w:t>
      </w:r>
      <w:r>
        <w:rPr>
          <w:rFonts w:hint="eastAsia" w:ascii="仿宋_GB2312" w:hAnsi="Times New Roman" w:eastAsia="仿宋_GB2312" w:cs="Times New Roman"/>
          <w:color w:val="auto"/>
          <w:sz w:val="32"/>
          <w:szCs w:val="32"/>
        </w:rPr>
        <w:t>个</w:t>
      </w:r>
      <w:r>
        <w:rPr>
          <w:rFonts w:hint="eastAsia" w:ascii="仿宋" w:hAnsi="仿宋" w:eastAsia="仿宋" w:cs="仿宋"/>
          <w:color w:val="auto"/>
          <w:sz w:val="32"/>
          <w:szCs w:val="32"/>
          <w:highlight w:val="none"/>
        </w:rPr>
        <w:t>，全年因公出国（境）团组共计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个，累计</w:t>
      </w:r>
      <w:r>
        <w:rPr>
          <w:rFonts w:ascii="仿宋" w:hAnsi="仿宋" w:eastAsia="仿宋" w:cs="仿宋"/>
          <w:color w:val="auto"/>
          <w:sz w:val="32"/>
          <w:szCs w:val="32"/>
          <w:highlight w:val="none"/>
        </w:rPr>
        <w:t>0</w:t>
      </w:r>
      <w:r>
        <w:rPr>
          <w:rFonts w:hint="eastAsia" w:ascii="仿宋" w:hAnsi="仿宋" w:eastAsia="仿宋" w:cs="仿宋"/>
          <w:color w:val="auto"/>
          <w:sz w:val="32"/>
          <w:szCs w:val="32"/>
          <w:highlight w:val="none"/>
        </w:rPr>
        <w:t>人次。</w:t>
      </w:r>
    </w:p>
    <w:p>
      <w:pPr>
        <w:ind w:firstLine="640" w:firstLineChars="200"/>
        <w:jc w:val="left"/>
        <w:rPr>
          <w:rFonts w:hint="eastAsia" w:ascii="仿宋" w:hAnsi="仿宋" w:eastAsia="仿宋" w:cs="仿宋"/>
          <w:color w:val="auto"/>
          <w:sz w:val="32"/>
          <w:szCs w:val="32"/>
        </w:rPr>
      </w:pPr>
      <w:r>
        <w:rPr>
          <w:rFonts w:hint="eastAsia" w:ascii="仿宋" w:hAnsi="仿宋" w:eastAsia="仿宋" w:cs="仿宋"/>
          <w:color w:val="auto"/>
          <w:sz w:val="32"/>
          <w:szCs w:val="32"/>
          <w:highlight w:val="none"/>
        </w:rPr>
        <w:t>（二）公务用车购置及运行维护费</w:t>
      </w:r>
      <w:r>
        <w:rPr>
          <w:rFonts w:hint="eastAsia" w:ascii="仿宋" w:hAnsi="仿宋" w:eastAsia="仿宋" w:cs="仿宋"/>
          <w:color w:val="auto"/>
          <w:sz w:val="32"/>
          <w:u w:color="auto"/>
          <w:lang w:val="en-US" w:eastAsia="zh-CN"/>
        </w:rPr>
        <w:t>21.39</w:t>
      </w:r>
      <w:r>
        <w:rPr>
          <w:rFonts w:hint="eastAsia" w:ascii="仿宋" w:hAnsi="仿宋" w:eastAsia="仿宋" w:cs="仿宋"/>
          <w:color w:val="auto"/>
          <w:sz w:val="32"/>
          <w:szCs w:val="32"/>
          <w:highlight w:val="none"/>
        </w:rPr>
        <w:t>万</w:t>
      </w:r>
      <w:r>
        <w:rPr>
          <w:rFonts w:hint="eastAsia" w:ascii="仿宋" w:hAnsi="仿宋" w:eastAsia="仿宋" w:cs="仿宋"/>
          <w:sz w:val="32"/>
          <w:szCs w:val="32"/>
          <w:highlight w:val="none"/>
        </w:rPr>
        <w:t>元。其中：公务用车购置支</w:t>
      </w:r>
      <w:r>
        <w:rPr>
          <w:rFonts w:hint="eastAsia" w:ascii="仿宋" w:hAnsi="仿宋" w:eastAsia="仿宋" w:cs="仿宋"/>
          <w:color w:val="auto"/>
          <w:sz w:val="32"/>
          <w:szCs w:val="32"/>
          <w:highlight w:val="none"/>
        </w:rPr>
        <w:t>出</w:t>
      </w:r>
      <w:r>
        <w:rPr>
          <w:rFonts w:ascii="仿宋" w:hAnsi="仿宋" w:eastAsia="仿宋" w:cs="仿宋"/>
          <w:color w:val="auto"/>
          <w:sz w:val="32"/>
          <w:u w:color="auto"/>
        </w:rPr>
        <w:t>0.00</w:t>
      </w:r>
      <w:r>
        <w:rPr>
          <w:rFonts w:hint="eastAsia" w:ascii="仿宋" w:hAnsi="仿宋" w:eastAsia="仿宋" w:cs="仿宋"/>
          <w:color w:val="auto"/>
          <w:sz w:val="32"/>
          <w:szCs w:val="32"/>
          <w:highlight w:val="none"/>
        </w:rPr>
        <w:t>万元，完成年初预算的</w:t>
      </w:r>
      <w:r>
        <w:rPr>
          <w:rFonts w:ascii="仿宋" w:hAnsi="仿宋" w:eastAsia="仿宋" w:cs="仿宋"/>
          <w:color w:val="auto"/>
          <w:sz w:val="32"/>
          <w:u w:color="auto"/>
        </w:rPr>
        <w:t>0%</w:t>
      </w:r>
      <w:r>
        <w:rPr>
          <w:rFonts w:hint="eastAsia" w:ascii="仿宋" w:hAnsi="仿宋" w:eastAsia="仿宋" w:cs="仿宋"/>
          <w:color w:val="auto"/>
          <w:sz w:val="32"/>
          <w:szCs w:val="32"/>
          <w:highlight w:val="none"/>
        </w:rPr>
        <w:t>，比上年</w:t>
      </w:r>
      <w:r>
        <w:rPr>
          <w:rFonts w:hint="eastAsia" w:ascii="仿宋" w:hAnsi="仿宋" w:eastAsia="仿宋" w:cs="仿宋"/>
          <w:color w:val="auto"/>
          <w:sz w:val="32"/>
          <w:u w:color="auto"/>
          <w:lang w:val="en-US" w:eastAsia="zh-CN"/>
        </w:rPr>
        <w:t>减少22.83</w:t>
      </w:r>
      <w:r>
        <w:rPr>
          <w:rFonts w:hint="eastAsia" w:ascii="仿宋" w:hAnsi="仿宋" w:eastAsia="仿宋" w:cs="仿宋"/>
          <w:color w:val="auto"/>
          <w:sz w:val="32"/>
          <w:szCs w:val="32"/>
          <w:highlight w:val="none"/>
        </w:rPr>
        <w:t>万元。</w:t>
      </w:r>
      <w:bookmarkStart w:id="7" w:name="PO_part3A6B2IncReason1"/>
      <w:r>
        <w:rPr>
          <w:rFonts w:hint="eastAsia" w:ascii="仿宋" w:hAnsi="仿宋" w:eastAsia="仿宋" w:cs="仿宋"/>
          <w:color w:val="auto"/>
          <w:sz w:val="32"/>
          <w:szCs w:val="32"/>
        </w:rPr>
        <w:t>本部门无公务用车购置</w:t>
      </w:r>
      <w:bookmarkEnd w:id="7"/>
      <w:r>
        <w:rPr>
          <w:rFonts w:hint="eastAsia" w:ascii="仿宋" w:hAnsi="仿宋" w:eastAsia="仿宋" w:cs="仿宋"/>
          <w:color w:val="auto"/>
          <w:sz w:val="32"/>
          <w:szCs w:val="32"/>
        </w:rPr>
        <w:t>。</w:t>
      </w:r>
    </w:p>
    <w:p>
      <w:pPr>
        <w:ind w:firstLine="640" w:firstLineChars="200"/>
        <w:jc w:val="left"/>
        <w:rPr>
          <w:rFonts w:ascii="仿宋" w:hAnsi="仿宋" w:eastAsia="仿宋" w:cs="仿宋"/>
          <w:color w:val="auto"/>
          <w:sz w:val="32"/>
          <w:szCs w:val="32"/>
          <w:highlight w:val="none"/>
        </w:rPr>
      </w:pPr>
      <w:r>
        <w:rPr>
          <w:rFonts w:hint="eastAsia" w:ascii="仿宋" w:hAnsi="仿宋" w:eastAsia="仿宋" w:cs="仿宋"/>
          <w:color w:val="auto"/>
          <w:sz w:val="32"/>
          <w:szCs w:val="32"/>
          <w:highlight w:val="none"/>
        </w:rPr>
        <w:t>公务用车运行维护支出</w:t>
      </w:r>
      <w:r>
        <w:rPr>
          <w:rFonts w:hint="eastAsia" w:ascii="仿宋" w:hAnsi="仿宋" w:eastAsia="仿宋" w:cs="仿宋"/>
          <w:color w:val="auto"/>
          <w:sz w:val="32"/>
          <w:u w:color="auto"/>
          <w:lang w:val="en-US" w:eastAsia="zh-CN"/>
        </w:rPr>
        <w:t>21.39</w:t>
      </w:r>
      <w:r>
        <w:rPr>
          <w:rFonts w:hint="eastAsia" w:ascii="仿宋" w:hAnsi="仿宋" w:eastAsia="仿宋" w:cs="仿宋"/>
          <w:color w:val="auto"/>
          <w:sz w:val="32"/>
          <w:szCs w:val="32"/>
          <w:highlight w:val="none"/>
        </w:rPr>
        <w:t>万元，完成年初预算的</w:t>
      </w:r>
      <w:r>
        <w:rPr>
          <w:rFonts w:hint="eastAsia" w:ascii="仿宋" w:hAnsi="仿宋" w:eastAsia="仿宋" w:cs="仿宋"/>
          <w:color w:val="auto"/>
          <w:sz w:val="32"/>
          <w:szCs w:val="32"/>
          <w:highlight w:val="none"/>
          <w:lang w:val="en-US" w:eastAsia="zh-CN"/>
        </w:rPr>
        <w:t>10</w:t>
      </w:r>
      <w:r>
        <w:rPr>
          <w:rFonts w:ascii="仿宋" w:hAnsi="仿宋" w:eastAsia="仿宋" w:cs="仿宋"/>
          <w:color w:val="auto"/>
          <w:sz w:val="32"/>
          <w:u w:color="auto"/>
        </w:rPr>
        <w:t>0%</w:t>
      </w:r>
      <w:r>
        <w:rPr>
          <w:rFonts w:hint="eastAsia" w:ascii="仿宋" w:hAnsi="仿宋" w:eastAsia="仿宋" w:cs="仿宋"/>
          <w:color w:val="auto"/>
          <w:sz w:val="32"/>
          <w:szCs w:val="32"/>
          <w:highlight w:val="none"/>
        </w:rPr>
        <w:t>，比上年</w:t>
      </w:r>
      <w:r>
        <w:rPr>
          <w:rFonts w:ascii="仿宋" w:hAnsi="仿宋" w:eastAsia="仿宋" w:cs="仿宋"/>
          <w:color w:val="auto"/>
          <w:sz w:val="32"/>
          <w:u w:color="auto"/>
        </w:rPr>
        <w:t>增加</w:t>
      </w:r>
      <w:r>
        <w:rPr>
          <w:rFonts w:hint="eastAsia" w:ascii="仿宋" w:hAnsi="仿宋" w:eastAsia="仿宋" w:cs="仿宋"/>
          <w:color w:val="auto"/>
          <w:sz w:val="32"/>
          <w:u w:color="auto"/>
          <w:lang w:val="en-US" w:eastAsia="zh-CN"/>
        </w:rPr>
        <w:t>0.48</w:t>
      </w:r>
      <w:r>
        <w:rPr>
          <w:rFonts w:hint="eastAsia" w:ascii="仿宋" w:hAnsi="仿宋" w:eastAsia="仿宋" w:cs="仿宋"/>
          <w:color w:val="auto"/>
          <w:sz w:val="32"/>
          <w:szCs w:val="32"/>
          <w:highlight w:val="none"/>
        </w:rPr>
        <w:t>万元。主要原因是：</w:t>
      </w:r>
      <w:r>
        <w:rPr>
          <w:rFonts w:hint="eastAsia" w:ascii="仿宋" w:hAnsi="仿宋" w:eastAsia="仿宋" w:cs="仿宋"/>
          <w:color w:val="auto"/>
          <w:sz w:val="32"/>
          <w:szCs w:val="32"/>
          <w:highlight w:val="none"/>
          <w:lang w:val="en-US" w:eastAsia="zh-CN"/>
        </w:rPr>
        <w:t>正常公车维护维修</w:t>
      </w:r>
      <w:r>
        <w:rPr>
          <w:rFonts w:hint="eastAsia" w:ascii="仿宋" w:hAnsi="仿宋" w:eastAsia="仿宋" w:cs="仿宋"/>
          <w:color w:val="auto"/>
          <w:sz w:val="32"/>
          <w:szCs w:val="32"/>
          <w:highlight w:val="none"/>
        </w:rPr>
        <w:t>。主要用于机要文件交换、市内因公出行以及开展</w:t>
      </w:r>
      <w:r>
        <w:rPr>
          <w:rFonts w:hint="eastAsia" w:ascii="仿宋" w:hAnsi="仿宋" w:eastAsia="仿宋" w:cs="仿宋"/>
          <w:color w:val="auto"/>
          <w:sz w:val="32"/>
          <w:szCs w:val="32"/>
          <w:highlight w:val="none"/>
          <w:lang w:val="en-US" w:eastAsia="zh-CN"/>
        </w:rPr>
        <w:t>林业</w:t>
      </w:r>
      <w:r>
        <w:rPr>
          <w:rFonts w:hint="eastAsia" w:ascii="仿宋" w:hAnsi="仿宋" w:eastAsia="仿宋" w:cs="仿宋"/>
          <w:color w:val="auto"/>
          <w:sz w:val="32"/>
          <w:szCs w:val="32"/>
          <w:highlight w:val="none"/>
        </w:rPr>
        <w:t>业务所需车辆燃料费、维修费、过路过桥费、保险费等。2022年，</w:t>
      </w:r>
      <w:r>
        <w:rPr>
          <w:rFonts w:hint="eastAsia" w:ascii="仿宋" w:hAnsi="仿宋" w:eastAsia="仿宋" w:cs="仿宋"/>
          <w:color w:val="auto"/>
          <w:sz w:val="32"/>
          <w:u w:color="auto"/>
          <w:lang w:eastAsia="zh-CN"/>
        </w:rPr>
        <w:t>环江毛南族自治县林业局</w:t>
      </w:r>
      <w:r>
        <w:rPr>
          <w:rFonts w:hint="eastAsia" w:ascii="仿宋" w:hAnsi="仿宋" w:eastAsia="仿宋" w:cs="仿宋"/>
          <w:color w:val="auto"/>
          <w:sz w:val="32"/>
          <w:szCs w:val="32"/>
          <w:highlight w:val="none"/>
        </w:rPr>
        <w:t>及</w:t>
      </w:r>
      <w:r>
        <w:rPr>
          <w:rFonts w:hint="eastAsia" w:ascii="仿宋" w:hAnsi="仿宋" w:eastAsia="仿宋" w:cs="仿宋"/>
          <w:color w:val="auto"/>
          <w:sz w:val="32"/>
          <w:szCs w:val="32"/>
          <w:highlight w:val="none"/>
          <w:u w:val="single"/>
          <w:lang w:val="en-US" w:eastAsia="zh-CN"/>
        </w:rPr>
        <w:t xml:space="preserve">  0 个</w:t>
      </w:r>
      <w:r>
        <w:rPr>
          <w:rFonts w:hint="eastAsia" w:ascii="仿宋" w:hAnsi="仿宋" w:eastAsia="仿宋" w:cs="仿宋"/>
          <w:color w:val="auto"/>
          <w:sz w:val="32"/>
          <w:szCs w:val="32"/>
          <w:highlight w:val="none"/>
        </w:rPr>
        <w:t>所属单位开支财政拨款的公务用车保有量为</w:t>
      </w:r>
      <w:r>
        <w:rPr>
          <w:rFonts w:hint="eastAsia" w:ascii="仿宋" w:hAnsi="仿宋" w:eastAsia="仿宋" w:cs="仿宋"/>
          <w:color w:val="auto"/>
          <w:sz w:val="32"/>
          <w:u w:color="auto"/>
          <w:lang w:val="en-US" w:eastAsia="zh-CN"/>
        </w:rPr>
        <w:t>6</w:t>
      </w:r>
      <w:r>
        <w:rPr>
          <w:rFonts w:hint="eastAsia" w:ascii="仿宋" w:hAnsi="仿宋" w:eastAsia="仿宋" w:cs="仿宋"/>
          <w:color w:val="auto"/>
          <w:sz w:val="32"/>
          <w:szCs w:val="32"/>
          <w:highlight w:val="none"/>
        </w:rPr>
        <w:t>辆，全年运行费支出</w:t>
      </w:r>
      <w:r>
        <w:rPr>
          <w:rFonts w:hint="eastAsia" w:ascii="仿宋" w:hAnsi="仿宋" w:eastAsia="仿宋" w:cs="仿宋"/>
          <w:color w:val="auto"/>
          <w:sz w:val="32"/>
          <w:u w:color="auto"/>
          <w:lang w:val="en-US" w:eastAsia="zh-CN"/>
        </w:rPr>
        <w:t>21.39</w:t>
      </w:r>
      <w:r>
        <w:rPr>
          <w:rFonts w:hint="eastAsia" w:ascii="仿宋" w:hAnsi="仿宋" w:eastAsia="仿宋" w:cs="仿宋"/>
          <w:color w:val="auto"/>
          <w:sz w:val="32"/>
          <w:szCs w:val="32"/>
          <w:highlight w:val="none"/>
        </w:rPr>
        <w:t>万元</w:t>
      </w:r>
      <w:r>
        <w:rPr>
          <w:rFonts w:hint="eastAsia" w:ascii="仿宋" w:hAnsi="仿宋" w:eastAsia="仿宋" w:cs="仿宋"/>
          <w:color w:val="auto"/>
          <w:sz w:val="32"/>
          <w:szCs w:val="32"/>
          <w:highlight w:val="none"/>
          <w:lang w:eastAsia="zh-CN"/>
        </w:rPr>
        <w:t>，</w:t>
      </w:r>
      <w:r>
        <w:rPr>
          <w:rFonts w:hint="eastAsia" w:ascii="仿宋" w:hAnsi="仿宋" w:eastAsia="仿宋" w:cs="仿宋"/>
          <w:color w:val="auto"/>
          <w:sz w:val="32"/>
          <w:szCs w:val="32"/>
          <w:highlight w:val="none"/>
        </w:rPr>
        <w:t>平均每辆</w:t>
      </w:r>
      <w:r>
        <w:rPr>
          <w:rFonts w:hint="eastAsia" w:ascii="仿宋" w:hAnsi="仿宋" w:eastAsia="仿宋" w:cs="仿宋"/>
          <w:color w:val="auto"/>
          <w:sz w:val="32"/>
          <w:szCs w:val="32"/>
          <w:highlight w:val="none"/>
          <w:lang w:val="en-US" w:eastAsia="zh-CN"/>
        </w:rPr>
        <w:t>3.565</w:t>
      </w:r>
      <w:r>
        <w:rPr>
          <w:rFonts w:hint="eastAsia" w:ascii="仿宋" w:hAnsi="仿宋" w:eastAsia="仿宋" w:cs="仿宋"/>
          <w:color w:val="auto"/>
          <w:sz w:val="32"/>
          <w:szCs w:val="32"/>
          <w:highlight w:val="none"/>
        </w:rPr>
        <w:t>万元。</w:t>
      </w:r>
    </w:p>
    <w:p>
      <w:pPr>
        <w:keepNext w:val="0"/>
        <w:keepLines w:val="0"/>
        <w:widowControl w:val="0"/>
        <w:suppressLineNumbers w:val="0"/>
        <w:spacing w:before="0" w:beforeAutospacing="0" w:after="0" w:afterAutospacing="0"/>
        <w:ind w:left="0" w:right="0" w:firstLine="640" w:firstLineChars="200"/>
        <w:jc w:val="left"/>
        <w:rPr>
          <w:rFonts w:ascii="仿宋" w:hAnsi="仿宋" w:eastAsia="仿宋" w:cs="仿宋"/>
          <w:sz w:val="32"/>
          <w:szCs w:val="32"/>
          <w:highlight w:val="none"/>
        </w:rPr>
      </w:pPr>
      <w:r>
        <w:rPr>
          <w:rFonts w:hint="eastAsia" w:ascii="仿宋" w:hAnsi="仿宋" w:eastAsia="仿宋" w:cs="仿宋"/>
          <w:color w:val="auto"/>
          <w:sz w:val="32"/>
          <w:szCs w:val="32"/>
          <w:highlight w:val="none"/>
        </w:rPr>
        <w:t>（三）公务接待费支出</w:t>
      </w:r>
      <w:r>
        <w:rPr>
          <w:rFonts w:hint="eastAsia" w:ascii="仿宋" w:hAnsi="仿宋" w:eastAsia="仿宋" w:cs="仿宋"/>
          <w:color w:val="auto"/>
          <w:sz w:val="32"/>
          <w:szCs w:val="32"/>
          <w:highlight w:val="none"/>
          <w:lang w:val="en-US" w:eastAsia="zh-CN"/>
        </w:rPr>
        <w:t>0</w:t>
      </w:r>
      <w:r>
        <w:rPr>
          <w:rFonts w:hint="eastAsia" w:ascii="仿宋" w:hAnsi="仿宋" w:eastAsia="仿宋" w:cs="仿宋"/>
          <w:color w:val="auto"/>
          <w:sz w:val="32"/>
          <w:szCs w:val="32"/>
          <w:highlight w:val="none"/>
        </w:rPr>
        <w:t>万元，完成年初预算的</w:t>
      </w:r>
      <w:r>
        <w:rPr>
          <w:rFonts w:hint="eastAsia" w:ascii="仿宋" w:hAnsi="仿宋" w:eastAsia="仿宋" w:cs="仿宋"/>
          <w:color w:val="auto"/>
          <w:sz w:val="32"/>
          <w:szCs w:val="32"/>
          <w:highlight w:val="none"/>
          <w:lang w:val="en-US" w:eastAsia="zh-CN"/>
        </w:rPr>
        <w:t>0</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 比上年</w:t>
      </w:r>
      <w:r>
        <w:rPr>
          <w:rFonts w:hint="eastAsia" w:ascii="仿宋" w:hAnsi="仿宋" w:eastAsia="仿宋" w:cs="仿宋"/>
          <w:color w:val="auto"/>
          <w:sz w:val="32"/>
          <w:szCs w:val="32"/>
          <w:highlight w:val="none"/>
          <w:lang w:val="en-US" w:eastAsia="zh-CN"/>
        </w:rPr>
        <w:t>减少</w:t>
      </w:r>
      <w:r>
        <w:rPr>
          <w:rFonts w:ascii="仿宋" w:hAnsi="仿宋" w:eastAsia="仿宋" w:cs="仿宋"/>
          <w:color w:val="auto"/>
          <w:sz w:val="32"/>
          <w:szCs w:val="32"/>
          <w:highlight w:val="none"/>
        </w:rPr>
        <w:t>1.01</w:t>
      </w:r>
      <w:r>
        <w:rPr>
          <w:rFonts w:hint="eastAsia" w:ascii="仿宋" w:hAnsi="仿宋" w:eastAsia="仿宋" w:cs="仿宋"/>
          <w:color w:val="auto"/>
          <w:sz w:val="32"/>
          <w:szCs w:val="32"/>
          <w:highlight w:val="none"/>
        </w:rPr>
        <w:t>万元，</w:t>
      </w:r>
      <w:r>
        <w:rPr>
          <w:rFonts w:hint="eastAsia" w:ascii="仿宋" w:hAnsi="仿宋" w:eastAsia="仿宋" w:cs="仿宋"/>
          <w:color w:val="auto"/>
          <w:kern w:val="2"/>
          <w:sz w:val="32"/>
          <w:szCs w:val="32"/>
          <w:highlight w:val="none"/>
          <w:lang w:val="en-US" w:eastAsia="zh-CN" w:bidi="ar"/>
        </w:rPr>
        <w:t>主要原因是：接待单据未能支付。</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七、其他重要事项情况说明</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（一） 机关运行经费支出情况说明</w:t>
      </w:r>
    </w:p>
    <w:p>
      <w:pPr>
        <w:ind w:firstLine="640" w:firstLineChars="200"/>
        <w:jc w:val="left"/>
        <w:rPr>
          <w:rFonts w:hint="eastAsia" w:ascii="仿宋" w:hAnsi="仿宋" w:eastAsia="仿宋" w:cs="仿宋"/>
          <w:color w:val="auto"/>
          <w:sz w:val="32"/>
          <w:szCs w:val="32"/>
          <w:highlight w:val="none"/>
        </w:rPr>
      </w:pPr>
      <w:r>
        <w:rPr>
          <w:rFonts w:hint="eastAsia" w:ascii="仿宋" w:hAnsi="仿宋" w:eastAsia="仿宋" w:cs="仿宋"/>
          <w:sz w:val="32"/>
          <w:szCs w:val="32"/>
          <w:highlight w:val="none"/>
        </w:rPr>
        <w:t>本部门2022年度机关运行经费支出</w:t>
      </w:r>
      <w:r>
        <w:rPr>
          <w:rFonts w:hint="eastAsia" w:ascii="仿宋" w:hAnsi="仿宋" w:eastAsia="仿宋" w:cs="仿宋"/>
          <w:sz w:val="32"/>
          <w:szCs w:val="32"/>
          <w:highlight w:val="none"/>
          <w:lang w:val="en-US" w:eastAsia="zh-CN"/>
        </w:rPr>
        <w:t>108.81</w:t>
      </w:r>
      <w:r>
        <w:rPr>
          <w:rFonts w:hint="eastAsia" w:ascii="仿宋" w:hAnsi="仿宋" w:eastAsia="仿宋" w:cs="仿宋"/>
          <w:sz w:val="32"/>
          <w:szCs w:val="32"/>
          <w:highlight w:val="none"/>
        </w:rPr>
        <w:t>万元，比年初预算数</w:t>
      </w:r>
      <w:r>
        <w:rPr>
          <w:rFonts w:ascii="仿宋" w:hAnsi="仿宋" w:eastAsia="仿宋" w:cs="仿宋"/>
          <w:sz w:val="32"/>
          <w:szCs w:val="32"/>
          <w:highlight w:val="none"/>
        </w:rPr>
        <w:t>减少</w:t>
      </w:r>
      <w:r>
        <w:rPr>
          <w:rFonts w:hint="eastAsia" w:ascii="仿宋" w:hAnsi="仿宋" w:eastAsia="仿宋" w:cs="仿宋"/>
          <w:sz w:val="32"/>
          <w:szCs w:val="32"/>
          <w:highlight w:val="none"/>
          <w:lang w:val="en-US" w:eastAsia="zh-CN"/>
        </w:rPr>
        <w:t>0</w:t>
      </w:r>
      <w:r>
        <w:rPr>
          <w:rFonts w:hint="eastAsia" w:ascii="仿宋" w:hAnsi="仿宋" w:eastAsia="仿宋" w:cs="仿宋"/>
          <w:sz w:val="32"/>
          <w:szCs w:val="32"/>
          <w:highlight w:val="none"/>
        </w:rPr>
        <w:t>万</w:t>
      </w:r>
      <w:r>
        <w:rPr>
          <w:rFonts w:hint="eastAsia" w:ascii="仿宋" w:hAnsi="仿宋" w:eastAsia="仿宋" w:cs="仿宋"/>
          <w:color w:val="auto"/>
          <w:sz w:val="32"/>
          <w:szCs w:val="32"/>
          <w:highlight w:val="none"/>
        </w:rPr>
        <w:t>元，</w:t>
      </w:r>
      <w:r>
        <w:rPr>
          <w:rFonts w:ascii="仿宋" w:hAnsi="仿宋" w:eastAsia="仿宋" w:cs="仿宋"/>
          <w:color w:val="auto"/>
          <w:sz w:val="32"/>
          <w:szCs w:val="32"/>
          <w:highlight w:val="none"/>
        </w:rPr>
        <w:t>下降</w:t>
      </w:r>
      <w:r>
        <w:rPr>
          <w:rFonts w:hint="eastAsia" w:ascii="仿宋" w:hAnsi="仿宋" w:eastAsia="仿宋" w:cs="仿宋"/>
          <w:color w:val="auto"/>
          <w:sz w:val="32"/>
          <w:szCs w:val="32"/>
          <w:highlight w:val="none"/>
          <w:lang w:val="en-US" w:eastAsia="zh-CN"/>
        </w:rPr>
        <w:t>0</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，比上年决算数</w:t>
      </w:r>
      <w:r>
        <w:rPr>
          <w:rFonts w:ascii="仿宋" w:hAnsi="仿宋" w:eastAsia="仿宋" w:cs="仿宋"/>
          <w:color w:val="auto"/>
          <w:sz w:val="32"/>
          <w:szCs w:val="32"/>
          <w:highlight w:val="none"/>
        </w:rPr>
        <w:t>增加</w:t>
      </w:r>
      <w:r>
        <w:rPr>
          <w:rFonts w:hint="eastAsia" w:ascii="仿宋" w:hAnsi="仿宋" w:eastAsia="仿宋" w:cs="仿宋"/>
          <w:color w:val="auto"/>
          <w:sz w:val="32"/>
          <w:szCs w:val="32"/>
          <w:highlight w:val="none"/>
          <w:lang w:val="en-US" w:eastAsia="zh-CN"/>
        </w:rPr>
        <w:t>54.39</w:t>
      </w:r>
      <w:r>
        <w:rPr>
          <w:rFonts w:hint="eastAsia" w:ascii="仿宋" w:hAnsi="仿宋" w:eastAsia="仿宋" w:cs="仿宋"/>
          <w:color w:val="auto"/>
          <w:sz w:val="32"/>
          <w:szCs w:val="32"/>
          <w:highlight w:val="none"/>
        </w:rPr>
        <w:t>万元，</w:t>
      </w:r>
      <w:r>
        <w:rPr>
          <w:rFonts w:ascii="仿宋" w:hAnsi="仿宋" w:eastAsia="仿宋" w:cs="仿宋"/>
          <w:color w:val="auto"/>
          <w:sz w:val="32"/>
          <w:szCs w:val="32"/>
          <w:highlight w:val="none"/>
        </w:rPr>
        <w:t>增长</w:t>
      </w:r>
      <w:r>
        <w:rPr>
          <w:rFonts w:hint="eastAsia" w:ascii="仿宋" w:hAnsi="仿宋" w:eastAsia="仿宋" w:cs="仿宋"/>
          <w:color w:val="auto"/>
          <w:sz w:val="32"/>
          <w:szCs w:val="32"/>
          <w:highlight w:val="none"/>
          <w:lang w:val="en-US" w:eastAsia="zh-CN"/>
        </w:rPr>
        <w:t>99.94</w:t>
      </w:r>
      <w:r>
        <w:rPr>
          <w:rFonts w:ascii="仿宋" w:hAnsi="仿宋" w:eastAsia="仿宋" w:cs="仿宋"/>
          <w:color w:val="auto"/>
          <w:sz w:val="32"/>
          <w:szCs w:val="32"/>
          <w:highlight w:val="none"/>
        </w:rPr>
        <w:t>%</w:t>
      </w:r>
      <w:r>
        <w:rPr>
          <w:rFonts w:hint="eastAsia" w:ascii="仿宋" w:hAnsi="仿宋" w:eastAsia="仿宋" w:cs="仿宋"/>
          <w:color w:val="auto"/>
          <w:sz w:val="32"/>
          <w:szCs w:val="32"/>
          <w:highlight w:val="none"/>
        </w:rPr>
        <w:t>。主要原因是：办公设施设备购置经费增加、资产运行维护支出增加、信息系统运行维护支出增加。</w:t>
      </w:r>
    </w:p>
    <w:p>
      <w:pPr>
        <w:jc w:val="left"/>
        <w:rPr>
          <w:rFonts w:ascii="黑体" w:hAnsi="黑体" w:eastAsia="黑体" w:cs="黑体"/>
          <w:sz w:val="32"/>
          <w:szCs w:val="32"/>
          <w:highlight w:val="none"/>
        </w:rPr>
      </w:pPr>
      <w:r>
        <w:rPr>
          <w:rFonts w:hint="eastAsia" w:ascii="黑体" w:hAnsi="黑体" w:eastAsia="黑体" w:cs="黑体"/>
          <w:sz w:val="32"/>
          <w:szCs w:val="32"/>
          <w:highlight w:val="none"/>
        </w:rPr>
        <w:t>（二）政府采购支出情况说明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本部门2022年度政府采购支出总额897.9</w:t>
      </w:r>
      <w:r>
        <w:rPr>
          <w:rFonts w:hint="eastAsia" w:ascii="仿宋" w:hAnsi="仿宋" w:eastAsia="仿宋" w:cs="仿宋"/>
          <w:sz w:val="32"/>
          <w:szCs w:val="32"/>
          <w:highlight w:val="none"/>
          <w:lang w:val="en-US" w:eastAsia="zh-CN"/>
        </w:rPr>
        <w:t>8</w:t>
      </w:r>
      <w:r>
        <w:rPr>
          <w:rFonts w:hint="eastAsia" w:ascii="仿宋" w:hAnsi="仿宋" w:eastAsia="仿宋" w:cs="仿宋"/>
          <w:sz w:val="32"/>
          <w:szCs w:val="32"/>
          <w:highlight w:val="none"/>
        </w:rPr>
        <w:t>万元，其中：政府采购货物支出21.07万元、政府采购工程支出</w:t>
      </w:r>
      <w:r>
        <w:rPr>
          <w:rFonts w:ascii="仿宋" w:hAnsi="仿宋" w:eastAsia="仿宋" w:cs="仿宋"/>
          <w:sz w:val="32"/>
          <w:szCs w:val="32"/>
          <w:highlight w:val="none"/>
        </w:rPr>
        <w:t>0.00</w:t>
      </w:r>
      <w:r>
        <w:rPr>
          <w:rFonts w:hint="eastAsia" w:ascii="仿宋" w:hAnsi="仿宋" w:eastAsia="仿宋" w:cs="仿宋"/>
          <w:sz w:val="32"/>
          <w:szCs w:val="32"/>
          <w:highlight w:val="none"/>
        </w:rPr>
        <w:t>万元、政府采购服务支出876.9</w:t>
      </w:r>
      <w:r>
        <w:rPr>
          <w:rFonts w:hint="eastAsia" w:ascii="仿宋" w:hAnsi="仿宋" w:eastAsia="仿宋" w:cs="仿宋"/>
          <w:sz w:val="32"/>
          <w:szCs w:val="32"/>
          <w:highlight w:val="none"/>
          <w:lang w:val="en-US" w:eastAsia="zh-CN"/>
        </w:rPr>
        <w:t>1</w:t>
      </w:r>
      <w:r>
        <w:rPr>
          <w:rFonts w:hint="eastAsia" w:ascii="仿宋" w:hAnsi="仿宋" w:eastAsia="仿宋" w:cs="仿宋"/>
          <w:sz w:val="32"/>
          <w:szCs w:val="32"/>
          <w:highlight w:val="none"/>
        </w:rPr>
        <w:t>万元。授予中小企业合同金额</w:t>
      </w:r>
      <w:r>
        <w:rPr>
          <w:rFonts w:hint="eastAsia" w:ascii="仿宋" w:hAnsi="仿宋" w:eastAsia="仿宋" w:cs="仿宋"/>
          <w:sz w:val="32"/>
          <w:szCs w:val="32"/>
          <w:highlight w:val="none"/>
          <w:lang w:val="en-US" w:eastAsia="zh-CN"/>
        </w:rPr>
        <w:t>832.22</w:t>
      </w:r>
      <w:r>
        <w:rPr>
          <w:rFonts w:hint="eastAsia" w:ascii="仿宋" w:hAnsi="仿宋" w:eastAsia="仿宋" w:cs="仿宋"/>
          <w:sz w:val="32"/>
          <w:szCs w:val="32"/>
          <w:highlight w:val="none"/>
        </w:rPr>
        <w:t>万元，占政府采购支出总额的</w:t>
      </w:r>
      <w:r>
        <w:rPr>
          <w:rFonts w:hint="eastAsia" w:ascii="仿宋" w:hAnsi="仿宋" w:eastAsia="仿宋" w:cs="仿宋"/>
          <w:sz w:val="32"/>
          <w:szCs w:val="32"/>
          <w:highlight w:val="none"/>
          <w:lang w:val="en-US" w:eastAsia="zh-CN"/>
        </w:rPr>
        <w:t>92.68</w:t>
      </w:r>
      <w:r>
        <w:rPr>
          <w:rFonts w:ascii="仿宋" w:hAnsi="仿宋" w:eastAsia="仿宋" w:cs="仿宋"/>
          <w:sz w:val="32"/>
          <w:szCs w:val="32"/>
          <w:highlight w:val="none"/>
        </w:rPr>
        <w:t>%</w:t>
      </w:r>
      <w:r>
        <w:rPr>
          <w:rFonts w:hint="eastAsia" w:ascii="仿宋" w:hAnsi="仿宋" w:eastAsia="仿宋" w:cs="仿宋"/>
          <w:sz w:val="32"/>
          <w:szCs w:val="32"/>
          <w:highlight w:val="none"/>
        </w:rPr>
        <w:t>，其中：授予小微企业合同金额</w:t>
      </w:r>
      <w:r>
        <w:rPr>
          <w:rFonts w:hint="eastAsia" w:ascii="仿宋" w:hAnsi="仿宋" w:eastAsia="仿宋" w:cs="仿宋"/>
          <w:sz w:val="32"/>
          <w:szCs w:val="32"/>
          <w:highlight w:val="none"/>
          <w:lang w:val="en-US" w:eastAsia="zh-CN"/>
        </w:rPr>
        <w:t>753.22</w:t>
      </w:r>
      <w:r>
        <w:rPr>
          <w:rFonts w:hint="eastAsia" w:ascii="仿宋" w:hAnsi="仿宋" w:eastAsia="仿宋" w:cs="仿宋"/>
          <w:sz w:val="32"/>
          <w:szCs w:val="32"/>
          <w:highlight w:val="none"/>
        </w:rPr>
        <w:t>万元，占授予中小企业合同金额的</w:t>
      </w:r>
      <w:r>
        <w:rPr>
          <w:rFonts w:hint="eastAsia" w:ascii="仿宋" w:hAnsi="仿宋" w:eastAsia="仿宋" w:cs="仿宋"/>
          <w:sz w:val="32"/>
          <w:szCs w:val="32"/>
          <w:highlight w:val="none"/>
          <w:lang w:val="en-US" w:eastAsia="zh-CN"/>
        </w:rPr>
        <w:t>83.88</w:t>
      </w:r>
      <w:r>
        <w:rPr>
          <w:rFonts w:ascii="仿宋" w:hAnsi="仿宋" w:eastAsia="仿宋" w:cs="仿宋"/>
          <w:sz w:val="32"/>
          <w:szCs w:val="32"/>
          <w:highlight w:val="none"/>
        </w:rPr>
        <w:t>%</w:t>
      </w:r>
      <w:r>
        <w:rPr>
          <w:rFonts w:hint="eastAsia" w:ascii="仿宋" w:hAnsi="仿宋" w:eastAsia="仿宋" w:cs="仿宋"/>
          <w:sz w:val="32"/>
          <w:szCs w:val="32"/>
          <w:highlight w:val="none"/>
        </w:rPr>
        <w:t>。</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（三）国有资产占用情况说明</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截至2022年12月31日，本部门共有车辆</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辆，其中：副部（省）级领导干部用车</w:t>
      </w:r>
      <w:r>
        <w:rPr>
          <w:rFonts w:ascii="仿宋" w:hAnsi="仿宋" w:eastAsia="仿宋" w:cs="仿宋"/>
          <w:sz w:val="32"/>
          <w:szCs w:val="32"/>
          <w:highlight w:val="none"/>
        </w:rPr>
        <w:t>0</w:t>
      </w:r>
      <w:r>
        <w:rPr>
          <w:rFonts w:hint="eastAsia" w:ascii="仿宋" w:hAnsi="仿宋" w:eastAsia="仿宋" w:cs="仿宋"/>
          <w:sz w:val="32"/>
          <w:szCs w:val="32"/>
          <w:highlight w:val="none"/>
        </w:rPr>
        <w:t>辆、机要通信用车</w:t>
      </w:r>
      <w:r>
        <w:rPr>
          <w:rFonts w:ascii="仿宋" w:hAnsi="仿宋" w:eastAsia="仿宋" w:cs="仿宋"/>
          <w:sz w:val="32"/>
          <w:szCs w:val="32"/>
          <w:highlight w:val="none"/>
        </w:rPr>
        <w:t>0</w:t>
      </w:r>
      <w:r>
        <w:rPr>
          <w:rFonts w:hint="eastAsia" w:ascii="仿宋" w:hAnsi="仿宋" w:eastAsia="仿宋" w:cs="仿宋"/>
          <w:sz w:val="32"/>
          <w:szCs w:val="32"/>
          <w:highlight w:val="none"/>
        </w:rPr>
        <w:t>辆、应急保障用车</w:t>
      </w:r>
      <w:r>
        <w:rPr>
          <w:rFonts w:ascii="仿宋" w:hAnsi="仿宋" w:eastAsia="仿宋" w:cs="仿宋"/>
          <w:sz w:val="32"/>
          <w:szCs w:val="32"/>
          <w:highlight w:val="none"/>
        </w:rPr>
        <w:t>0</w:t>
      </w:r>
      <w:r>
        <w:rPr>
          <w:rFonts w:hint="eastAsia" w:ascii="仿宋" w:hAnsi="仿宋" w:eastAsia="仿宋" w:cs="仿宋"/>
          <w:sz w:val="32"/>
          <w:szCs w:val="32"/>
          <w:highlight w:val="none"/>
        </w:rPr>
        <w:t>辆、执法执勤用车</w:t>
      </w:r>
      <w:r>
        <w:rPr>
          <w:rFonts w:hint="eastAsia" w:ascii="仿宋" w:hAnsi="仿宋" w:eastAsia="仿宋" w:cs="仿宋"/>
          <w:sz w:val="32"/>
          <w:szCs w:val="32"/>
          <w:highlight w:val="none"/>
          <w:lang w:val="en-US" w:eastAsia="zh-CN"/>
        </w:rPr>
        <w:t>6</w:t>
      </w:r>
      <w:r>
        <w:rPr>
          <w:rFonts w:hint="eastAsia" w:ascii="仿宋" w:hAnsi="仿宋" w:eastAsia="仿宋" w:cs="仿宋"/>
          <w:sz w:val="32"/>
          <w:szCs w:val="32"/>
          <w:highlight w:val="none"/>
        </w:rPr>
        <w:t>辆、特种专业技术用车</w:t>
      </w:r>
      <w:r>
        <w:rPr>
          <w:rFonts w:ascii="仿宋" w:hAnsi="仿宋" w:eastAsia="仿宋" w:cs="仿宋"/>
          <w:sz w:val="32"/>
          <w:szCs w:val="32"/>
          <w:highlight w:val="none"/>
        </w:rPr>
        <w:t>0</w:t>
      </w:r>
      <w:r>
        <w:rPr>
          <w:rFonts w:hint="eastAsia" w:ascii="仿宋" w:hAnsi="仿宋" w:eastAsia="仿宋" w:cs="仿宋"/>
          <w:sz w:val="32"/>
          <w:szCs w:val="32"/>
          <w:highlight w:val="none"/>
        </w:rPr>
        <w:t>辆、其他用车</w:t>
      </w:r>
      <w:r>
        <w:rPr>
          <w:rFonts w:ascii="仿宋" w:hAnsi="仿宋" w:eastAsia="仿宋" w:cs="仿宋"/>
          <w:sz w:val="32"/>
          <w:szCs w:val="32"/>
          <w:highlight w:val="none"/>
        </w:rPr>
        <w:t>0</w:t>
      </w:r>
      <w:r>
        <w:rPr>
          <w:rFonts w:hint="eastAsia" w:ascii="仿宋" w:hAnsi="仿宋" w:eastAsia="仿宋" w:cs="仿宋"/>
          <w:sz w:val="32"/>
          <w:szCs w:val="32"/>
          <w:highlight w:val="none"/>
        </w:rPr>
        <w:t>辆；单位价值50万元以上通用设备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台（套）；单位价值</w:t>
      </w:r>
      <w:r>
        <w:rPr>
          <w:rFonts w:hint="eastAsia" w:ascii="仿宋" w:hAnsi="仿宋" w:eastAsia="仿宋" w:cs="仿宋"/>
          <w:sz w:val="32"/>
          <w:szCs w:val="32"/>
          <w:highlight w:val="none"/>
          <w:lang w:val="en-US" w:eastAsia="zh-CN"/>
        </w:rPr>
        <w:t>100万</w:t>
      </w:r>
      <w:r>
        <w:rPr>
          <w:rFonts w:hint="eastAsia" w:ascii="仿宋" w:hAnsi="仿宋" w:eastAsia="仿宋" w:cs="仿宋"/>
          <w:sz w:val="32"/>
          <w:szCs w:val="32"/>
          <w:highlight w:val="none"/>
        </w:rPr>
        <w:t>元以上专用设备</w:t>
      </w:r>
      <w:r>
        <w:rPr>
          <w:rFonts w:ascii="仿宋" w:hAnsi="仿宋" w:eastAsia="仿宋" w:cs="仿宋"/>
          <w:sz w:val="32"/>
          <w:szCs w:val="32"/>
          <w:highlight w:val="none"/>
        </w:rPr>
        <w:t>0</w:t>
      </w:r>
      <w:r>
        <w:rPr>
          <w:rFonts w:hint="eastAsia" w:ascii="仿宋" w:hAnsi="仿宋" w:eastAsia="仿宋" w:cs="仿宋"/>
          <w:sz w:val="32"/>
          <w:szCs w:val="32"/>
          <w:highlight w:val="none"/>
        </w:rPr>
        <w:t>台（套）。</w:t>
      </w:r>
    </w:p>
    <w:p>
      <w:pPr>
        <w:jc w:val="left"/>
        <w:rPr>
          <w:rFonts w:ascii="仿宋" w:hAnsi="仿宋" w:eastAsia="仿宋" w:cs="仿宋"/>
          <w:sz w:val="32"/>
          <w:szCs w:val="32"/>
          <w:highlight w:val="none"/>
        </w:rPr>
      </w:pPr>
      <w:r>
        <w:rPr>
          <w:rFonts w:hint="eastAsia" w:ascii="黑体" w:hAnsi="黑体" w:eastAsia="黑体" w:cs="黑体"/>
          <w:sz w:val="32"/>
          <w:szCs w:val="32"/>
          <w:highlight w:val="none"/>
        </w:rPr>
        <w:t>（四）预算绩效管理工作开展情况</w:t>
      </w:r>
    </w:p>
    <w:p>
      <w:pPr>
        <w:ind w:firstLine="640" w:firstLineChars="200"/>
        <w:jc w:val="left"/>
        <w:rPr>
          <w:rFonts w:hint="eastAsia" w:ascii="仿宋" w:hAnsi="仿宋" w:eastAsia="仿宋" w:cs="仿宋"/>
          <w:color w:val="000000" w:themeColor="text1"/>
          <w:sz w:val="32"/>
          <w:szCs w:val="32"/>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1.绩效管理工作开展情况。</w:t>
      </w:r>
    </w:p>
    <w:p>
      <w:pPr>
        <w:ind w:firstLine="640" w:firstLineChars="200"/>
        <w:jc w:val="left"/>
        <w:rPr>
          <w:rFonts w:hint="eastAsia" w:ascii="仿宋" w:hAnsi="仿宋" w:eastAsia="仿宋" w:cs="仿宋"/>
          <w:color w:val="000000" w:themeColor="text1"/>
          <w:sz w:val="32"/>
          <w:szCs w:val="32"/>
          <w:lang w:eastAsia="zh-CN"/>
          <w14:textFill>
            <w14:solidFill>
              <w14:schemeClr w14:val="tx1"/>
            </w14:solidFill>
          </w14:textFill>
        </w:rPr>
      </w:pPr>
      <w:r>
        <w:rPr>
          <w:rFonts w:hint="eastAsia" w:ascii="仿宋" w:hAnsi="仿宋" w:eastAsia="仿宋" w:cs="仿宋"/>
          <w:color w:val="000000" w:themeColor="text1"/>
          <w:sz w:val="32"/>
          <w:szCs w:val="32"/>
          <w14:textFill>
            <w14:solidFill>
              <w14:schemeClr w14:val="tx1"/>
            </w14:solidFill>
          </w14:textFill>
        </w:rPr>
        <w:t>根据财政预算管理要求，本部门组织对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度一般公共预算项目支出全面开展绩效自评。其中，一</w:t>
      </w:r>
      <w:r>
        <w:rPr>
          <w:rFonts w:hint="eastAsia" w:ascii="仿宋" w:hAnsi="仿宋" w:eastAsia="仿宋" w:cs="仿宋"/>
          <w:color w:val="000000" w:themeColor="text1"/>
          <w:sz w:val="32"/>
          <w:szCs w:val="32"/>
          <w:lang w:val="en-US" w:eastAsia="zh-CN"/>
          <w14:textFill>
            <w14:solidFill>
              <w14:schemeClr w14:val="tx1"/>
            </w14:solidFill>
          </w14:textFill>
        </w:rPr>
        <w:t>等</w:t>
      </w:r>
      <w:r>
        <w:rPr>
          <w:rFonts w:hint="eastAsia" w:ascii="仿宋" w:hAnsi="仿宋" w:eastAsia="仿宋" w:cs="仿宋"/>
          <w:color w:val="000000" w:themeColor="text1"/>
          <w:sz w:val="32"/>
          <w:szCs w:val="32"/>
          <w14:textFill>
            <w14:solidFill>
              <w14:schemeClr w14:val="tx1"/>
            </w14:solidFill>
          </w14:textFill>
        </w:rPr>
        <w:t>项目</w:t>
      </w:r>
      <w:r>
        <w:rPr>
          <w:rFonts w:hint="eastAsia" w:ascii="仿宋" w:hAnsi="仿宋" w:eastAsia="仿宋" w:cs="仿宋"/>
          <w:color w:val="000000" w:themeColor="text1"/>
          <w:sz w:val="32"/>
          <w:szCs w:val="32"/>
          <w:lang w:val="en-US" w:eastAsia="zh-CN"/>
          <w14:textFill>
            <w14:solidFill>
              <w14:schemeClr w14:val="tx1"/>
            </w14:solidFill>
          </w14:textFill>
        </w:rPr>
        <w:t>47</w:t>
      </w:r>
      <w:r>
        <w:rPr>
          <w:rFonts w:hint="eastAsia" w:ascii="仿宋" w:hAnsi="仿宋" w:eastAsia="仿宋" w:cs="仿宋"/>
          <w:color w:val="000000" w:themeColor="text1"/>
          <w:sz w:val="32"/>
          <w:szCs w:val="32"/>
          <w14:textFill>
            <w14:solidFill>
              <w14:schemeClr w14:val="tx1"/>
            </w14:solidFill>
          </w14:textFill>
        </w:rPr>
        <w:t>个，</w:t>
      </w:r>
      <w:r>
        <w:rPr>
          <w:rFonts w:hint="eastAsia" w:ascii="仿宋" w:hAnsi="仿宋" w:eastAsia="仿宋" w:cs="仿宋"/>
          <w:color w:val="000000" w:themeColor="text1"/>
          <w:sz w:val="32"/>
          <w:szCs w:val="32"/>
          <w:lang w:val="en-US" w:eastAsia="zh-CN"/>
          <w14:textFill>
            <w14:solidFill>
              <w14:schemeClr w14:val="tx1"/>
            </w14:solidFill>
          </w14:textFill>
        </w:rPr>
        <w:t>二等项目22个，</w:t>
      </w:r>
      <w:r>
        <w:rPr>
          <w:rFonts w:hint="eastAsia" w:ascii="仿宋" w:hAnsi="仿宋" w:eastAsia="仿宋" w:cs="仿宋"/>
          <w:color w:val="000000" w:themeColor="text1"/>
          <w:sz w:val="32"/>
          <w:szCs w:val="32"/>
          <w14:textFill>
            <w14:solidFill>
              <w14:schemeClr w14:val="tx1"/>
            </w14:solidFill>
          </w14:textFill>
        </w:rPr>
        <w:t>共涉及资金</w:t>
      </w:r>
      <w:r>
        <w:rPr>
          <w:rFonts w:hint="eastAsia" w:ascii="仿宋" w:hAnsi="仿宋" w:eastAsia="仿宋" w:cs="仿宋"/>
          <w:color w:val="000000" w:themeColor="text1"/>
          <w:sz w:val="32"/>
          <w:szCs w:val="32"/>
          <w:lang w:val="en-US" w:eastAsia="zh-CN"/>
          <w14:textFill>
            <w14:solidFill>
              <w14:schemeClr w14:val="tx1"/>
            </w14:solidFill>
          </w14:textFill>
        </w:rPr>
        <w:t>4956.48</w:t>
      </w:r>
      <w:r>
        <w:rPr>
          <w:rFonts w:hint="eastAsia" w:ascii="仿宋" w:hAnsi="仿宋" w:eastAsia="仿宋" w:cs="仿宋"/>
          <w:color w:val="000000" w:themeColor="text1"/>
          <w:sz w:val="32"/>
          <w:szCs w:val="32"/>
          <w14:textFill>
            <w14:solidFill>
              <w14:schemeClr w14:val="tx1"/>
            </w14:solidFill>
          </w14:textFill>
        </w:rPr>
        <w:t>万元，占一般公共预算项目支出总额的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71.27</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个政府性基金预算项目支出开展绩效自评，共涉及资金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万元，占政府性基金预算项目支出总额的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eastAsia="zh-CN"/>
          <w14:textFill>
            <w14:solidFill>
              <w14:schemeClr w14:val="tx1"/>
            </w14:solidFill>
          </w14:textFill>
        </w:rPr>
        <w:t>2022年</w:t>
      </w:r>
      <w:r>
        <w:rPr>
          <w:rFonts w:hint="eastAsia" w:ascii="仿宋" w:hAnsi="仿宋" w:eastAsia="仿宋" w:cs="仿宋"/>
          <w:color w:val="000000" w:themeColor="text1"/>
          <w:sz w:val="32"/>
          <w:szCs w:val="32"/>
          <w14:textFill>
            <w14:solidFill>
              <w14:schemeClr w14:val="tx1"/>
            </w14:solidFill>
          </w14:textFill>
        </w:rPr>
        <w:t>度</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个国有资本经营预算项目支出开展绩效自评，共涉及资金</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万元，占国有资本经营预算项目支出总额的</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组织对“营造林工作经费”等</w:t>
      </w:r>
      <w:r>
        <w:rPr>
          <w:rFonts w:hint="eastAsia" w:ascii="仿宋" w:hAnsi="仿宋" w:eastAsia="仿宋" w:cs="仿宋"/>
          <w:color w:val="000000" w:themeColor="text1"/>
          <w:sz w:val="32"/>
          <w:szCs w:val="32"/>
          <w:lang w:val="en-US" w:eastAsia="zh-CN"/>
          <w14:textFill>
            <w14:solidFill>
              <w14:schemeClr w14:val="tx1"/>
            </w14:solidFill>
          </w14:textFill>
        </w:rPr>
        <w:t>71</w:t>
      </w:r>
      <w:r>
        <w:rPr>
          <w:rFonts w:hint="eastAsia" w:ascii="仿宋" w:hAnsi="仿宋" w:eastAsia="仿宋" w:cs="仿宋"/>
          <w:color w:val="000000" w:themeColor="text1"/>
          <w:sz w:val="32"/>
          <w:szCs w:val="32"/>
          <w14:textFill>
            <w14:solidFill>
              <w14:schemeClr w14:val="tx1"/>
            </w14:solidFill>
          </w14:textFill>
        </w:rPr>
        <w:t>个项目进行了部门评价，涉及一般公共预算支出</w:t>
      </w:r>
      <w:r>
        <w:rPr>
          <w:rFonts w:hint="eastAsia" w:ascii="仿宋_GB2312" w:hAnsi="仿宋_GB2312" w:eastAsia="仿宋_GB2312" w:cs="Times New Roman"/>
          <w:sz w:val="32"/>
          <w:szCs w:val="32"/>
          <w:lang w:val="en-US" w:eastAsia="zh-CN"/>
        </w:rPr>
        <w:t>6,967.90万元（与批复数误差原因：决算时属于项目支出的抚恤金统计到基本支出）</w:t>
      </w:r>
      <w:r>
        <w:rPr>
          <w:rFonts w:hint="eastAsia" w:ascii="仿宋" w:hAnsi="仿宋" w:eastAsia="仿宋" w:cs="仿宋"/>
          <w:color w:val="000000" w:themeColor="text1"/>
          <w:sz w:val="32"/>
          <w:szCs w:val="32"/>
          <w14:textFill>
            <w14:solidFill>
              <w14:schemeClr w14:val="tx1"/>
            </w14:solidFill>
          </w14:textFill>
        </w:rPr>
        <w:t>，政府性基金预算支出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万元，国有资本经营预算支出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万元。从评价情况来看，项目自评一等47个，二等22个，三等2个，平均分89.79</w:t>
      </w:r>
      <w:r>
        <w:rPr>
          <w:rFonts w:hint="eastAsia" w:ascii="仿宋" w:hAnsi="仿宋" w:eastAsia="仿宋" w:cs="仿宋"/>
          <w:color w:val="000000" w:themeColor="text1"/>
          <w:sz w:val="32"/>
          <w:szCs w:val="32"/>
          <w:lang w:val="en-US" w:eastAsia="zh-CN"/>
          <w14:textFill>
            <w14:solidFill>
              <w14:schemeClr w14:val="tx1"/>
            </w14:solidFill>
          </w14:textFill>
        </w:rPr>
        <w:t>分</w:t>
      </w:r>
      <w:r>
        <w:rPr>
          <w:rFonts w:hint="eastAsia" w:ascii="仿宋" w:hAnsi="仿宋" w:eastAsia="仿宋" w:cs="仿宋"/>
          <w:color w:val="000000" w:themeColor="text1"/>
          <w:sz w:val="32"/>
          <w:szCs w:val="32"/>
          <w14:textFill>
            <w14:solidFill>
              <w14:schemeClr w14:val="tx1"/>
            </w14:solidFill>
          </w14:textFill>
        </w:rPr>
        <w:t>。</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组织对</w:t>
      </w:r>
      <w:r>
        <w:rPr>
          <w:rFonts w:hint="eastAsia" w:ascii="仿宋" w:hAnsi="仿宋" w:eastAsia="仿宋" w:cs="仿宋"/>
          <w:color w:val="000000" w:themeColor="text1"/>
          <w:sz w:val="32"/>
          <w:szCs w:val="32"/>
          <w:lang w:val="en-US" w:eastAsia="zh-CN"/>
          <w14:textFill>
            <w14:solidFill>
              <w14:schemeClr w14:val="tx1"/>
            </w14:solidFill>
          </w14:textFill>
        </w:rPr>
        <w:t>1</w:t>
      </w:r>
      <w:r>
        <w:rPr>
          <w:rFonts w:hint="eastAsia" w:ascii="仿宋" w:hAnsi="仿宋" w:eastAsia="仿宋" w:cs="仿宋"/>
          <w:color w:val="000000" w:themeColor="text1"/>
          <w:sz w:val="32"/>
          <w:szCs w:val="32"/>
          <w14:textFill>
            <w14:solidFill>
              <w14:schemeClr w14:val="tx1"/>
            </w14:solidFill>
          </w14:textFill>
        </w:rPr>
        <w:t>个部门（单位）开展整体支出绩效评价试点，涉及一般公共预算支出</w:t>
      </w:r>
      <w:r>
        <w:rPr>
          <w:rFonts w:hint="eastAsia" w:ascii="仿宋_GB2312" w:hAnsi="仿宋_GB2312" w:eastAsia="仿宋_GB2312" w:cs="Times New Roman"/>
          <w:sz w:val="32"/>
          <w:szCs w:val="32"/>
          <w:lang w:val="en-US" w:eastAsia="zh-CN"/>
        </w:rPr>
        <w:t>6,967.90</w:t>
      </w:r>
      <w:r>
        <w:rPr>
          <w:rFonts w:hint="eastAsia" w:ascii="仿宋" w:hAnsi="仿宋" w:eastAsia="仿宋" w:cs="仿宋"/>
          <w:color w:val="000000" w:themeColor="text1"/>
          <w:sz w:val="32"/>
          <w:szCs w:val="32"/>
          <w14:textFill>
            <w14:solidFill>
              <w14:schemeClr w14:val="tx1"/>
            </w14:solidFill>
          </w14:textFill>
        </w:rPr>
        <w:t>万元，政府性基金预算支出</w:t>
      </w:r>
      <w:r>
        <w:rPr>
          <w:rFonts w:hint="eastAsia" w:ascii="仿宋" w:hAnsi="仿宋" w:eastAsia="仿宋" w:cs="仿宋"/>
          <w:color w:val="000000" w:themeColor="text1"/>
          <w:sz w:val="32"/>
          <w:szCs w:val="32"/>
          <w:lang w:val="en-US" w:eastAsia="zh-CN"/>
          <w14:textFill>
            <w14:solidFill>
              <w14:schemeClr w14:val="tx1"/>
            </w14:solidFill>
          </w14:textFill>
        </w:rPr>
        <w:t>0</w:t>
      </w:r>
      <w:r>
        <w:rPr>
          <w:rFonts w:hint="eastAsia" w:ascii="仿宋" w:hAnsi="仿宋" w:eastAsia="仿宋" w:cs="仿宋"/>
          <w:color w:val="000000" w:themeColor="text1"/>
          <w:sz w:val="32"/>
          <w:szCs w:val="32"/>
          <w14:textFill>
            <w14:solidFill>
              <w14:schemeClr w14:val="tx1"/>
            </w14:solidFill>
          </w14:textFill>
        </w:rPr>
        <w:t>万元。从评价情况来看，</w:t>
      </w:r>
      <w:r>
        <w:rPr>
          <w:rFonts w:hint="eastAsia" w:ascii="仿宋" w:hAnsi="仿宋" w:eastAsia="仿宋" w:cs="仿宋"/>
          <w:color w:val="000000" w:themeColor="text1"/>
          <w:sz w:val="32"/>
          <w:szCs w:val="32"/>
          <w:lang w:val="en-US" w:eastAsia="zh-CN"/>
          <w14:textFill>
            <w14:solidFill>
              <w14:schemeClr w14:val="tx1"/>
            </w14:solidFill>
          </w14:textFill>
        </w:rPr>
        <w:t>部</w:t>
      </w:r>
      <w:r>
        <w:rPr>
          <w:rFonts w:hint="eastAsia" w:ascii="仿宋" w:hAnsi="仿宋" w:eastAsia="仿宋" w:cs="仿宋"/>
          <w:color w:val="000000" w:themeColor="text1"/>
          <w:sz w:val="32"/>
          <w:szCs w:val="32"/>
          <w14:textFill>
            <w14:solidFill>
              <w14:schemeClr w14:val="tx1"/>
            </w14:solidFill>
          </w14:textFill>
        </w:rPr>
        <w:t>门整体支出自评得分95.76分，自评一等次，绩效指标基本完成，达成预期目标。</w:t>
      </w:r>
    </w:p>
    <w:p>
      <w:pPr>
        <w:ind w:firstLine="640" w:firstLineChars="200"/>
        <w:jc w:val="left"/>
        <w:rPr>
          <w:rFonts w:hint="eastAsia" w:ascii="仿宋" w:hAnsi="仿宋" w:eastAsia="仿宋" w:cs="仿宋"/>
          <w:color w:val="FF0000"/>
          <w:sz w:val="32"/>
          <w:szCs w:val="32"/>
          <w:lang w:eastAsia="zh-CN"/>
        </w:rPr>
      </w:pPr>
      <w:r>
        <w:rPr>
          <w:rFonts w:hint="eastAsia" w:ascii="仿宋" w:hAnsi="仿宋" w:eastAsia="仿宋" w:cs="仿宋"/>
          <w:color w:val="000000" w:themeColor="text1"/>
          <w:sz w:val="32"/>
          <w:szCs w:val="32"/>
          <w14:textFill>
            <w14:solidFill>
              <w14:schemeClr w14:val="tx1"/>
            </w14:solidFill>
          </w14:textFill>
        </w:rPr>
        <w:t>2.部门决算中项目绩效自评结果</w:t>
      </w:r>
      <w:r>
        <w:rPr>
          <w:rFonts w:hint="eastAsia" w:ascii="仿宋" w:hAnsi="仿宋" w:eastAsia="仿宋" w:cs="仿宋"/>
          <w:color w:val="000000" w:themeColor="text1"/>
          <w:sz w:val="32"/>
          <w:szCs w:val="32"/>
          <w:lang w:eastAsia="zh-CN"/>
          <w14:textFill>
            <w14:solidFill>
              <w14:schemeClr w14:val="tx1"/>
            </w14:solidFill>
          </w14:textFill>
        </w:rPr>
        <w:t>。</w:t>
      </w:r>
    </w:p>
    <w:p>
      <w:pPr>
        <w:ind w:firstLine="640" w:firstLineChars="200"/>
        <w:jc w:val="left"/>
        <w:rPr>
          <w:rFonts w:hint="eastAsia" w:ascii="仿宋" w:hAnsi="仿宋" w:eastAsia="仿宋" w:cs="仿宋"/>
          <w:color w:val="FF0000"/>
          <w:sz w:val="32"/>
          <w:szCs w:val="32"/>
        </w:rPr>
      </w:pPr>
      <w:r>
        <w:rPr>
          <w:rFonts w:hint="eastAsia" w:ascii="仿宋" w:hAnsi="仿宋" w:eastAsia="仿宋" w:cs="仿宋"/>
          <w:color w:val="000000" w:themeColor="text1"/>
          <w:sz w:val="32"/>
          <w:szCs w:val="32"/>
          <w14:textFill>
            <w14:solidFill>
              <w14:schemeClr w14:val="tx1"/>
            </w14:solidFill>
          </w14:textFill>
        </w:rPr>
        <w:t>我部门根据年初设定的绩效目标，林业执法案件鉴定费</w:t>
      </w:r>
      <w:r>
        <w:rPr>
          <w:rFonts w:hint="eastAsia" w:ascii="仿宋" w:hAnsi="仿宋" w:eastAsia="仿宋" w:cs="仿宋"/>
          <w:color w:val="000000" w:themeColor="text1"/>
          <w:sz w:val="32"/>
          <w:szCs w:val="32"/>
          <w:lang w:val="en-US" w:eastAsia="zh-CN"/>
          <w14:textFill>
            <w14:solidFill>
              <w14:schemeClr w14:val="tx1"/>
            </w14:solidFill>
          </w14:textFill>
        </w:rPr>
        <w:t>等14个</w:t>
      </w:r>
      <w:r>
        <w:rPr>
          <w:rFonts w:hint="eastAsia" w:ascii="仿宋" w:hAnsi="仿宋" w:eastAsia="仿宋" w:cs="仿宋"/>
          <w:color w:val="000000" w:themeColor="text1"/>
          <w:sz w:val="32"/>
          <w:szCs w:val="32"/>
          <w14:textFill>
            <w14:solidFill>
              <w14:schemeClr w14:val="tx1"/>
            </w14:solidFill>
          </w14:textFill>
        </w:rPr>
        <w:t>项目自评得分为</w:t>
      </w:r>
      <w:r>
        <w:rPr>
          <w:rFonts w:hint="eastAsia" w:ascii="仿宋" w:hAnsi="仿宋" w:eastAsia="仿宋" w:cs="仿宋"/>
          <w:color w:val="000000" w:themeColor="text1"/>
          <w:sz w:val="32"/>
          <w:szCs w:val="32"/>
          <w:lang w:val="en-US" w:eastAsia="zh-CN"/>
          <w14:textFill>
            <w14:solidFill>
              <w14:schemeClr w14:val="tx1"/>
            </w14:solidFill>
          </w14:textFill>
        </w:rPr>
        <w:t>100</w:t>
      </w:r>
      <w:r>
        <w:rPr>
          <w:rFonts w:hint="eastAsia" w:ascii="仿宋" w:hAnsi="仿宋" w:eastAsia="仿宋" w:cs="仿宋"/>
          <w:color w:val="000000" w:themeColor="text1"/>
          <w:sz w:val="32"/>
          <w:szCs w:val="32"/>
          <w14:textFill>
            <w14:solidFill>
              <w14:schemeClr w14:val="tx1"/>
            </w14:solidFill>
          </w14:textFill>
        </w:rPr>
        <w:t>分</w:t>
      </w:r>
      <w:r>
        <w:rPr>
          <w:rFonts w:hint="eastAsia" w:ascii="仿宋" w:hAnsi="仿宋" w:eastAsia="仿宋" w:cs="仿宋"/>
          <w:color w:val="000000" w:themeColor="text1"/>
          <w:sz w:val="32"/>
          <w:szCs w:val="32"/>
          <w:lang w:eastAsia="zh-CN"/>
          <w14:textFill>
            <w14:solidFill>
              <w14:schemeClr w14:val="tx1"/>
            </w14:solidFill>
          </w14:textFill>
        </w:rPr>
        <w:t>，名目古树去硬化以及复壮保护工作</w:t>
      </w:r>
      <w:r>
        <w:rPr>
          <w:rFonts w:hint="eastAsia" w:ascii="仿宋" w:hAnsi="仿宋" w:eastAsia="仿宋" w:cs="仿宋"/>
          <w:color w:val="000000" w:themeColor="text1"/>
          <w:sz w:val="32"/>
          <w:szCs w:val="32"/>
          <w:lang w:val="en-US" w:eastAsia="zh-CN"/>
          <w14:textFill>
            <w14:solidFill>
              <w14:schemeClr w14:val="tx1"/>
            </w14:solidFill>
          </w14:textFill>
        </w:rPr>
        <w:t>等33个项目自评分在90-99.9分之间，林改项目经费等8个项目自评分在80.59-89.72分之间，界子良风电场临时用地植被恢复项目资金等14个项目自评分为80分，森林抚育补助(上一轮到期退耕还生态林)自评分为60分，林业科技推广建设自评分为65分</w:t>
      </w:r>
      <w:r>
        <w:rPr>
          <w:rFonts w:hint="eastAsia" w:ascii="仿宋" w:hAnsi="仿宋" w:eastAsia="仿宋" w:cs="仿宋"/>
          <w:color w:val="000000" w:themeColor="text1"/>
          <w:sz w:val="32"/>
          <w:szCs w:val="32"/>
          <w14:textFill>
            <w14:solidFill>
              <w14:schemeClr w14:val="tx1"/>
            </w14:solidFill>
          </w14:textFill>
        </w:rPr>
        <w:t>。发现的主要问题及原因</w:t>
      </w:r>
      <w:r>
        <w:rPr>
          <w:rFonts w:hint="eastAsia" w:ascii="仿宋" w:hAnsi="仿宋" w:eastAsia="仿宋" w:cs="仿宋"/>
          <w:color w:val="000000" w:themeColor="text1"/>
          <w:sz w:val="32"/>
          <w:szCs w:val="32"/>
          <w:lang w:val="en-US" w:eastAsia="zh-CN"/>
          <w14:textFill>
            <w14:solidFill>
              <w14:schemeClr w14:val="tx1"/>
            </w14:solidFill>
          </w14:textFill>
        </w:rPr>
        <w:t>是</w:t>
      </w:r>
      <w:r>
        <w:rPr>
          <w:rFonts w:hint="eastAsia" w:ascii="仿宋" w:hAnsi="仿宋" w:eastAsia="仿宋" w:cs="仿宋"/>
          <w:color w:val="000000" w:themeColor="text1"/>
          <w:sz w:val="32"/>
          <w:szCs w:val="32"/>
          <w14:textFill>
            <w14:solidFill>
              <w14:schemeClr w14:val="tx1"/>
            </w14:solidFill>
          </w14:textFill>
        </w:rPr>
        <w:t>由于林业项目周期长，项目正在实施，尚未实施完成，因而未完成兑付。下一步改进措施</w:t>
      </w:r>
      <w:r>
        <w:rPr>
          <w:rFonts w:hint="eastAsia" w:ascii="仿宋" w:hAnsi="仿宋" w:eastAsia="仿宋" w:cs="仿宋"/>
          <w:color w:val="000000" w:themeColor="text1"/>
          <w:sz w:val="32"/>
          <w:szCs w:val="32"/>
          <w:lang w:val="en-US" w:eastAsia="zh-CN"/>
          <w14:textFill>
            <w14:solidFill>
              <w14:schemeClr w14:val="tx1"/>
            </w14:solidFill>
          </w14:textFill>
        </w:rPr>
        <w:t>是</w:t>
      </w:r>
      <w:r>
        <w:rPr>
          <w:rFonts w:hint="eastAsia" w:ascii="仿宋" w:hAnsi="仿宋" w:eastAsia="仿宋" w:cs="仿宋"/>
          <w:color w:val="000000" w:themeColor="text1"/>
          <w:sz w:val="32"/>
          <w:szCs w:val="32"/>
          <w14:textFill>
            <w14:solidFill>
              <w14:schemeClr w14:val="tx1"/>
            </w14:solidFill>
          </w14:textFill>
        </w:rPr>
        <w:t>要抓紧项目实施进度，项目实施完成时及时完成兑付。</w:t>
      </w:r>
    </w:p>
    <w:p>
      <w:pPr>
        <w:jc w:val="left"/>
        <w:rPr>
          <w:rFonts w:hint="eastAsia" w:ascii="仿宋" w:hAnsi="仿宋" w:eastAsia="仿宋" w:cs="仿宋"/>
          <w:sz w:val="32"/>
          <w:szCs w:val="32"/>
          <w:highlight w:val="none"/>
        </w:rPr>
      </w:pPr>
    </w:p>
    <w:p>
      <w:pPr>
        <w:jc w:val="center"/>
        <w:rPr>
          <w:rFonts w:ascii="黑体" w:hAnsi="黑体" w:eastAsia="黑体" w:cs="黑体"/>
          <w:sz w:val="32"/>
          <w:szCs w:val="32"/>
          <w:highlight w:val="none"/>
        </w:rPr>
      </w:pPr>
      <w:r>
        <w:rPr>
          <w:rFonts w:hint="eastAsia" w:ascii="黑体" w:hAnsi="黑体" w:eastAsia="黑体" w:cs="黑体"/>
          <w:sz w:val="32"/>
          <w:szCs w:val="32"/>
          <w:highlight w:val="none"/>
        </w:rPr>
        <w:t>第四部分  名词解释</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一、财政拨款收入：指</w:t>
      </w:r>
      <w:r>
        <w:rPr>
          <w:rFonts w:hint="eastAsia" w:ascii="仿宋" w:hAnsi="仿宋" w:eastAsia="仿宋" w:cs="仿宋"/>
          <w:sz w:val="32"/>
          <w:u w:color="auto"/>
          <w:lang w:val="en-US" w:eastAsia="zh-CN"/>
        </w:rPr>
        <w:t>环江县</w:t>
      </w:r>
      <w:r>
        <w:rPr>
          <w:rFonts w:ascii="仿宋" w:hAnsi="仿宋" w:eastAsia="仿宋" w:cs="仿宋"/>
          <w:sz w:val="32"/>
          <w:u w:color="auto"/>
        </w:rPr>
        <w:t>财政部门当年拨付的资金。</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二、事业收入：指事业单位开展专业业务活动及辅助活动所取得的收入。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三、经营收入：指事业单位在专业业务活动及其辅助活动之外开展非独立核算经营活动取得的收入。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四、其他收入：指除上述“财政拨款收入”“事业收入”“经营收入”等以外的收入。</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五、用事业基金弥补收支差额指事业单位在当年的“财政拨款收入”“事业收入”“经营收入”“其他收入”不足以安排当年支出的情况下，使用非财政拨款结余弥补本年度收支缺口的资金。 </w:t>
      </w:r>
    </w:p>
    <w:p>
      <w:pPr>
        <w:ind w:firstLine="640" w:firstLineChars="200"/>
        <w:jc w:val="left"/>
        <w:rPr>
          <w:rFonts w:hint="eastAsia" w:ascii="仿宋" w:hAnsi="仿宋" w:eastAsia="仿宋" w:cs="仿宋"/>
          <w:sz w:val="32"/>
          <w:szCs w:val="32"/>
          <w:highlight w:val="none"/>
          <w:lang w:val="en-US" w:eastAsia="zh-CN"/>
        </w:rPr>
      </w:pPr>
      <w:r>
        <w:rPr>
          <w:rFonts w:hint="eastAsia" w:ascii="仿宋" w:hAnsi="仿宋" w:eastAsia="仿宋" w:cs="仿宋"/>
          <w:sz w:val="32"/>
          <w:szCs w:val="32"/>
          <w:highlight w:val="none"/>
        </w:rPr>
        <w:t>六、年初结转和结余：指以前年度尚未完成、结转到本年 按有关规定继续使用的资金</w:t>
      </w:r>
      <w:r>
        <w:rPr>
          <w:rFonts w:hint="eastAsia" w:ascii="仿宋" w:hAnsi="仿宋" w:eastAsia="仿宋" w:cs="仿宋"/>
          <w:sz w:val="32"/>
          <w:szCs w:val="32"/>
          <w:highlight w:val="none"/>
          <w:lang w:eastAsia="zh-CN"/>
        </w:rPr>
        <w:t>。</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七、结余分配：指事业单位按规定提取的职工福利基金、事业基金和缴纳的所得税，以及建设单位按规定应交回的基本建设竣工项目结余资金。 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八、年末结转和结余：指本年度或以前年度预算安排、因客观条件发生变化无法按原计划实施，需要延迟到以后年度按有关规定继续使用的资金。 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九、基本支出：指为保障机构正常运转、完成日常工作任务而发生的人员支出和公用支出。 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十、项目支出：指在基本支出之外为完成特定行政任务和事业发展目标所发生的支出。 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十一、经营支出：指事业单位在专业业务活动及其辅助活动之外开展非独立核算经营活动发生的支出。</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十二、“三公”经费：纳入</w:t>
      </w:r>
      <w:r>
        <w:rPr>
          <w:rFonts w:hint="eastAsia" w:ascii="仿宋" w:hAnsi="仿宋" w:eastAsia="仿宋" w:cs="仿宋"/>
          <w:sz w:val="32"/>
          <w:u w:color="auto"/>
          <w:lang w:val="en-US" w:eastAsia="zh-CN"/>
        </w:rPr>
        <w:t>环江县</w:t>
      </w:r>
      <w:r>
        <w:rPr>
          <w:rFonts w:ascii="仿宋" w:hAnsi="仿宋" w:eastAsia="仿宋" w:cs="仿宋"/>
          <w:sz w:val="32"/>
          <w:u w:color="auto"/>
        </w:rPr>
        <w:t>财政预决算管理的“三公”经费，是指</w:t>
      </w:r>
      <w:r>
        <w:rPr>
          <w:rFonts w:hint="eastAsia" w:ascii="仿宋" w:hAnsi="仿宋" w:eastAsia="仿宋" w:cs="仿宋"/>
          <w:sz w:val="32"/>
          <w:u w:color="auto"/>
          <w:lang w:val="en-US" w:eastAsia="zh-CN"/>
        </w:rPr>
        <w:t>环江县</w:t>
      </w:r>
      <w:bookmarkStart w:id="8" w:name="_GoBack"/>
      <w:bookmarkEnd w:id="8"/>
      <w:r>
        <w:rPr>
          <w:rFonts w:ascii="仿宋" w:hAnsi="仿宋" w:eastAsia="仿宋" w:cs="仿宋"/>
          <w:sz w:val="32"/>
          <w:u w:color="auto"/>
        </w:rPr>
        <w:t>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安全奖励费用等支出；公务接待费反映单位按规定开支的各类公务接待（含外宾接待）支出。 </w:t>
      </w:r>
    </w:p>
    <w:p>
      <w:pPr>
        <w:ind w:firstLine="640" w:firstLineChars="200"/>
        <w:jc w:val="left"/>
        <w:rPr>
          <w:rFonts w:ascii="仿宋" w:hAnsi="仿宋" w:eastAsia="仿宋" w:cs="仿宋"/>
          <w:sz w:val="32"/>
          <w:szCs w:val="32"/>
          <w:highlight w:val="none"/>
        </w:rPr>
      </w:pPr>
      <w:r>
        <w:rPr>
          <w:rFonts w:hint="eastAsia" w:ascii="仿宋" w:hAnsi="仿宋" w:eastAsia="仿宋" w:cs="仿宋"/>
          <w:sz w:val="32"/>
          <w:szCs w:val="32"/>
          <w:highlight w:val="none"/>
        </w:rPr>
        <w:t>十三、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sectPr>
      <w:pgSz w:w="11906" w:h="16838"/>
      <w:pgMar w:top="1440" w:right="1800" w:bottom="1440" w:left="1800" w:header="851" w:footer="992" w:gutter="0"/>
      <w:cols w:space="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decorative"/>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BF86D39"/>
    <w:multiLevelType w:val="singleLevel"/>
    <w:tmpl w:val="9BF86D39"/>
    <w:lvl w:ilvl="0" w:tentative="0">
      <w:start w:val="1"/>
      <w:numFmt w:val="chineseCounting"/>
      <w:suff w:val="nothing"/>
      <w:lvlText w:val="（%1）"/>
      <w:lvlJc w:val="left"/>
      <w:pPr>
        <w:ind w:left="0" w:firstLine="420"/>
      </w:pPr>
      <w:rPr>
        <w:rFonts w:hint="eastAsia"/>
        <w:color w:val="auto"/>
        <w:sz w:val="32"/>
        <w:szCs w:val="32"/>
      </w:rPr>
    </w:lvl>
  </w:abstractNum>
  <w:abstractNum w:abstractNumId="1">
    <w:nsid w:val="DB743884"/>
    <w:multiLevelType w:val="singleLevel"/>
    <w:tmpl w:val="DB743884"/>
    <w:lvl w:ilvl="0" w:tentative="0">
      <w:start w:val="1"/>
      <w:numFmt w:val="chineseCounting"/>
      <w:suff w:val="nothing"/>
      <w:lvlText w:val="（%1）"/>
      <w:lvlJc w:val="left"/>
      <w:pPr>
        <w:ind w:left="0" w:firstLine="420"/>
      </w:pPr>
      <w:rPr>
        <w:rFonts w:hint="eastAsia"/>
        <w:color w:val="auto"/>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DFiOTZkYjkwN2Q1MTBhY2U1NDI3ZmEwNzcyMDM4OGMifQ=="/>
  </w:docVars>
  <w:rsids>
    <w:rsidRoot w:val="637D7558"/>
    <w:rsid w:val="00002C84"/>
    <w:rsid w:val="000131EC"/>
    <w:rsid w:val="00022149"/>
    <w:rsid w:val="00047F6C"/>
    <w:rsid w:val="00093C26"/>
    <w:rsid w:val="00094B91"/>
    <w:rsid w:val="000B06D8"/>
    <w:rsid w:val="000E5855"/>
    <w:rsid w:val="001418A5"/>
    <w:rsid w:val="00147D40"/>
    <w:rsid w:val="00156EF2"/>
    <w:rsid w:val="001D7B97"/>
    <w:rsid w:val="00210E20"/>
    <w:rsid w:val="00223F38"/>
    <w:rsid w:val="00233613"/>
    <w:rsid w:val="00254DBE"/>
    <w:rsid w:val="00275CAB"/>
    <w:rsid w:val="0028709C"/>
    <w:rsid w:val="0029328F"/>
    <w:rsid w:val="002B2731"/>
    <w:rsid w:val="00382867"/>
    <w:rsid w:val="003A4973"/>
    <w:rsid w:val="003C1C96"/>
    <w:rsid w:val="003C69F8"/>
    <w:rsid w:val="003E40BA"/>
    <w:rsid w:val="003E7165"/>
    <w:rsid w:val="0041579D"/>
    <w:rsid w:val="00427074"/>
    <w:rsid w:val="00434D04"/>
    <w:rsid w:val="004C4D73"/>
    <w:rsid w:val="004D7D0E"/>
    <w:rsid w:val="005234F5"/>
    <w:rsid w:val="00531745"/>
    <w:rsid w:val="00574196"/>
    <w:rsid w:val="006123AD"/>
    <w:rsid w:val="00645B83"/>
    <w:rsid w:val="0066173C"/>
    <w:rsid w:val="006D677A"/>
    <w:rsid w:val="007640BB"/>
    <w:rsid w:val="00771953"/>
    <w:rsid w:val="00776E0B"/>
    <w:rsid w:val="007A0641"/>
    <w:rsid w:val="007C52E7"/>
    <w:rsid w:val="007C54EA"/>
    <w:rsid w:val="007C776D"/>
    <w:rsid w:val="007D7CE3"/>
    <w:rsid w:val="007E2F6C"/>
    <w:rsid w:val="00817C69"/>
    <w:rsid w:val="00823A94"/>
    <w:rsid w:val="00824151"/>
    <w:rsid w:val="008315A9"/>
    <w:rsid w:val="00834354"/>
    <w:rsid w:val="008F1B95"/>
    <w:rsid w:val="008F4AE2"/>
    <w:rsid w:val="008F6882"/>
    <w:rsid w:val="00934C72"/>
    <w:rsid w:val="00946CCF"/>
    <w:rsid w:val="0097721B"/>
    <w:rsid w:val="009831F8"/>
    <w:rsid w:val="009B3E00"/>
    <w:rsid w:val="009D1667"/>
    <w:rsid w:val="00A07CCE"/>
    <w:rsid w:val="00A27624"/>
    <w:rsid w:val="00A358E6"/>
    <w:rsid w:val="00AA78EE"/>
    <w:rsid w:val="00AB53E1"/>
    <w:rsid w:val="00AE5F66"/>
    <w:rsid w:val="00B07A0B"/>
    <w:rsid w:val="00B22F28"/>
    <w:rsid w:val="00B37453"/>
    <w:rsid w:val="00B45479"/>
    <w:rsid w:val="00B60171"/>
    <w:rsid w:val="00B837AC"/>
    <w:rsid w:val="00BB4FB8"/>
    <w:rsid w:val="00BD315D"/>
    <w:rsid w:val="00C3279E"/>
    <w:rsid w:val="00C34857"/>
    <w:rsid w:val="00CA2E26"/>
    <w:rsid w:val="00D00918"/>
    <w:rsid w:val="00D14326"/>
    <w:rsid w:val="00D772CC"/>
    <w:rsid w:val="00D84F30"/>
    <w:rsid w:val="00D878A6"/>
    <w:rsid w:val="00DE74BD"/>
    <w:rsid w:val="00DE7D07"/>
    <w:rsid w:val="00EB7822"/>
    <w:rsid w:val="00EC50A9"/>
    <w:rsid w:val="00ED04DB"/>
    <w:rsid w:val="00F21455"/>
    <w:rsid w:val="00F5354B"/>
    <w:rsid w:val="00F95135"/>
    <w:rsid w:val="00F9658C"/>
    <w:rsid w:val="00F978FD"/>
    <w:rsid w:val="00FA738E"/>
    <w:rsid w:val="00FC438B"/>
    <w:rsid w:val="01234E98"/>
    <w:rsid w:val="01370129"/>
    <w:rsid w:val="015F1951"/>
    <w:rsid w:val="01817ADA"/>
    <w:rsid w:val="020C171D"/>
    <w:rsid w:val="0216715F"/>
    <w:rsid w:val="022A57C3"/>
    <w:rsid w:val="027C2CDB"/>
    <w:rsid w:val="02E0291A"/>
    <w:rsid w:val="037E6BB8"/>
    <w:rsid w:val="046A5303"/>
    <w:rsid w:val="04E54546"/>
    <w:rsid w:val="05410D25"/>
    <w:rsid w:val="056C3122"/>
    <w:rsid w:val="05992762"/>
    <w:rsid w:val="070E1356"/>
    <w:rsid w:val="07B0770E"/>
    <w:rsid w:val="07D50444"/>
    <w:rsid w:val="08325793"/>
    <w:rsid w:val="0942143F"/>
    <w:rsid w:val="09583F4E"/>
    <w:rsid w:val="09CA053F"/>
    <w:rsid w:val="0A464976"/>
    <w:rsid w:val="0A6214C7"/>
    <w:rsid w:val="0AAC68B2"/>
    <w:rsid w:val="0B8B0A7A"/>
    <w:rsid w:val="0C915133"/>
    <w:rsid w:val="0D100297"/>
    <w:rsid w:val="0D14070E"/>
    <w:rsid w:val="0D202B45"/>
    <w:rsid w:val="0D9206DA"/>
    <w:rsid w:val="0F311E4F"/>
    <w:rsid w:val="0F596ABB"/>
    <w:rsid w:val="0F8D4C87"/>
    <w:rsid w:val="10505FAA"/>
    <w:rsid w:val="105F7E7E"/>
    <w:rsid w:val="10F93FE9"/>
    <w:rsid w:val="11E56B5B"/>
    <w:rsid w:val="12126CB4"/>
    <w:rsid w:val="125C77AB"/>
    <w:rsid w:val="134D3E77"/>
    <w:rsid w:val="144E5D69"/>
    <w:rsid w:val="14CB726E"/>
    <w:rsid w:val="150A2731"/>
    <w:rsid w:val="157D6819"/>
    <w:rsid w:val="15A32F9F"/>
    <w:rsid w:val="16AF012F"/>
    <w:rsid w:val="17634FB7"/>
    <w:rsid w:val="17E92249"/>
    <w:rsid w:val="18D304F1"/>
    <w:rsid w:val="19EE34FF"/>
    <w:rsid w:val="19F32577"/>
    <w:rsid w:val="19F45B80"/>
    <w:rsid w:val="1B0C078D"/>
    <w:rsid w:val="1B1D351C"/>
    <w:rsid w:val="1B2B31E2"/>
    <w:rsid w:val="1B4C295A"/>
    <w:rsid w:val="1B4D5548"/>
    <w:rsid w:val="1B973C63"/>
    <w:rsid w:val="1BA1001E"/>
    <w:rsid w:val="1D317259"/>
    <w:rsid w:val="1D9F1A8B"/>
    <w:rsid w:val="1DF84E22"/>
    <w:rsid w:val="1E664F5B"/>
    <w:rsid w:val="1EB34BE1"/>
    <w:rsid w:val="1F091A51"/>
    <w:rsid w:val="1FF01442"/>
    <w:rsid w:val="2036209D"/>
    <w:rsid w:val="215E639F"/>
    <w:rsid w:val="21EC3183"/>
    <w:rsid w:val="22377F42"/>
    <w:rsid w:val="225E72CD"/>
    <w:rsid w:val="237332CC"/>
    <w:rsid w:val="23E74125"/>
    <w:rsid w:val="23F5732E"/>
    <w:rsid w:val="23F64217"/>
    <w:rsid w:val="241B1917"/>
    <w:rsid w:val="24601849"/>
    <w:rsid w:val="246E2F77"/>
    <w:rsid w:val="24E07CAB"/>
    <w:rsid w:val="254B4E2B"/>
    <w:rsid w:val="27880C7C"/>
    <w:rsid w:val="27B65E73"/>
    <w:rsid w:val="27B74DE4"/>
    <w:rsid w:val="27C21E76"/>
    <w:rsid w:val="283D7C94"/>
    <w:rsid w:val="29480E03"/>
    <w:rsid w:val="2983634D"/>
    <w:rsid w:val="2A420242"/>
    <w:rsid w:val="2A611465"/>
    <w:rsid w:val="2B8F44C4"/>
    <w:rsid w:val="2BB02055"/>
    <w:rsid w:val="2C575A56"/>
    <w:rsid w:val="2DCC4132"/>
    <w:rsid w:val="2DD314EA"/>
    <w:rsid w:val="2E3A1BD0"/>
    <w:rsid w:val="2F257714"/>
    <w:rsid w:val="2F3275E5"/>
    <w:rsid w:val="2FEE6554"/>
    <w:rsid w:val="300F55E6"/>
    <w:rsid w:val="30950584"/>
    <w:rsid w:val="30AA08EF"/>
    <w:rsid w:val="30D23D1C"/>
    <w:rsid w:val="31221CF5"/>
    <w:rsid w:val="31400178"/>
    <w:rsid w:val="315439F5"/>
    <w:rsid w:val="31F03CC2"/>
    <w:rsid w:val="321E3342"/>
    <w:rsid w:val="324A41D8"/>
    <w:rsid w:val="327759C8"/>
    <w:rsid w:val="32D76AB0"/>
    <w:rsid w:val="33185FE3"/>
    <w:rsid w:val="34737FC2"/>
    <w:rsid w:val="34EE2E36"/>
    <w:rsid w:val="351E233D"/>
    <w:rsid w:val="36777241"/>
    <w:rsid w:val="38785A35"/>
    <w:rsid w:val="38A12D18"/>
    <w:rsid w:val="38A951DB"/>
    <w:rsid w:val="38B31605"/>
    <w:rsid w:val="39003F4F"/>
    <w:rsid w:val="3A3064DA"/>
    <w:rsid w:val="3C07002B"/>
    <w:rsid w:val="3C125304"/>
    <w:rsid w:val="3C77633E"/>
    <w:rsid w:val="3D0D152A"/>
    <w:rsid w:val="3D0F6D82"/>
    <w:rsid w:val="3DF62756"/>
    <w:rsid w:val="3E0661E8"/>
    <w:rsid w:val="3EEB460C"/>
    <w:rsid w:val="3F1B7587"/>
    <w:rsid w:val="3F5C36FF"/>
    <w:rsid w:val="402811C8"/>
    <w:rsid w:val="41E57B4F"/>
    <w:rsid w:val="428F4A2A"/>
    <w:rsid w:val="432F26F6"/>
    <w:rsid w:val="43505BFE"/>
    <w:rsid w:val="43880F63"/>
    <w:rsid w:val="43B100BB"/>
    <w:rsid w:val="43F865E0"/>
    <w:rsid w:val="441C5A6F"/>
    <w:rsid w:val="44476A2F"/>
    <w:rsid w:val="44C44FCC"/>
    <w:rsid w:val="44CC7369"/>
    <w:rsid w:val="457F5108"/>
    <w:rsid w:val="46951B6B"/>
    <w:rsid w:val="47542728"/>
    <w:rsid w:val="478B2DD0"/>
    <w:rsid w:val="4818551F"/>
    <w:rsid w:val="48926880"/>
    <w:rsid w:val="48E636D7"/>
    <w:rsid w:val="497F5A86"/>
    <w:rsid w:val="49A34401"/>
    <w:rsid w:val="4A3E30AB"/>
    <w:rsid w:val="4AC14DAC"/>
    <w:rsid w:val="4B5E4771"/>
    <w:rsid w:val="4B60480C"/>
    <w:rsid w:val="4BC43FB3"/>
    <w:rsid w:val="4C4171F7"/>
    <w:rsid w:val="4D154C85"/>
    <w:rsid w:val="4E20643C"/>
    <w:rsid w:val="4EC8553A"/>
    <w:rsid w:val="4F646FDA"/>
    <w:rsid w:val="506A724F"/>
    <w:rsid w:val="508F1B9F"/>
    <w:rsid w:val="508F4E24"/>
    <w:rsid w:val="51461E90"/>
    <w:rsid w:val="51463753"/>
    <w:rsid w:val="51B05C81"/>
    <w:rsid w:val="52553A93"/>
    <w:rsid w:val="53002578"/>
    <w:rsid w:val="53162277"/>
    <w:rsid w:val="53521F8B"/>
    <w:rsid w:val="53766510"/>
    <w:rsid w:val="53E22F47"/>
    <w:rsid w:val="54522FF8"/>
    <w:rsid w:val="55450629"/>
    <w:rsid w:val="55781789"/>
    <w:rsid w:val="560C08D9"/>
    <w:rsid w:val="566409BC"/>
    <w:rsid w:val="56692963"/>
    <w:rsid w:val="568B0F48"/>
    <w:rsid w:val="5786217B"/>
    <w:rsid w:val="583033C1"/>
    <w:rsid w:val="589755F4"/>
    <w:rsid w:val="59337A15"/>
    <w:rsid w:val="59810274"/>
    <w:rsid w:val="599A3C0F"/>
    <w:rsid w:val="5A7445FC"/>
    <w:rsid w:val="5CA96A00"/>
    <w:rsid w:val="5CF730BC"/>
    <w:rsid w:val="5D135CE5"/>
    <w:rsid w:val="5DF71E2E"/>
    <w:rsid w:val="5E5F0DCE"/>
    <w:rsid w:val="5FA40A7B"/>
    <w:rsid w:val="5FD56D29"/>
    <w:rsid w:val="5FE64732"/>
    <w:rsid w:val="5FEC7F3F"/>
    <w:rsid w:val="603F1C94"/>
    <w:rsid w:val="60F74BC3"/>
    <w:rsid w:val="610C3E53"/>
    <w:rsid w:val="61112C38"/>
    <w:rsid w:val="616A46F9"/>
    <w:rsid w:val="617D3BF8"/>
    <w:rsid w:val="61841F6A"/>
    <w:rsid w:val="61845058"/>
    <w:rsid w:val="61F94649"/>
    <w:rsid w:val="623007A9"/>
    <w:rsid w:val="63187E47"/>
    <w:rsid w:val="6323244D"/>
    <w:rsid w:val="637D7558"/>
    <w:rsid w:val="644F19AC"/>
    <w:rsid w:val="64D71674"/>
    <w:rsid w:val="653F0BE0"/>
    <w:rsid w:val="65485276"/>
    <w:rsid w:val="65AA4920"/>
    <w:rsid w:val="65FA5018"/>
    <w:rsid w:val="66151F5A"/>
    <w:rsid w:val="66252F54"/>
    <w:rsid w:val="664136E5"/>
    <w:rsid w:val="67694F1E"/>
    <w:rsid w:val="67FB2979"/>
    <w:rsid w:val="69597934"/>
    <w:rsid w:val="69CE44BB"/>
    <w:rsid w:val="6B964DDC"/>
    <w:rsid w:val="6BC176AF"/>
    <w:rsid w:val="6C383E8C"/>
    <w:rsid w:val="6C783074"/>
    <w:rsid w:val="6CEC3DC0"/>
    <w:rsid w:val="6D78113B"/>
    <w:rsid w:val="6D9E65C6"/>
    <w:rsid w:val="6DA81947"/>
    <w:rsid w:val="6EB66DE2"/>
    <w:rsid w:val="6ECC499B"/>
    <w:rsid w:val="6ED3075F"/>
    <w:rsid w:val="6F2A2D4B"/>
    <w:rsid w:val="6F8A0C1E"/>
    <w:rsid w:val="703F45D4"/>
    <w:rsid w:val="711025D8"/>
    <w:rsid w:val="715D6546"/>
    <w:rsid w:val="71BE069E"/>
    <w:rsid w:val="71F942E2"/>
    <w:rsid w:val="73953409"/>
    <w:rsid w:val="73E069A3"/>
    <w:rsid w:val="757532B5"/>
    <w:rsid w:val="75BF167C"/>
    <w:rsid w:val="773B18F1"/>
    <w:rsid w:val="77617A78"/>
    <w:rsid w:val="776A2EC4"/>
    <w:rsid w:val="779045FA"/>
    <w:rsid w:val="77A17E72"/>
    <w:rsid w:val="77BB172F"/>
    <w:rsid w:val="78104AA8"/>
    <w:rsid w:val="78E257C5"/>
    <w:rsid w:val="794B35BE"/>
    <w:rsid w:val="79C12E5D"/>
    <w:rsid w:val="7A2365C8"/>
    <w:rsid w:val="7A865955"/>
    <w:rsid w:val="7B0A3A31"/>
    <w:rsid w:val="7B3360ED"/>
    <w:rsid w:val="7B3D458F"/>
    <w:rsid w:val="7B5319F3"/>
    <w:rsid w:val="7BDF037E"/>
    <w:rsid w:val="7BF50948"/>
    <w:rsid w:val="7C6B089F"/>
    <w:rsid w:val="7CE66A78"/>
    <w:rsid w:val="7D23564C"/>
    <w:rsid w:val="7D36365F"/>
    <w:rsid w:val="7D5E062D"/>
    <w:rsid w:val="7D6B72C8"/>
    <w:rsid w:val="7DB70488"/>
    <w:rsid w:val="7DF76CD8"/>
    <w:rsid w:val="7E8F2A06"/>
    <w:rsid w:val="7F025695"/>
    <w:rsid w:val="7F5002A0"/>
    <w:rsid w:val="7F695C26"/>
    <w:rsid w:val="7FCF62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宋体" w:cs="Times New Roman"/>
      <w:b/>
      <w:bCs/>
      <w:kern w:val="44"/>
      <w:sz w:val="48"/>
      <w:szCs w:val="48"/>
    </w:rPr>
  </w:style>
  <w:style w:type="paragraph" w:styleId="2">
    <w:name w:val="heading 3"/>
    <w:basedOn w:val="1"/>
    <w:next w:val="1"/>
    <w:qFormat/>
    <w:uiPriority w:val="0"/>
    <w:pPr>
      <w:keepNext/>
      <w:keepLines/>
      <w:autoSpaceDE/>
      <w:autoSpaceDN/>
      <w:adjustRightInd/>
      <w:snapToGrid/>
      <w:spacing w:line="360" w:lineRule="auto"/>
      <w:ind w:firstLine="600" w:firstLineChars="200"/>
      <w:outlineLvl w:val="2"/>
    </w:pPr>
    <w:rPr>
      <w:rFonts w:ascii="Times New Roman" w:hAnsi="仿宋" w:eastAsia="黑体" w:cs="Times New Roman"/>
      <w:bCs/>
      <w:spacing w:val="0"/>
      <w:kern w:val="0"/>
      <w:szCs w:val="32"/>
    </w:rPr>
  </w:style>
  <w:style w:type="character" w:default="1" w:styleId="8">
    <w:name w:val="Default Paragraph Font"/>
    <w:semiHidden/>
    <w:unhideWhenUsed/>
    <w:qFormat/>
    <w:uiPriority w:val="1"/>
  </w:style>
  <w:style w:type="table" w:default="1" w:styleId="7">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Autospacing="1" w:afterAutospacing="1"/>
      <w:jc w:val="left"/>
    </w:pPr>
    <w:rPr>
      <w:rFonts w:cs="Times New Roman"/>
      <w:kern w:val="0"/>
      <w:sz w:val="24"/>
    </w:rPr>
  </w:style>
  <w:style w:type="character" w:styleId="9">
    <w:name w:val="Emphasis"/>
    <w:basedOn w:val="8"/>
    <w:qFormat/>
    <w:uiPriority w:val="0"/>
    <w:rPr>
      <w:i/>
    </w:rPr>
  </w:style>
  <w:style w:type="character" w:customStyle="1" w:styleId="10">
    <w:name w:val="页眉 Char"/>
    <w:basedOn w:val="8"/>
    <w:link w:val="5"/>
    <w:qFormat/>
    <w:uiPriority w:val="0"/>
    <w:rPr>
      <w:rFonts w:asciiTheme="minorHAnsi" w:hAnsiTheme="minorHAnsi" w:eastAsiaTheme="minorEastAsia" w:cstheme="minorBidi"/>
      <w:kern w:val="2"/>
      <w:sz w:val="18"/>
      <w:szCs w:val="18"/>
    </w:rPr>
  </w:style>
  <w:style w:type="character" w:customStyle="1" w:styleId="11">
    <w:name w:val="页脚 Char"/>
    <w:basedOn w:val="8"/>
    <w:link w:val="4"/>
    <w:qFormat/>
    <w:uiPriority w:val="0"/>
    <w:rPr>
      <w:rFonts w:asciiTheme="minorHAnsi" w:hAnsiTheme="minorHAnsi" w:eastAsiaTheme="minorEastAsia" w:cstheme="minorBidi"/>
      <w:kern w:val="2"/>
      <w:sz w:val="18"/>
      <w:szCs w:val="18"/>
    </w:rPr>
  </w:style>
  <w:style w:type="paragraph" w:styleId="12">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2" Type="http://schemas.openxmlformats.org/officeDocument/2006/relationships/fontTable" Target="fontTable.xml"/><Relationship Id="rId21" Type="http://schemas.openxmlformats.org/officeDocument/2006/relationships/customXml" Target="../customXml/item1.xml"/><Relationship Id="rId20" Type="http://schemas.openxmlformats.org/officeDocument/2006/relationships/numbering" Target="numbering.xml"/><Relationship Id="rId2" Type="http://schemas.openxmlformats.org/officeDocument/2006/relationships/settings" Target="settings.xml"/><Relationship Id="rId19" Type="http://schemas.openxmlformats.org/officeDocument/2006/relationships/chart" Target="charts/chart14.xml"/><Relationship Id="rId18" Type="http://schemas.openxmlformats.org/officeDocument/2006/relationships/chart" Target="charts/chart13.xml"/><Relationship Id="rId17" Type="http://schemas.openxmlformats.org/officeDocument/2006/relationships/chart" Target="charts/chart12.xml"/><Relationship Id="rId16" Type="http://schemas.openxmlformats.org/officeDocument/2006/relationships/chart" Target="charts/chart11.xml"/><Relationship Id="rId15" Type="http://schemas.openxmlformats.org/officeDocument/2006/relationships/chart" Target="charts/chart10.xml"/><Relationship Id="rId14" Type="http://schemas.openxmlformats.org/officeDocument/2006/relationships/chart" Target="charts/chart9.xml"/><Relationship Id="rId13" Type="http://schemas.openxmlformats.org/officeDocument/2006/relationships/chart" Target="charts/chart8.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3.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Workbook8.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Workbook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Workbook6.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Workbook14.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Workbook9.xlsx"/></Relationships>
</file>

<file path=word/charts/_rels/chart2.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10.xlsx"/></Relationships>
</file>

<file path=word/charts/_rels/chart3.xml.rels><?xml version="1.0" encoding="UTF-8" standalone="yes"?>
<Relationships xmlns="http://schemas.openxmlformats.org/package/2006/relationships"><Relationship Id="rId1" Type="http://schemas.openxmlformats.org/officeDocument/2006/relationships/package" Target="../embeddings/Workbook7.xlsx"/></Relationships>
</file>

<file path=word/charts/_rels/chart4.xml.rels><?xml version="1.0" encoding="UTF-8" standalone="yes"?>
<Relationships xmlns="http://schemas.openxmlformats.org/package/2006/relationships"><Relationship Id="rId1" Type="http://schemas.openxmlformats.org/officeDocument/2006/relationships/package" Target="../embeddings/Workbook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Workbook1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Workbook13.xlsx"/></Relationships>
</file>

<file path=word/charts/_rels/chart8.xml.rels><?xml version="1.0" encoding="UTF-8" standalone="yes"?>
<Relationships xmlns="http://schemas.openxmlformats.org/package/2006/relationships"><Relationship Id="rId1" Type="http://schemas.openxmlformats.org/officeDocument/2006/relationships/package" Target="../embeddings/Workbook12.xlsx"/></Relationships>
</file>

<file path=word/charts/_rels/chart9.xml.rels><?xml version="1.0" encoding="UTF-8" standalone="yes"?>
<Relationships xmlns="http://schemas.openxmlformats.org/package/2006/relationships"><Relationship Id="rId1" Type="http://schemas.openxmlformats.org/officeDocument/2006/relationships/package" Target="../embeddings/Workbook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决算收入支出图表</a:t>
            </a:r>
            <a:endParaRPr lang="zh-CN" altLang="en-US"/>
          </a:p>
        </c:rich>
      </c:tx>
      <c:layout/>
      <c:overlay val="0"/>
      <c:spPr>
        <a:noFill/>
        <a:ln>
          <a:noFill/>
        </a:ln>
        <a:effectLst/>
      </c:spPr>
    </c:title>
    <c:autoTitleDeleted val="0"/>
    <c:plotArea>
      <c:layout/>
      <c:pieChart>
        <c:varyColors val="1"/>
        <c:ser>
          <c:idx val="0"/>
          <c:order val="0"/>
          <c:tx>
            <c:strRef>
              <c:f>Sheet1!$B$1</c:f>
              <c:strCache>
                <c:ptCount val="1"/>
                <c:pt idx="0">
                  <c:v>countries</c:v>
                </c:pt>
              </c:strCache>
            </c:strRef>
          </c:tx>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Lbls>
            <c:delete val="1"/>
          </c:dLbls>
          <c:cat>
            <c:strRef>
              <c:f>Sheet1!$A$2:$A$3</c:f>
              <c:strCache>
                <c:ptCount val="2"/>
                <c:pt idx="0">
                  <c:v>一般公共预算财政拨款收入</c:v>
                </c:pt>
                <c:pt idx="1">
                  <c:v>其他收入</c:v>
                </c:pt>
              </c:strCache>
            </c:strRef>
          </c:cat>
          <c:val>
            <c:numRef>
              <c:f>Sheet1!$B$2:$B$3</c:f>
              <c:numCache>
                <c:formatCode>General</c:formatCode>
                <c:ptCount val="2"/>
                <c:pt idx="0">
                  <c:v>9016.47</c:v>
                </c:pt>
                <c:pt idx="1">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商品和服务支出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30201</c:v>
                </c:pt>
                <c:pt idx="1">
                  <c:v>30205</c:v>
                </c:pt>
                <c:pt idx="2">
                  <c:v>30206</c:v>
                </c:pt>
                <c:pt idx="3">
                  <c:v>30207</c:v>
                </c:pt>
                <c:pt idx="4">
                  <c:v>30209</c:v>
                </c:pt>
                <c:pt idx="5">
                  <c:v>30211</c:v>
                </c:pt>
                <c:pt idx="6">
                  <c:v>30213</c:v>
                </c:pt>
                <c:pt idx="7">
                  <c:v>30214</c:v>
                </c:pt>
                <c:pt idx="8">
                  <c:v>30228</c:v>
                </c:pt>
                <c:pt idx="9">
                  <c:v>30231</c:v>
                </c:pt>
                <c:pt idx="10">
                  <c:v>30239</c:v>
                </c:pt>
                <c:pt idx="11">
                  <c:v>30299</c:v>
                </c:pt>
              </c:numCache>
            </c:numRef>
          </c:cat>
          <c:val>
            <c:numRef>
              <c:f>Sheet1!$B$2:$B$13</c:f>
              <c:numCache>
                <c:formatCode>General</c:formatCode>
                <c:ptCount val="12"/>
                <c:pt idx="0">
                  <c:v>0.12</c:v>
                </c:pt>
                <c:pt idx="1">
                  <c:v>5.31</c:v>
                </c:pt>
                <c:pt idx="2">
                  <c:v>13.56</c:v>
                </c:pt>
                <c:pt idx="3">
                  <c:v>9.95</c:v>
                </c:pt>
                <c:pt idx="4">
                  <c:v>0.28</c:v>
                </c:pt>
                <c:pt idx="5">
                  <c:v>0.04</c:v>
                </c:pt>
                <c:pt idx="6">
                  <c:v>0.07</c:v>
                </c:pt>
                <c:pt idx="7">
                  <c:v>0.03</c:v>
                </c:pt>
                <c:pt idx="8">
                  <c:v>27.17</c:v>
                </c:pt>
                <c:pt idx="9">
                  <c:v>18.39</c:v>
                </c:pt>
                <c:pt idx="10">
                  <c:v>29.78</c:v>
                </c:pt>
                <c:pt idx="11">
                  <c:v>4.1</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对个人和家庭的补助</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Sheet1!$A$2:$A$4</c:f>
              <c:numCache>
                <c:formatCode>General</c:formatCode>
                <c:ptCount val="3"/>
                <c:pt idx="0">
                  <c:v>30304</c:v>
                </c:pt>
                <c:pt idx="1">
                  <c:v>30305</c:v>
                </c:pt>
                <c:pt idx="2">
                  <c:v>30399</c:v>
                </c:pt>
              </c:numCache>
            </c:numRef>
          </c:cat>
          <c:val>
            <c:numRef>
              <c:f>Sheet1!$B$2:$B$4</c:f>
              <c:numCache>
                <c:formatCode>General</c:formatCode>
                <c:ptCount val="3"/>
                <c:pt idx="0">
                  <c:v>6.36</c:v>
                </c:pt>
                <c:pt idx="1">
                  <c:v>26.65</c:v>
                </c:pt>
                <c:pt idx="2">
                  <c:v>0.32</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债务利息及费用支出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30701</c:v>
                </c:pt>
                <c:pt idx="1">
                  <c:v>30702</c:v>
                </c:pt>
              </c:numCache>
            </c:numRef>
          </c:cat>
          <c:val>
            <c:numRef>
              <c:f>Sheet1!$B$2:$B$3</c:f>
              <c:numCache>
                <c:formatCode>General</c:formatCode>
                <c:ptCount val="2"/>
                <c:pt idx="0">
                  <c:v>0</c:v>
                </c:pt>
                <c:pt idx="1">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资本性支出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Sheet1!$A$2:$A$17</c:f>
              <c:numCache>
                <c:formatCode>General</c:formatCode>
                <c:ptCount val="16"/>
                <c:pt idx="0">
                  <c:v>31001</c:v>
                </c:pt>
                <c:pt idx="1">
                  <c:v>31002</c:v>
                </c:pt>
                <c:pt idx="2">
                  <c:v>31003</c:v>
                </c:pt>
                <c:pt idx="3">
                  <c:v>31005</c:v>
                </c:pt>
                <c:pt idx="4">
                  <c:v>31006</c:v>
                </c:pt>
                <c:pt idx="5">
                  <c:v>31007</c:v>
                </c:pt>
                <c:pt idx="6">
                  <c:v>31008</c:v>
                </c:pt>
                <c:pt idx="7">
                  <c:v>31009</c:v>
                </c:pt>
                <c:pt idx="8">
                  <c:v>31010</c:v>
                </c:pt>
                <c:pt idx="9">
                  <c:v>31011</c:v>
                </c:pt>
                <c:pt idx="10">
                  <c:v>31012</c:v>
                </c:pt>
                <c:pt idx="11">
                  <c:v>31013</c:v>
                </c:pt>
                <c:pt idx="12">
                  <c:v>31019</c:v>
                </c:pt>
                <c:pt idx="13">
                  <c:v>31021</c:v>
                </c:pt>
                <c:pt idx="14">
                  <c:v>31022</c:v>
                </c:pt>
                <c:pt idx="15">
                  <c:v>31099</c:v>
                </c:pt>
              </c:numCache>
            </c:numRef>
          </c:cat>
          <c:val>
            <c:numRef>
              <c:f>Sheet1!$B$2:$B$17</c:f>
              <c:numCache>
                <c:formatCode>General</c:formatCode>
                <c:ptCount val="16"/>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其他支出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Sheet1!$A$2:$A$6</c:f>
              <c:numCache>
                <c:formatCode>General</c:formatCode>
                <c:ptCount val="5"/>
                <c:pt idx="0">
                  <c:v>39907</c:v>
                </c:pt>
                <c:pt idx="1">
                  <c:v>39908</c:v>
                </c:pt>
                <c:pt idx="2">
                  <c:v>39909</c:v>
                </c:pt>
                <c:pt idx="3">
                  <c:v>39910</c:v>
                </c:pt>
                <c:pt idx="4">
                  <c:v>39999</c:v>
                </c:pt>
              </c:numCache>
            </c:numRef>
          </c:cat>
          <c:val>
            <c:numRef>
              <c:f>Sheet1!$B$2:$B$6</c:f>
              <c:numCache>
                <c:formatCode>General</c:formatCode>
                <c:ptCount val="5"/>
                <c:pt idx="0">
                  <c:v>0</c:v>
                </c:pt>
                <c:pt idx="1">
                  <c:v>0</c:v>
                </c:pt>
                <c:pt idx="2">
                  <c:v>0</c:v>
                </c:pt>
                <c:pt idx="3">
                  <c:v>0</c:v>
                </c:pt>
                <c:pt idx="4">
                  <c:v>0</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rPr lang="en-US" altLang="zh-CN"/>
              <a:t>支出决算图表</a:t>
            </a:r>
            <a:endParaRPr lang="zh-CN" altLang="en-US"/>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2021年</c:v>
                </c:pt>
              </c:strCache>
            </c:strRef>
          </c:tx>
          <c:spPr>
            <a:solidFill>
              <a:schemeClr val="accent1"/>
            </a:solidFill>
            <a:ln>
              <a:noFill/>
            </a:ln>
            <a:effectLst/>
          </c:spPr>
          <c:invertIfNegative val="0"/>
          <c:dLbls>
            <c:delete val="1"/>
          </c:dLbls>
          <c:cat>
            <c:strRef>
              <c:f>Sheet1!$A$2:$A$7</c:f>
              <c:strCache>
                <c:ptCount val="6"/>
                <c:pt idx="0">
                  <c:v>一般公共服务支出</c:v>
                </c:pt>
                <c:pt idx="1">
                  <c:v>社会保障和就业支出</c:v>
                </c:pt>
                <c:pt idx="2">
                  <c:v>节能环保支出</c:v>
                </c:pt>
                <c:pt idx="3">
                  <c:v>农林水支出</c:v>
                </c:pt>
                <c:pt idx="4">
                  <c:v>住房保障支出</c:v>
                </c:pt>
                <c:pt idx="5">
                  <c:v>其他支出</c:v>
                </c:pt>
              </c:strCache>
            </c:strRef>
          </c:cat>
          <c:val>
            <c:numRef>
              <c:f>Sheet1!$B$2:$B$7</c:f>
              <c:numCache>
                <c:formatCode>General</c:formatCode>
                <c:ptCount val="6"/>
                <c:pt idx="0">
                  <c:v>25.85</c:v>
                </c:pt>
                <c:pt idx="1">
                  <c:v>263.81</c:v>
                </c:pt>
                <c:pt idx="2">
                  <c:v>76.56</c:v>
                </c:pt>
                <c:pt idx="3">
                  <c:v>6648.75</c:v>
                </c:pt>
                <c:pt idx="4">
                  <c:v>162.57</c:v>
                </c:pt>
                <c:pt idx="5">
                  <c:v>597.62</c:v>
                </c:pt>
              </c:numCache>
            </c:numRef>
          </c:val>
        </c:ser>
        <c:ser>
          <c:idx val="1"/>
          <c:order val="1"/>
          <c:tx>
            <c:strRef>
              <c:f>Sheet1!$C$1</c:f>
              <c:strCache>
                <c:ptCount val="1"/>
                <c:pt idx="0">
                  <c:v>2022年</c:v>
                </c:pt>
              </c:strCache>
            </c:strRef>
          </c:tx>
          <c:spPr>
            <a:solidFill>
              <a:schemeClr val="accent2"/>
            </a:solidFill>
            <a:ln>
              <a:noFill/>
            </a:ln>
            <a:effectLst/>
          </c:spPr>
          <c:invertIfNegative val="0"/>
          <c:dLbls>
            <c:delete val="1"/>
          </c:dLbls>
          <c:cat>
            <c:strRef>
              <c:f>Sheet1!$A$2:$A$7</c:f>
              <c:strCache>
                <c:ptCount val="6"/>
                <c:pt idx="0">
                  <c:v>一般公共服务支出</c:v>
                </c:pt>
                <c:pt idx="1">
                  <c:v>社会保障和就业支出</c:v>
                </c:pt>
                <c:pt idx="2">
                  <c:v>节能环保支出</c:v>
                </c:pt>
                <c:pt idx="3">
                  <c:v>农林水支出</c:v>
                </c:pt>
                <c:pt idx="4">
                  <c:v>住房保障支出</c:v>
                </c:pt>
                <c:pt idx="5">
                  <c:v>其他支出</c:v>
                </c:pt>
              </c:strCache>
            </c:strRef>
          </c:cat>
          <c:val>
            <c:numRef>
              <c:f>Sheet1!$C$2:$C$7</c:f>
              <c:numCache>
                <c:formatCode>General</c:formatCode>
                <c:ptCount val="6"/>
                <c:pt idx="0">
                  <c:v>27.17</c:v>
                </c:pt>
                <c:pt idx="1">
                  <c:v>217.39</c:v>
                </c:pt>
                <c:pt idx="2">
                  <c:v>966.27</c:v>
                </c:pt>
                <c:pt idx="3" c:formatCode="#,##0.00">
                  <c:v>7322.34</c:v>
                </c:pt>
                <c:pt idx="4">
                  <c:v>153.05</c:v>
                </c:pt>
                <c:pt idx="5">
                  <c:v>330.25</c:v>
                </c:pt>
              </c:numCache>
            </c:numRef>
          </c:val>
        </c:ser>
        <c:dLbls>
          <c:showLegendKey val="0"/>
          <c:showVal val="0"/>
          <c:showCatName val="0"/>
          <c:showSerName val="0"/>
          <c:showPercent val="0"/>
          <c:showBubbleSize val="0"/>
        </c:dLbls>
        <c:gapWidth val="219"/>
        <c:overlap val="-27"/>
        <c:axId val="-172443552"/>
        <c:axId val="-172442464"/>
      </c:barChart>
      <c:catAx>
        <c:axId val="-172443552"/>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2464"/>
        <c:crosses val="autoZero"/>
        <c:auto val="1"/>
        <c:lblAlgn val="ctr"/>
        <c:lblOffset val="100"/>
        <c:noMultiLvlLbl val="0"/>
      </c:catAx>
      <c:valAx>
        <c:axId val="-17244246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552"/>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一般公共服务</a:t>
            </a:r>
            <a:r>
              <a:rPr lang="en-US"/>
              <a:t>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2012999</c:v>
                </c:pt>
                <c:pt idx="1">
                  <c:v>201</c:v>
                </c:pt>
              </c:numCache>
            </c:numRef>
          </c:cat>
          <c:val>
            <c:numRef>
              <c:f>Sheet1!$B$2:$B$3</c:f>
              <c:numCache>
                <c:formatCode>General</c:formatCode>
                <c:ptCount val="2"/>
                <c:pt idx="0">
                  <c:v>27.17</c:v>
                </c:pt>
                <c:pt idx="1">
                  <c:v>27.17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社会保障和就业支出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Sheet1!$A$2:$A$4</c:f>
              <c:numCache>
                <c:formatCode>General</c:formatCode>
                <c:ptCount val="3"/>
                <c:pt idx="0">
                  <c:v>2080505</c:v>
                </c:pt>
                <c:pt idx="1">
                  <c:v>2080506</c:v>
                </c:pt>
                <c:pt idx="2">
                  <c:v>208</c:v>
                </c:pt>
              </c:numCache>
            </c:numRef>
          </c:cat>
          <c:val>
            <c:numRef>
              <c:f>Sheet1!$B$2:$B$4</c:f>
              <c:numCache>
                <c:formatCode>General</c:formatCode>
                <c:ptCount val="3"/>
                <c:pt idx="0">
                  <c:v>205.68</c:v>
                </c:pt>
                <c:pt idx="1">
                  <c:v>11.71</c:v>
                </c:pt>
                <c:pt idx="2">
                  <c:v>217.39</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节能环保支出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Sheet1!$A$2:$A$4</c:f>
              <c:numCache>
                <c:formatCode>General</c:formatCode>
                <c:ptCount val="3"/>
                <c:pt idx="0">
                  <c:v>2110401</c:v>
                </c:pt>
                <c:pt idx="1">
                  <c:v>2119999</c:v>
                </c:pt>
                <c:pt idx="2">
                  <c:v>211</c:v>
                </c:pt>
              </c:numCache>
            </c:numRef>
          </c:cat>
          <c:val>
            <c:numRef>
              <c:f>Sheet1!$B$2:$B$4</c:f>
              <c:numCache>
                <c:formatCode>#,##0.00</c:formatCode>
                <c:ptCount val="3"/>
                <c:pt idx="0">
                  <c:v>6.27</c:v>
                </c:pt>
                <c:pt idx="1" c:formatCode="General">
                  <c:v>960</c:v>
                </c:pt>
                <c:pt idx="2" c:formatCode="General">
                  <c:v>966.27</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0.00"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农林水支出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Sheet1!$A$2:$A$13</c:f>
              <c:numCache>
                <c:formatCode>General</c:formatCode>
                <c:ptCount val="12"/>
                <c:pt idx="0">
                  <c:v>2130104</c:v>
                </c:pt>
                <c:pt idx="1">
                  <c:v>2130204</c:v>
                </c:pt>
                <c:pt idx="2">
                  <c:v>2130205</c:v>
                </c:pt>
                <c:pt idx="3">
                  <c:v>2130206</c:v>
                </c:pt>
                <c:pt idx="4">
                  <c:v>2130209</c:v>
                </c:pt>
                <c:pt idx="5">
                  <c:v>2130211</c:v>
                </c:pt>
                <c:pt idx="6">
                  <c:v>2130213</c:v>
                </c:pt>
                <c:pt idx="7">
                  <c:v>2130234</c:v>
                </c:pt>
                <c:pt idx="8">
                  <c:v>2130299</c:v>
                </c:pt>
                <c:pt idx="9">
                  <c:v>2130505</c:v>
                </c:pt>
                <c:pt idx="11">
                  <c:v>213</c:v>
                </c:pt>
              </c:numCache>
            </c:numRef>
          </c:cat>
          <c:val>
            <c:numRef>
              <c:f>Sheet1!$B$2:$B$13</c:f>
              <c:numCache>
                <c:formatCode>General</c:formatCode>
                <c:ptCount val="12"/>
                <c:pt idx="0">
                  <c:v>0</c:v>
                </c:pt>
                <c:pt idx="1">
                  <c:v>0</c:v>
                </c:pt>
                <c:pt idx="2">
                  <c:v>0</c:v>
                </c:pt>
                <c:pt idx="3">
                  <c:v>0</c:v>
                </c:pt>
                <c:pt idx="4">
                  <c:v>0</c:v>
                </c:pt>
                <c:pt idx="5">
                  <c:v>0</c:v>
                </c:pt>
                <c:pt idx="6">
                  <c:v>0</c:v>
                </c:pt>
                <c:pt idx="7">
                  <c:v>0</c:v>
                </c:pt>
                <c:pt idx="8">
                  <c:v>0</c:v>
                </c:pt>
                <c:pt idx="9">
                  <c:v>0</c:v>
                </c:pt>
                <c:pt idx="11">
                  <c:v>0</c:v>
                </c:pt>
              </c:numCache>
            </c:numRef>
          </c:val>
        </c:ser>
        <c:ser>
          <c:idx val="1"/>
          <c:order val="1"/>
          <c:tx>
            <c:strRef>
              <c:f>Sheet1!$C$1</c:f>
              <c:strCache>
                <c:ptCount val="1"/>
                <c:pt idx="0">
                  <c:v>系列 2</c:v>
                </c:pt>
              </c:strCache>
            </c:strRef>
          </c:tx>
          <c:invertIfNegative val="0"/>
          <c:dLbls>
            <c:delete val="1"/>
          </c:dLbls>
          <c:cat>
            <c:numRef>
              <c:f>Sheet1!$A$2:$A$13</c:f>
              <c:numCache>
                <c:formatCode>General</c:formatCode>
                <c:ptCount val="12"/>
                <c:pt idx="0">
                  <c:v>2130104</c:v>
                </c:pt>
                <c:pt idx="1">
                  <c:v>2130204</c:v>
                </c:pt>
                <c:pt idx="2">
                  <c:v>2130205</c:v>
                </c:pt>
                <c:pt idx="3">
                  <c:v>2130206</c:v>
                </c:pt>
                <c:pt idx="4">
                  <c:v>2130209</c:v>
                </c:pt>
                <c:pt idx="5">
                  <c:v>2130211</c:v>
                </c:pt>
                <c:pt idx="6">
                  <c:v>2130213</c:v>
                </c:pt>
                <c:pt idx="7">
                  <c:v>2130234</c:v>
                </c:pt>
                <c:pt idx="8">
                  <c:v>2130299</c:v>
                </c:pt>
                <c:pt idx="9">
                  <c:v>2130505</c:v>
                </c:pt>
                <c:pt idx="11">
                  <c:v>213</c:v>
                </c:pt>
              </c:numCache>
            </c:numRef>
          </c:cat>
          <c:val>
            <c:numRef>
              <c:f>Sheet1!$C$2:$C$13</c:f>
              <c:numCache>
                <c:formatCode>General</c:formatCode>
                <c:ptCount val="12"/>
                <c:pt idx="0">
                  <c:v>3.73</c:v>
                </c:pt>
                <c:pt idx="1" c:formatCode="#,##0.00">
                  <c:v>1297.87</c:v>
                </c:pt>
                <c:pt idx="2" c:formatCode="#,##0.00">
                  <c:v>1050.3</c:v>
                </c:pt>
                <c:pt idx="3">
                  <c:v>49.89</c:v>
                </c:pt>
                <c:pt idx="4" c:formatCode="#,##0.00">
                  <c:v>3598.48</c:v>
                </c:pt>
                <c:pt idx="5">
                  <c:v>1.75</c:v>
                </c:pt>
                <c:pt idx="6">
                  <c:v>37.58</c:v>
                </c:pt>
                <c:pt idx="7">
                  <c:v>52.92</c:v>
                </c:pt>
                <c:pt idx="8" c:formatCode="#,##0.00">
                  <c:v>1222.96</c:v>
                </c:pt>
                <c:pt idx="9">
                  <c:v>6.85</c:v>
                </c:pt>
                <c:pt idx="11" c:formatCode="#,##0.00">
                  <c:v>7322.34</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住房保障支出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2210201</c:v>
                </c:pt>
                <c:pt idx="1">
                  <c:v>221</c:v>
                </c:pt>
              </c:numCache>
            </c:numRef>
          </c:cat>
          <c:val>
            <c:numRef>
              <c:f>Sheet1!$B$2:$B$3</c:f>
              <c:numCache>
                <c:formatCode>General</c:formatCode>
                <c:ptCount val="2"/>
                <c:pt idx="0">
                  <c:v>153.05</c:v>
                </c:pt>
                <c:pt idx="1">
                  <c:v>153.05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altLang="en-US"/>
              <a:t>其他</a:t>
            </a:r>
            <a:r>
              <a:rPr lang="en-US"/>
              <a:t>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Sheet1!$A$2:$A$3</c:f>
              <c:numCache>
                <c:formatCode>General</c:formatCode>
                <c:ptCount val="2"/>
                <c:pt idx="0">
                  <c:v>2299999</c:v>
                </c:pt>
                <c:pt idx="1">
                  <c:v>229</c:v>
                </c:pt>
              </c:numCache>
            </c:numRef>
          </c:cat>
          <c:val>
            <c:numRef>
              <c:f>Sheet1!$B$2:$B$3</c:f>
              <c:numCache>
                <c:formatCode>General</c:formatCode>
                <c:ptCount val="2"/>
                <c:pt idx="0">
                  <c:v>330.25</c:v>
                </c:pt>
                <c:pt idx="1">
                  <c:v>330.25</c:v>
                </c:pt>
              </c:numCache>
            </c:numRef>
          </c:val>
        </c:ser>
        <c:dLbls>
          <c:showLegendKey val="0"/>
          <c:showVal val="0"/>
          <c:showCatName val="0"/>
          <c:showSerName val="0"/>
          <c:showPercent val="0"/>
          <c:showBubbleSize val="0"/>
        </c:dLbls>
        <c:gapWidth val="219"/>
        <c:overlap val="-27"/>
        <c:axId val="-172443008"/>
        <c:axId val="-172445728"/>
      </c:barChart>
      <c:catAx>
        <c:axId val="-172443008"/>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5728"/>
        <c:crosses val="autoZero"/>
        <c:auto val="1"/>
        <c:lblAlgn val="ctr"/>
        <c:lblOffset val="100"/>
        <c:noMultiLvlLbl val="0"/>
      </c:catAx>
      <c:valAx>
        <c:axId val="-172445728"/>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3008"/>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rtlCol="0" anchor="t" anchorCtr="1"/>
          <a:lstStyle/>
          <a:p>
            <a:pPr algn="l">
              <a:defRPr lang="zh-CN" sz="1800" b="1" i="0" u="none" strike="noStrike" kern="1200" baseline="0">
                <a:solidFill>
                  <a:schemeClr val="tx1"/>
                </a:solidFill>
                <a:latin typeface="+mn-lt"/>
                <a:ea typeface="+mn-ea"/>
                <a:cs typeface="+mn-cs"/>
              </a:defRPr>
            </a:pPr>
            <a:r>
              <a:rPr lang="en-US"/>
              <a:t>工资福利支出</a:t>
            </a:r>
            <a:endParaRPr lang="en-US" sz="1100"/>
          </a:p>
        </c:rich>
      </c:tx>
      <c:layout/>
      <c:overlay val="0"/>
      <c:spPr>
        <a:noFill/>
        <a:ln>
          <a:noFill/>
        </a:ln>
        <a:effectLst/>
      </c:spPr>
    </c:title>
    <c:autoTitleDeleted val="0"/>
    <c:plotArea>
      <c:layout/>
      <c:barChart>
        <c:barDir val="col"/>
        <c:grouping val="clustered"/>
        <c:varyColors val="0"/>
        <c:ser>
          <c:idx val="0"/>
          <c:order val="0"/>
          <c:tx>
            <c:strRef>
              <c:f>Sheet1!$B$1</c:f>
              <c:strCache>
                <c:ptCount val="1"/>
                <c:pt idx="0">
                  <c:v>科目代码</c:v>
                </c:pt>
              </c:strCache>
            </c:strRef>
          </c:tx>
          <c:spPr>
            <a:solidFill>
              <a:schemeClr val="accent1"/>
            </a:solidFill>
            <a:ln>
              <a:noFill/>
            </a:ln>
            <a:effectLst/>
          </c:spPr>
          <c:invertIfNegative val="0"/>
          <c:dLbls>
            <c:delete val="1"/>
          </c:dLbls>
          <c:cat>
            <c:numRef>
              <c:f>Sheet1!$A$2:$A$12</c:f>
              <c:numCache>
                <c:formatCode>General</c:formatCode>
                <c:ptCount val="11"/>
                <c:pt idx="0">
                  <c:v>30101</c:v>
                </c:pt>
                <c:pt idx="1">
                  <c:v>30102</c:v>
                </c:pt>
                <c:pt idx="2">
                  <c:v>30103</c:v>
                </c:pt>
                <c:pt idx="3">
                  <c:v>30106</c:v>
                </c:pt>
                <c:pt idx="4">
                  <c:v>30107</c:v>
                </c:pt>
                <c:pt idx="5">
                  <c:v>30108</c:v>
                </c:pt>
                <c:pt idx="6">
                  <c:v>30109</c:v>
                </c:pt>
                <c:pt idx="7">
                  <c:v>30110</c:v>
                </c:pt>
                <c:pt idx="8">
                  <c:v>30112</c:v>
                </c:pt>
                <c:pt idx="9">
                  <c:v>30113</c:v>
                </c:pt>
                <c:pt idx="10">
                  <c:v>30114</c:v>
                </c:pt>
              </c:numCache>
            </c:numRef>
          </c:cat>
          <c:val>
            <c:numRef>
              <c:f>Sheet1!$B$2:$B$12</c:f>
              <c:numCache>
                <c:formatCode>General</c:formatCode>
                <c:ptCount val="11"/>
                <c:pt idx="0">
                  <c:v>373.12</c:v>
                </c:pt>
                <c:pt idx="1">
                  <c:v>316.14</c:v>
                </c:pt>
                <c:pt idx="2">
                  <c:v>460.97</c:v>
                </c:pt>
                <c:pt idx="3">
                  <c:v>25.73</c:v>
                </c:pt>
                <c:pt idx="4">
                  <c:v>249.28</c:v>
                </c:pt>
                <c:pt idx="5">
                  <c:v>234.81</c:v>
                </c:pt>
                <c:pt idx="6">
                  <c:v>15.46</c:v>
                </c:pt>
                <c:pt idx="7">
                  <c:v>82.05</c:v>
                </c:pt>
                <c:pt idx="8">
                  <c:v>8.59</c:v>
                </c:pt>
                <c:pt idx="9">
                  <c:v>153.05</c:v>
                </c:pt>
                <c:pt idx="10">
                  <c:v>1</c:v>
                </c:pt>
              </c:numCache>
            </c:numRef>
          </c:val>
        </c:ser>
        <c:dLbls>
          <c:showLegendKey val="0"/>
          <c:showVal val="0"/>
          <c:showCatName val="0"/>
          <c:showSerName val="0"/>
          <c:showPercent val="0"/>
          <c:showBubbleSize val="0"/>
        </c:dLbls>
        <c:gapWidth val="219"/>
        <c:overlap val="-27"/>
        <c:axId val="-172441920"/>
        <c:axId val="-172441376"/>
      </c:barChart>
      <c:catAx>
        <c:axId val="-172441920"/>
        <c:scaling>
          <c:orientation val="minMax"/>
        </c:scaling>
        <c:delete val="0"/>
        <c:axPos val="b"/>
        <c:numFmt formatCode="General" sourceLinked="0"/>
        <c:majorTickMark val="none"/>
        <c:minorTickMark val="none"/>
        <c:tickLblPos val="nextTo"/>
        <c:spPr>
          <a:noFill/>
          <a:ln w="9525" cap="flat" cmpd="sng" algn="ctr">
            <a:solidFill>
              <a:schemeClr val="tx1">
                <a:lumMod val="15000"/>
                <a:lumOff val="85000"/>
              </a:schemeClr>
            </a:solidFill>
            <a:prstDash val="solid"/>
            <a:round/>
          </a:ln>
          <a:effectLst/>
        </c:spPr>
        <c:txPr>
          <a:bodyPr rot="0" spcFirstLastPara="1" vertOverflow="ellipsis" vert="eaVert"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376"/>
        <c:crosses val="autoZero"/>
        <c:auto val="1"/>
        <c:lblAlgn val="ctr"/>
        <c:lblOffset val="100"/>
        <c:noMultiLvlLbl val="0"/>
      </c:catAx>
      <c:valAx>
        <c:axId val="-172441376"/>
        <c:scaling>
          <c:orientation val="minMax"/>
        </c:scaling>
        <c:delete val="0"/>
        <c:axPos val="l"/>
        <c:majorGridlines>
          <c:spPr>
            <a:ln w="9525" cap="flat" cmpd="sng" algn="ctr">
              <a:solidFill>
                <a:schemeClr val="tx1">
                  <a:lumMod val="15000"/>
                  <a:lumOff val="85000"/>
                </a:schemeClr>
              </a:solidFill>
              <a:prstDash val="solid"/>
              <a:round/>
            </a:ln>
            <a:effectLst/>
          </c:spPr>
        </c:majorGridlines>
        <c:numFmt formatCode="General" sourceLinked="1"/>
        <c:majorTickMark val="none"/>
        <c:minorTickMark val="none"/>
        <c:tickLblPos val="nextTo"/>
        <c:spPr>
          <a:noFill/>
          <a:ln w="6350" cap="flat" cmpd="sng" algn="ctr">
            <a:noFill/>
            <a:prstDash val="solid"/>
            <a:round/>
          </a:ln>
          <a:effectLst/>
        </c:spPr>
        <c:txPr>
          <a:bodyPr rot="-6000000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crossAx val="-172441920"/>
        <c:crosses val="autoZero"/>
        <c:crossBetween val="between"/>
      </c:valAx>
      <c:spPr>
        <a:noFill/>
        <a:ln>
          <a:noFill/>
        </a:ln>
        <a:effectLst/>
      </c:spPr>
    </c:plotArea>
    <c:legend>
      <c:legendPos val="b"/>
      <c:layout/>
      <c:overlay val="0"/>
      <c:spPr>
        <a:noFill/>
        <a:ln>
          <a:noFill/>
        </a:ln>
        <a:effectLst/>
      </c:spPr>
      <c:txPr>
        <a:bodyPr rot="0" spcFirstLastPara="1"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prstDash val="solid"/>
      <a:round/>
    </a:ln>
    <a:effectLst/>
  </c:spPr>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A0CACF-E88F-4774-9588-59B2C8C8876C}">
  <ds:schemaRefs/>
</ds:datastoreItem>
</file>

<file path=docProps/app.xml><?xml version="1.0" encoding="utf-8"?>
<Properties xmlns="http://schemas.openxmlformats.org/officeDocument/2006/extended-properties" xmlns:vt="http://schemas.openxmlformats.org/officeDocument/2006/docPropsVTypes">
  <Template>Normal.dotm</Template>
  <Pages>30</Pages>
  <Words>6678</Words>
  <Characters>13912</Characters>
  <Lines>90</Lines>
  <Paragraphs>25</Paragraphs>
  <TotalTime>0</TotalTime>
  <ScaleCrop>false</ScaleCrop>
  <LinksUpToDate>false</LinksUpToDate>
  <CharactersWithSpaces>14005</CharactersWithSpaces>
  <Application>WPS Office_11.8.2.12089_F1E327BC-269C-435d-A152-05C5408002CA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2023-08-17T02:06:00Z</dcterms:created>
  <dc:creator>C D D</dc:creator>
  <cp:lastModifiedBy>Administrator</cp:lastModifiedBy>
  <dcterms:modified xsi:type="dcterms:W3CDTF">2023-11-24T01:54:53Z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2052-11.8.2.12089</vt:lpwstr>
  </property>
  <property fmtid="{D5CDD505-2E9C-101B-9397-08002B2CF9AE}" pid="3" name="ICV">
    <vt:lpwstr>16A5E58A4C184A0F8AAD5879DBB8AF73</vt:lpwstr>
  </property>
</Properties>
</file>