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bookmarkStart w:id="4" w:name="_GoBack"/>
      <w:r>
        <w:rPr>
          <w:rFonts w:hint="eastAsia" w:ascii="黑体" w:hAnsi="黑体" w:eastAsia="黑体" w:cs="黑体"/>
          <w:b/>
          <w:bCs/>
          <w:w w:val="98"/>
          <w:sz w:val="52"/>
          <w:szCs w:val="52"/>
          <w:highlight w:val="none"/>
          <w:lang w:val="en-US" w:eastAsia="zh-CN"/>
        </w:rPr>
        <w:t>环江毛南族自治县水果产业发展中心</w:t>
      </w:r>
      <w:bookmarkEnd w:id="4"/>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b/>
          <w:bCs/>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u w:color="auto"/>
          <w:lang w:val="en-US" w:eastAsia="zh-CN"/>
        </w:rPr>
        <w:t>环江毛南族自治县水果产业发展中心</w:t>
      </w:r>
      <w:r>
        <w:rPr>
          <w:rFonts w:hint="eastAsia" w:ascii="黑体" w:hAnsi="黑体" w:eastAsia="黑体" w:cs="黑体"/>
          <w:b/>
          <w:bCs/>
          <w:sz w:val="32"/>
          <w:szCs w:val="32"/>
          <w:highlight w:val="none"/>
        </w:rPr>
        <w:t>概况</w:t>
      </w:r>
    </w:p>
    <w:p>
      <w:pPr>
        <w:numPr>
          <w:ilvl w:val="0"/>
          <w:numId w:val="0"/>
        </w:numPr>
        <w:jc w:val="left"/>
        <w:rPr>
          <w:rFonts w:hint="eastAsia" w:ascii="黑体" w:hAnsi="黑体" w:eastAsia="黑体" w:cs="黑体"/>
          <w:sz w:val="32"/>
          <w:szCs w:val="32"/>
          <w:highlight w:val="none"/>
        </w:rPr>
      </w:pPr>
    </w:p>
    <w:p>
      <w:pPr>
        <w:numPr>
          <w:ilvl w:val="0"/>
          <w:numId w:val="0"/>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（一）认真贯彻国家、自治区和市有关水果生产及发展的政策。</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（二）负责全县水果生产发展规划、计划、实施方案的编写。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（三）重点落实已批准立项实施的水果生产项目和年度水果生产计划任务，为县人民政府提供水果生产信息。</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（四）负责全县水果生产技术指导、技术培训和技术咨询工作。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（五）负责引进、推广水果新品种和水果生产、加工新技术。</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（六）负责全县水果开发项目编写和评估论证及上报工作，并对上报项目进行跟踪，做好项目的落实。</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（七）调查研究、掌握水果产品流通信息，为产、供、销、加提供服务。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仿宋" w:hAnsi="仿宋" w:eastAsia="仿宋"/>
          <w:sz w:val="32"/>
          <w:szCs w:val="32"/>
        </w:rPr>
        <w:t>　 （八）承办自治县人民政府交办的其他事项。</w:t>
      </w:r>
      <w:r>
        <w:rPr>
          <w:rFonts w:hint="eastAsia" w:eastAsia="仿宋"/>
          <w:sz w:val="32"/>
          <w:szCs w:val="32"/>
        </w:rPr>
        <w:t> </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5"/>
        <w:rPr>
          <w:rFonts w:ascii="仿宋_GB2312" w:eastAsia="仿宋_GB2312"/>
          <w:sz w:val="32"/>
          <w:szCs w:val="32"/>
        </w:rPr>
      </w:pPr>
      <w:r>
        <w:rPr>
          <w:rFonts w:hint="eastAsia" w:ascii="仿宋_GB2312" w:eastAsia="仿宋_GB2312"/>
          <w:sz w:val="32"/>
          <w:szCs w:val="32"/>
        </w:rPr>
        <w:t>本部门是财政全额拨款的参照公务员管理的事业单位。内设机构：（1）秘书股；（2）生产技术股。</w:t>
      </w:r>
    </w:p>
    <w:p>
      <w:pPr>
        <w:ind w:firstLine="645"/>
        <w:rPr>
          <w:rFonts w:ascii="仿宋_GB2312" w:eastAsia="仿宋_GB2312"/>
          <w:b/>
          <w:sz w:val="32"/>
          <w:szCs w:val="32"/>
        </w:rPr>
      </w:pPr>
      <w:r>
        <w:rPr>
          <w:rFonts w:hint="eastAsia" w:ascii="仿宋_GB2312" w:eastAsia="仿宋_GB2312"/>
          <w:sz w:val="32"/>
          <w:szCs w:val="32"/>
        </w:rPr>
        <w:t>本部门人员编制总数为11人，其中事业编制11人。</w:t>
      </w:r>
      <w:r>
        <w:rPr>
          <w:rFonts w:hint="eastAsia" w:ascii="仿宋_GB2312" w:eastAsia="仿宋_GB2312"/>
          <w:sz w:val="32"/>
          <w:szCs w:val="32"/>
          <w:lang w:val="en-US" w:eastAsia="zh-CN"/>
        </w:rPr>
        <w:t>2022年末</w:t>
      </w:r>
      <w:r>
        <w:rPr>
          <w:rFonts w:hint="eastAsia" w:ascii="仿宋_GB2312" w:eastAsia="仿宋_GB2312"/>
          <w:sz w:val="32"/>
          <w:szCs w:val="32"/>
        </w:rPr>
        <w:t>实有财政供养人数</w:t>
      </w:r>
      <w:r>
        <w:rPr>
          <w:rFonts w:hint="eastAsia" w:ascii="仿宋_GB2312" w:eastAsia="仿宋_GB2312"/>
          <w:sz w:val="32"/>
          <w:szCs w:val="32"/>
          <w:lang w:val="en-US" w:eastAsia="zh-CN"/>
        </w:rPr>
        <w:t>7</w:t>
      </w:r>
      <w:r>
        <w:rPr>
          <w:rFonts w:hint="eastAsia" w:ascii="仿宋_GB2312" w:eastAsia="仿宋_GB2312"/>
          <w:sz w:val="32"/>
          <w:szCs w:val="32"/>
        </w:rPr>
        <w:t>人，其中事业在职</w:t>
      </w:r>
      <w:r>
        <w:rPr>
          <w:rFonts w:hint="eastAsia" w:ascii="仿宋_GB2312" w:eastAsia="仿宋_GB2312"/>
          <w:sz w:val="32"/>
          <w:szCs w:val="32"/>
          <w:lang w:val="en-US" w:eastAsia="zh-CN"/>
        </w:rPr>
        <w:t>7</w:t>
      </w:r>
      <w:r>
        <w:rPr>
          <w:rFonts w:hint="eastAsia" w:ascii="仿宋_GB2312" w:eastAsia="仿宋_GB2312"/>
          <w:sz w:val="32"/>
          <w:szCs w:val="32"/>
        </w:rPr>
        <w:t>人，政府购买服务人员1人</w:t>
      </w:r>
      <w:r>
        <w:rPr>
          <w:rFonts w:hint="eastAsia" w:ascii="仿宋_GB2312" w:eastAsia="仿宋_GB2312"/>
          <w:sz w:val="32"/>
          <w:szCs w:val="32"/>
          <w:lang w:eastAsia="zh-CN"/>
        </w:rPr>
        <w:t>，</w:t>
      </w:r>
      <w:r>
        <w:rPr>
          <w:rFonts w:hint="eastAsia" w:ascii="仿宋_GB2312" w:eastAsia="仿宋_GB2312"/>
          <w:sz w:val="32"/>
          <w:szCs w:val="32"/>
          <w:lang w:val="en-US" w:eastAsia="zh-CN"/>
        </w:rPr>
        <w:t>退休人员3人</w:t>
      </w:r>
      <w:r>
        <w:rPr>
          <w:rFonts w:hint="eastAsia" w:ascii="仿宋_GB2312" w:eastAsia="仿宋_GB2312"/>
          <w:sz w:val="32"/>
          <w:szCs w:val="32"/>
        </w:rPr>
        <w:t>。</w:t>
      </w:r>
    </w:p>
    <w:p>
      <w:pPr>
        <w:jc w:val="both"/>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环江毛南族自治县水果产业发展中心</w:t>
      </w:r>
      <w:r>
        <w:rPr>
          <w:rFonts w:hint="eastAsia" w:ascii="黑体" w:hAnsi="黑体" w:eastAsia="黑体" w:cs="黑体"/>
          <w:sz w:val="32"/>
          <w:szCs w:val="32"/>
          <w:highlight w:val="none"/>
        </w:rPr>
        <w:t>2022年度部门决算报表</w:t>
      </w: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tbl>
      <w:tblPr>
        <w:tblStyle w:val="6"/>
        <w:tblW w:w="14070" w:type="dxa"/>
        <w:tblInd w:w="0" w:type="dxa"/>
        <w:shd w:val="clear" w:color="auto" w:fill="auto"/>
        <w:tblLayout w:type="fixed"/>
        <w:tblCellMar>
          <w:top w:w="0" w:type="dxa"/>
          <w:left w:w="0" w:type="dxa"/>
          <w:bottom w:w="0" w:type="dxa"/>
          <w:right w:w="0" w:type="dxa"/>
        </w:tblCellMar>
      </w:tblPr>
      <w:tblGrid>
        <w:gridCol w:w="5127"/>
        <w:gridCol w:w="915"/>
        <w:gridCol w:w="1320"/>
        <w:gridCol w:w="4325"/>
        <w:gridCol w:w="589"/>
        <w:gridCol w:w="1794"/>
      </w:tblGrid>
      <w:tr>
        <w:tblPrEx>
          <w:tblCellMar>
            <w:top w:w="0" w:type="dxa"/>
            <w:left w:w="0" w:type="dxa"/>
            <w:bottom w:w="0" w:type="dxa"/>
            <w:right w:w="0" w:type="dxa"/>
          </w:tblCellMar>
        </w:tblPrEx>
        <w:trPr>
          <w:trHeight w:val="390" w:hRule="atLeast"/>
        </w:trPr>
        <w:tc>
          <w:tcPr>
            <w:tcW w:w="1407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shd w:val="clear" w:color="auto" w:fill="auto"/>
          <w:tblCellMar>
            <w:top w:w="0" w:type="dxa"/>
            <w:left w:w="0" w:type="dxa"/>
            <w:bottom w:w="0" w:type="dxa"/>
            <w:right w:w="0" w:type="dxa"/>
          </w:tblCellMar>
        </w:tblPrEx>
        <w:trPr>
          <w:trHeight w:val="255" w:hRule="atLeast"/>
        </w:trPr>
        <w:tc>
          <w:tcPr>
            <w:tcW w:w="5127"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432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589"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7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trHeight w:val="255" w:hRule="atLeast"/>
        </w:trPr>
        <w:tc>
          <w:tcPr>
            <w:tcW w:w="51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部门：广西河池市环江毛南族自治县水果产业发展中心</w:t>
            </w:r>
          </w:p>
        </w:tc>
        <w:tc>
          <w:tcPr>
            <w:tcW w:w="91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432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589"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7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7362"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708"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9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9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527.22</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12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43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7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r>
      <w:tr>
        <w:tblPrEx>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tblPrEx>
          <w:shd w:val="clear" w:color="auto" w:fill="auto"/>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rPr>
          <w:rFonts w:ascii="宋体" w:hAnsi="宋体" w:eastAsia="宋体" w:cs="宋体"/>
          <w:color w:val="000000"/>
          <w:kern w:val="0"/>
          <w:sz w:val="30"/>
          <w:szCs w:val="30"/>
          <w:highlight w:val="none"/>
          <w:lang w:bidi="ar"/>
        </w:rPr>
      </w:pPr>
    </w:p>
    <w:tbl>
      <w:tblPr>
        <w:tblStyle w:val="6"/>
        <w:tblW w:w="13988" w:type="dxa"/>
        <w:tblInd w:w="0" w:type="dxa"/>
        <w:shd w:val="clear" w:color="auto" w:fill="auto"/>
        <w:tblLayout w:type="fixed"/>
        <w:tblCellMar>
          <w:top w:w="0" w:type="dxa"/>
          <w:left w:w="0" w:type="dxa"/>
          <w:bottom w:w="0" w:type="dxa"/>
          <w:right w:w="0" w:type="dxa"/>
        </w:tblCellMar>
      </w:tblPr>
      <w:tblGrid>
        <w:gridCol w:w="1977"/>
        <w:gridCol w:w="435"/>
        <w:gridCol w:w="255"/>
        <w:gridCol w:w="3075"/>
        <w:gridCol w:w="1200"/>
        <w:gridCol w:w="1350"/>
        <w:gridCol w:w="1305"/>
        <w:gridCol w:w="1080"/>
        <w:gridCol w:w="975"/>
        <w:gridCol w:w="1200"/>
        <w:gridCol w:w="1136"/>
      </w:tblGrid>
      <w:tr>
        <w:tblPrEx>
          <w:shd w:val="clear" w:color="auto" w:fill="auto"/>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shd w:val="clear" w:color="auto" w:fill="auto"/>
          <w:tblCellMar>
            <w:top w:w="0" w:type="dxa"/>
            <w:left w:w="0" w:type="dxa"/>
            <w:bottom w:w="0" w:type="dxa"/>
            <w:right w:w="0" w:type="dxa"/>
          </w:tblCellMar>
        </w:tblPrEx>
        <w:trPr>
          <w:trHeight w:val="255" w:hRule="atLeast"/>
        </w:trPr>
        <w:tc>
          <w:tcPr>
            <w:tcW w:w="1977"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4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5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307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shd w:val="clear" w:color="auto" w:fill="auto"/>
          <w:tblCellMar>
            <w:top w:w="0" w:type="dxa"/>
            <w:left w:w="0" w:type="dxa"/>
            <w:bottom w:w="0" w:type="dxa"/>
            <w:right w:w="0" w:type="dxa"/>
          </w:tblCellMar>
        </w:tblPrEx>
        <w:trPr>
          <w:trHeight w:val="255" w:hRule="atLeast"/>
        </w:trPr>
        <w:tc>
          <w:tcPr>
            <w:tcW w:w="5742"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部门：广西河池市环江毛南族自治县水果产业发展中心</w:t>
            </w:r>
          </w:p>
        </w:tc>
        <w:tc>
          <w:tcPr>
            <w:tcW w:w="120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5742"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3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30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2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1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08" w:hRule="atLeast"/>
        </w:trPr>
        <w:tc>
          <w:tcPr>
            <w:tcW w:w="2667"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075"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66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07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66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07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74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08" w:hRule="atLeast"/>
        </w:trPr>
        <w:tc>
          <w:tcPr>
            <w:tcW w:w="574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571.39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571.39</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527.22</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91.62</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91.62</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巩固脱贫衔接乡村振兴</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435.60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435.60</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135.60</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生产发展</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2532"/>
        <w:gridCol w:w="1765"/>
        <w:gridCol w:w="90"/>
        <w:gridCol w:w="90"/>
        <w:gridCol w:w="1715"/>
        <w:gridCol w:w="1320"/>
        <w:gridCol w:w="1185"/>
        <w:gridCol w:w="1260"/>
        <w:gridCol w:w="1215"/>
        <w:gridCol w:w="1331"/>
        <w:gridCol w:w="1485"/>
      </w:tblGrid>
      <w:tr>
        <w:tblPrEx>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shd w:val="clear" w:color="auto" w:fill="auto"/>
          <w:tblCellMar>
            <w:top w:w="0" w:type="dxa"/>
            <w:left w:w="0" w:type="dxa"/>
            <w:bottom w:w="0" w:type="dxa"/>
            <w:right w:w="0" w:type="dxa"/>
          </w:tblCellMar>
        </w:tblPrEx>
        <w:trPr>
          <w:trHeight w:val="255" w:hRule="atLeast"/>
        </w:trPr>
        <w:tc>
          <w:tcPr>
            <w:tcW w:w="429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71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8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1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3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trHeight w:val="255" w:hRule="atLeast"/>
        </w:trPr>
        <w:tc>
          <w:tcPr>
            <w:tcW w:w="6192"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部门：广西河池市环江毛南族自治县水果产业发展中心</w:t>
            </w:r>
          </w:p>
        </w:tc>
        <w:tc>
          <w:tcPr>
            <w:tcW w:w="132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8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1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3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6192"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2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8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6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21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33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8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8" w:hRule="atLeast"/>
        </w:trPr>
        <w:tc>
          <w:tcPr>
            <w:tcW w:w="253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660" w:type="dxa"/>
            <w:gridSpan w:val="4"/>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53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66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53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66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192"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6192"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571.39</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125.66</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445.73</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527.22</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81.49</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445.73</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91.62</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81.49</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10.13</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91.62</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81.49</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10.13</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巩固脱贫衔接乡村振兴</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435.60</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435.60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135.60</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生产发展</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4036"/>
        <w:gridCol w:w="471"/>
        <w:gridCol w:w="1336"/>
        <w:gridCol w:w="3060"/>
        <w:gridCol w:w="472"/>
        <w:gridCol w:w="690"/>
        <w:gridCol w:w="1337"/>
        <w:gridCol w:w="1081"/>
        <w:gridCol w:w="1505"/>
      </w:tblGrid>
      <w:tr>
        <w:tblPrEx>
          <w:shd w:val="clear" w:color="auto" w:fill="auto"/>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255" w:hRule="atLeast"/>
        </w:trPr>
        <w:tc>
          <w:tcPr>
            <w:tcW w:w="4036"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47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36"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306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472"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69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37"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08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50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shd w:val="clear" w:color="auto" w:fill="auto"/>
          <w:tblCellMar>
            <w:top w:w="0" w:type="dxa"/>
            <w:left w:w="0" w:type="dxa"/>
            <w:bottom w:w="0" w:type="dxa"/>
            <w:right w:w="0" w:type="dxa"/>
          </w:tblCellMar>
        </w:tblPrEx>
        <w:trPr>
          <w:trHeight w:val="255" w:hRule="atLeast"/>
        </w:trPr>
        <w:tc>
          <w:tcPr>
            <w:tcW w:w="5843"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部门：广西河池市环江毛南族自治县水果产业发展中心</w:t>
            </w:r>
          </w:p>
        </w:tc>
        <w:tc>
          <w:tcPr>
            <w:tcW w:w="306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472"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69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337"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08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50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584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145"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292" w:hRule="atLeast"/>
        </w:trPr>
        <w:tc>
          <w:tcPr>
            <w:tcW w:w="40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0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5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615" w:hRule="atLeast"/>
        </w:trPr>
        <w:tc>
          <w:tcPr>
            <w:tcW w:w="40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0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527.22</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527.22</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03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30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1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571.39</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2483"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05"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Style w:val="6"/>
        <w:tblW w:w="14138" w:type="dxa"/>
        <w:tblInd w:w="0" w:type="dxa"/>
        <w:shd w:val="clear" w:color="auto" w:fill="auto"/>
        <w:tblLayout w:type="fixed"/>
        <w:tblCellMar>
          <w:top w:w="0" w:type="dxa"/>
          <w:left w:w="0" w:type="dxa"/>
          <w:bottom w:w="0" w:type="dxa"/>
          <w:right w:w="0" w:type="dxa"/>
        </w:tblCellMar>
      </w:tblPr>
      <w:tblGrid>
        <w:gridCol w:w="5082"/>
        <w:gridCol w:w="240"/>
        <w:gridCol w:w="285"/>
        <w:gridCol w:w="3630"/>
        <w:gridCol w:w="1515"/>
        <w:gridCol w:w="784"/>
        <w:gridCol w:w="731"/>
        <w:gridCol w:w="168"/>
        <w:gridCol w:w="1553"/>
        <w:gridCol w:w="150"/>
      </w:tblGrid>
      <w:tr>
        <w:tblPrEx>
          <w:shd w:val="clear" w:color="auto" w:fill="auto"/>
          <w:tblCellMar>
            <w:top w:w="0" w:type="dxa"/>
            <w:left w:w="0" w:type="dxa"/>
            <w:bottom w:w="0" w:type="dxa"/>
            <w:right w:w="0" w:type="dxa"/>
          </w:tblCellMar>
        </w:tblPrEx>
        <w:trPr>
          <w:gridAfter w:val="1"/>
          <w:wAfter w:w="150" w:type="dxa"/>
          <w:trHeight w:val="39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5082"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8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514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784"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99"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70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trPr>
        <w:tc>
          <w:tcPr>
            <w:tcW w:w="508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部门：广西河池市环江毛南族自治县水果产业发展中心</w:t>
            </w:r>
          </w:p>
        </w:tc>
        <w:tc>
          <w:tcPr>
            <w:tcW w:w="24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8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514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784"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99"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70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gridAfter w:val="1"/>
          <w:wAfter w:w="150" w:type="dxa"/>
          <w:trHeight w:val="308" w:hRule="atLeast"/>
        </w:trPr>
        <w:tc>
          <w:tcPr>
            <w:tcW w:w="9237"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51"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915" w:type="dxa"/>
            <w:gridSpan w:val="2"/>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1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2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gridAfter w:val="1"/>
          <w:wAfter w:w="150" w:type="dxa"/>
          <w:trHeight w:val="277" w:hRule="atLeast"/>
        </w:trPr>
        <w:tc>
          <w:tcPr>
            <w:tcW w:w="532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15"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1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2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15"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1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2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308" w:hRule="atLeast"/>
        </w:trPr>
        <w:tc>
          <w:tcPr>
            <w:tcW w:w="9237"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2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gridAfter w:val="1"/>
          <w:wAfter w:w="150" w:type="dxa"/>
          <w:trHeight w:val="308" w:hRule="atLeast"/>
        </w:trPr>
        <w:tc>
          <w:tcPr>
            <w:tcW w:w="9237"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571.39</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125.66</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445.73</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527.22</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81.49</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445.73</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91.62</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81.49</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10.13</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91.62</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81.49</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10.13</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巩固脱贫衔接乡村振兴</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435.60</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435.60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135.60</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生产发展</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50" w:type="dxa"/>
          <w:trHeight w:val="308" w:hRule="atLeast"/>
        </w:trPr>
        <w:tc>
          <w:tcPr>
            <w:tcW w:w="532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9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5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17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150" w:type="dxa"/>
          <w:trHeight w:val="308"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r>
        <w:tblPrEx>
          <w:tblCellMar>
            <w:top w:w="0" w:type="dxa"/>
            <w:left w:w="0" w:type="dxa"/>
            <w:bottom w:w="0" w:type="dxa"/>
            <w:right w:w="0" w:type="dxa"/>
          </w:tblCellMar>
        </w:tblPrEx>
        <w:trPr>
          <w:trHeight w:val="255" w:hRule="atLeast"/>
        </w:trPr>
        <w:tc>
          <w:tcPr>
            <w:tcW w:w="5082"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8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514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784"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99"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70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r>
    </w:tbl>
    <w:p>
      <w:pPr>
        <w:jc w:val="left"/>
        <w:rPr>
          <w:rFonts w:hint="eastAsia"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2112"/>
        <w:gridCol w:w="1755"/>
        <w:gridCol w:w="1230"/>
        <w:gridCol w:w="1275"/>
        <w:gridCol w:w="1830"/>
        <w:gridCol w:w="1141"/>
        <w:gridCol w:w="1154"/>
        <w:gridCol w:w="2530"/>
        <w:gridCol w:w="961"/>
      </w:tblGrid>
      <w:tr>
        <w:tblPrEx>
          <w:shd w:val="clear" w:color="auto" w:fill="auto"/>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一般公共预算财政拨款基本支出决算明细表</w:t>
            </w:r>
          </w:p>
        </w:tc>
      </w:tr>
      <w:tr>
        <w:tblPrEx>
          <w:shd w:val="clear" w:color="auto" w:fill="auto"/>
          <w:tblCellMar>
            <w:top w:w="0" w:type="dxa"/>
            <w:left w:w="0" w:type="dxa"/>
            <w:bottom w:w="0" w:type="dxa"/>
            <w:right w:w="0" w:type="dxa"/>
          </w:tblCellMar>
        </w:tblPrEx>
        <w:trPr>
          <w:trHeight w:val="255" w:hRule="atLeast"/>
        </w:trPr>
        <w:tc>
          <w:tcPr>
            <w:tcW w:w="2112"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175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83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4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54"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53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shd w:val="clear" w:color="auto" w:fill="auto"/>
          <w:tblCellMar>
            <w:top w:w="0" w:type="dxa"/>
            <w:left w:w="0" w:type="dxa"/>
            <w:bottom w:w="0" w:type="dxa"/>
            <w:right w:w="0" w:type="dxa"/>
          </w:tblCellMar>
        </w:tblPrEx>
        <w:trPr>
          <w:trHeight w:val="255" w:hRule="atLeast"/>
        </w:trPr>
        <w:tc>
          <w:tcPr>
            <w:tcW w:w="386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部门：广西河池市环江毛南族自治县水果产业发展中心</w:t>
            </w:r>
          </w:p>
        </w:tc>
        <w:tc>
          <w:tcPr>
            <w:tcW w:w="123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83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4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54"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53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5097"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891"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08" w:hRule="atLeast"/>
        </w:trPr>
        <w:tc>
          <w:tcPr>
            <w:tcW w:w="211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7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2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1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5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6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211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5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113.98</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32.32</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0.92</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17.63</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34.94</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0.19</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11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7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8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5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8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116.49</w:t>
            </w:r>
          </w:p>
        </w:tc>
        <w:tc>
          <w:tcPr>
            <w:tcW w:w="793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w:t>
            </w:r>
          </w:p>
        </w:tc>
      </w:tr>
      <w:tr>
        <w:tblPrEx>
          <w:tblCellMar>
            <w:top w:w="0" w:type="dxa"/>
            <w:left w:w="0" w:type="dxa"/>
            <w:bottom w:w="0" w:type="dxa"/>
            <w:right w:w="0" w:type="dxa"/>
          </w:tblCellMar>
        </w:tblPrEx>
        <w:trPr>
          <w:trHeight w:val="308"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tbl>
      <w:tblPr>
        <w:tblStyle w:val="6"/>
        <w:tblW w:w="13988" w:type="dxa"/>
        <w:tblInd w:w="0" w:type="dxa"/>
        <w:shd w:val="clear" w:color="auto" w:fill="auto"/>
        <w:tblLayout w:type="fixed"/>
        <w:tblCellMar>
          <w:top w:w="0" w:type="dxa"/>
          <w:left w:w="0" w:type="dxa"/>
          <w:bottom w:w="0" w:type="dxa"/>
          <w:right w:w="0" w:type="dxa"/>
        </w:tblCellMar>
      </w:tblPr>
      <w:tblGrid>
        <w:gridCol w:w="4503"/>
        <w:gridCol w:w="67"/>
        <w:gridCol w:w="23"/>
        <w:gridCol w:w="90"/>
        <w:gridCol w:w="848"/>
        <w:gridCol w:w="1401"/>
        <w:gridCol w:w="1400"/>
        <w:gridCol w:w="1401"/>
        <w:gridCol w:w="1401"/>
        <w:gridCol w:w="1401"/>
        <w:gridCol w:w="1453"/>
      </w:tblGrid>
      <w:tr>
        <w:tblPrEx>
          <w:shd w:val="clear" w:color="auto" w:fill="auto"/>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trPr>
        <w:tc>
          <w:tcPr>
            <w:tcW w:w="4503"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48"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255" w:hRule="atLeast"/>
        </w:trPr>
        <w:tc>
          <w:tcPr>
            <w:tcW w:w="6932"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部门：广西河池市环江毛南族自治县水果产业发展中心</w:t>
            </w:r>
          </w:p>
        </w:tc>
        <w:tc>
          <w:tcPr>
            <w:tcW w:w="140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5531"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4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20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45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4570"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961" w:type="dxa"/>
            <w:gridSpan w:val="3"/>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57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61"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57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61"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531"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5531"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w:t>
            </w:r>
          </w:p>
        </w:tc>
      </w:tr>
      <w:tr>
        <w:tblPrEx>
          <w:shd w:val="clear" w:color="auto" w:fill="auto"/>
          <w:tblCellMar>
            <w:top w:w="0" w:type="dxa"/>
            <w:left w:w="0" w:type="dxa"/>
            <w:bottom w:w="0" w:type="dxa"/>
            <w:right w:w="0" w:type="dxa"/>
          </w:tblCellMar>
        </w:tblPrEx>
        <w:trPr>
          <w:trHeight w:val="308" w:hRule="atLeast"/>
        </w:trPr>
        <w:tc>
          <w:tcPr>
            <w:tcW w:w="457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6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57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96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6783"/>
        <w:gridCol w:w="90"/>
        <w:gridCol w:w="11"/>
        <w:gridCol w:w="79"/>
        <w:gridCol w:w="1278"/>
        <w:gridCol w:w="1863"/>
        <w:gridCol w:w="1604"/>
        <w:gridCol w:w="2280"/>
      </w:tblGrid>
      <w:tr>
        <w:tblPrEx>
          <w:shd w:val="clear" w:color="auto" w:fill="auto"/>
          <w:tblCellMar>
            <w:top w:w="0" w:type="dxa"/>
            <w:left w:w="0" w:type="dxa"/>
            <w:bottom w:w="0" w:type="dxa"/>
            <w:right w:w="0" w:type="dxa"/>
          </w:tblCellMar>
        </w:tblPrEx>
        <w:trPr>
          <w:trHeight w:val="390" w:hRule="atLeast"/>
        </w:trPr>
        <w:tc>
          <w:tcPr>
            <w:tcW w:w="1398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255" w:hRule="atLeast"/>
        </w:trPr>
        <w:tc>
          <w:tcPr>
            <w:tcW w:w="6783"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78"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604"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2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255" w:hRule="atLeast"/>
        </w:trPr>
        <w:tc>
          <w:tcPr>
            <w:tcW w:w="678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部门：广西河池市环江毛南族自治县水果产业发展中心</w:t>
            </w:r>
          </w:p>
        </w:tc>
        <w:tc>
          <w:tcPr>
            <w:tcW w:w="9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278"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604"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2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8241"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4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6884"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357" w:type="dxa"/>
            <w:gridSpan w:val="2"/>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2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308" w:hRule="atLeast"/>
        </w:trPr>
        <w:tc>
          <w:tcPr>
            <w:tcW w:w="6884"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57"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884"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57"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241"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8241"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w:t>
            </w:r>
          </w:p>
        </w:tc>
        <w:tc>
          <w:tcPr>
            <w:tcW w:w="1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w:t>
            </w:r>
          </w:p>
        </w:tc>
        <w:tc>
          <w:tcPr>
            <w:tcW w:w="22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6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3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22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tbl>
      <w:tblPr>
        <w:tblStyle w:val="6"/>
        <w:tblW w:w="13988" w:type="dxa"/>
        <w:tblInd w:w="0" w:type="dxa"/>
        <w:shd w:val="clear" w:color="auto" w:fill="auto"/>
        <w:tblLayout w:type="fixed"/>
        <w:tblCellMar>
          <w:top w:w="0" w:type="dxa"/>
          <w:left w:w="0" w:type="dxa"/>
          <w:bottom w:w="0" w:type="dxa"/>
          <w:right w:w="0" w:type="dxa"/>
        </w:tblCellMar>
      </w:tblPr>
      <w:tblGrid>
        <w:gridCol w:w="3417"/>
        <w:gridCol w:w="1320"/>
        <w:gridCol w:w="945"/>
        <w:gridCol w:w="960"/>
        <w:gridCol w:w="921"/>
        <w:gridCol w:w="835"/>
        <w:gridCol w:w="835"/>
        <w:gridCol w:w="1068"/>
        <w:gridCol w:w="835"/>
        <w:gridCol w:w="835"/>
        <w:gridCol w:w="835"/>
        <w:gridCol w:w="1182"/>
      </w:tblGrid>
      <w:tr>
        <w:tblPrEx>
          <w:shd w:val="clear" w:color="auto" w:fill="auto"/>
          <w:tblCellMar>
            <w:top w:w="0" w:type="dxa"/>
            <w:left w:w="0" w:type="dxa"/>
            <w:bottom w:w="0" w:type="dxa"/>
            <w:right w:w="0" w:type="dxa"/>
          </w:tblCellMar>
        </w:tblPrEx>
        <w:trPr>
          <w:trHeight w:val="540" w:hRule="atLeast"/>
        </w:trPr>
        <w:tc>
          <w:tcPr>
            <w:tcW w:w="13988"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财政拨款“三公”经费支出决算表</w:t>
            </w:r>
          </w:p>
        </w:tc>
      </w:tr>
      <w:tr>
        <w:tblPrEx>
          <w:shd w:val="clear" w:color="auto" w:fill="auto"/>
          <w:tblCellMar>
            <w:top w:w="0" w:type="dxa"/>
            <w:left w:w="0" w:type="dxa"/>
            <w:bottom w:w="0" w:type="dxa"/>
            <w:right w:w="0" w:type="dxa"/>
          </w:tblCellMar>
        </w:tblPrEx>
        <w:trPr>
          <w:trHeight w:val="255" w:hRule="atLeast"/>
        </w:trPr>
        <w:tc>
          <w:tcPr>
            <w:tcW w:w="3417"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2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068"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8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shd w:val="clear" w:color="auto" w:fill="auto"/>
          <w:tblCellMar>
            <w:top w:w="0" w:type="dxa"/>
            <w:left w:w="0" w:type="dxa"/>
            <w:bottom w:w="0" w:type="dxa"/>
            <w:right w:w="0" w:type="dxa"/>
          </w:tblCellMar>
        </w:tblPrEx>
        <w:trPr>
          <w:trHeight w:val="255" w:hRule="atLeast"/>
        </w:trPr>
        <w:tc>
          <w:tcPr>
            <w:tcW w:w="568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部门：广西河池市环江毛南族自治县水果产业发展中心</w:t>
            </w:r>
          </w:p>
        </w:tc>
        <w:tc>
          <w:tcPr>
            <w:tcW w:w="96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921"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068"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201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8398"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559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341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826"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8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8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505"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615" w:hRule="atLeast"/>
        </w:trPr>
        <w:tc>
          <w:tcPr>
            <w:tcW w:w="341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417"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6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308" w:hRule="atLeast"/>
        </w:trPr>
        <w:tc>
          <w:tcPr>
            <w:tcW w:w="34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r>
      <w:tr>
        <w:tblPrEx>
          <w:shd w:val="clear" w:color="auto" w:fill="auto"/>
          <w:tblCellMar>
            <w:top w:w="0" w:type="dxa"/>
            <w:left w:w="0" w:type="dxa"/>
            <w:bottom w:w="0" w:type="dxa"/>
            <w:right w:w="0" w:type="dxa"/>
          </w:tblCellMar>
        </w:tblPrEx>
        <w:trPr>
          <w:trHeight w:val="615" w:hRule="atLeast"/>
        </w:trPr>
        <w:tc>
          <w:tcPr>
            <w:tcW w:w="1398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hint="eastAsia" w:ascii="黑体" w:hAnsi="黑体" w:eastAsia="黑体" w:cs="黑体"/>
          <w:b/>
          <w:bCs/>
          <w:sz w:val="36"/>
          <w:szCs w:val="36"/>
          <w:u w:color="auto"/>
          <w:lang w:val="en-US" w:eastAsia="zh-CN"/>
        </w:rPr>
      </w:pPr>
      <w:r>
        <w:rPr>
          <w:rFonts w:hint="eastAsia" w:ascii="黑体" w:hAnsi="黑体" w:eastAsia="黑体" w:cs="黑体"/>
          <w:b/>
          <w:bCs/>
          <w:sz w:val="36"/>
          <w:szCs w:val="36"/>
          <w:highlight w:val="none"/>
        </w:rPr>
        <w:t>第三部分：</w:t>
      </w:r>
      <w:r>
        <w:rPr>
          <w:rFonts w:hint="eastAsia" w:ascii="黑体" w:hAnsi="黑体" w:eastAsia="黑体" w:cs="黑体"/>
          <w:b/>
          <w:bCs/>
          <w:sz w:val="36"/>
          <w:szCs w:val="36"/>
          <w:u w:color="auto"/>
          <w:lang w:val="en-US" w:eastAsia="zh-CN"/>
        </w:rPr>
        <w:t>环江毛南族自治县水果产业发展中心</w:t>
      </w:r>
    </w:p>
    <w:p>
      <w:pPr>
        <w:jc w:val="center"/>
        <w:rPr>
          <w:rFonts w:ascii="仿宋" w:hAnsi="仿宋" w:eastAsia="仿宋" w:cs="仿宋"/>
          <w:b/>
          <w:bCs/>
          <w:sz w:val="36"/>
          <w:szCs w:val="36"/>
          <w:highlight w:val="none"/>
        </w:rPr>
      </w:pPr>
      <w:r>
        <w:rPr>
          <w:rFonts w:hint="eastAsia" w:ascii="黑体" w:hAnsi="黑体" w:eastAsia="黑体" w:cs="黑体"/>
          <w:b/>
          <w:bCs/>
          <w:sz w:val="36"/>
          <w:szCs w:val="36"/>
          <w:u w:color="auto"/>
          <w:lang w:val="en-US" w:eastAsia="zh-CN"/>
        </w:rPr>
        <w:t xml:space="preserve">  </w:t>
      </w:r>
      <w:r>
        <w:rPr>
          <w:rFonts w:hint="eastAsia" w:ascii="黑体" w:hAnsi="黑体" w:eastAsia="黑体" w:cs="黑体"/>
          <w:b/>
          <w:bCs/>
          <w:sz w:val="36"/>
          <w:szCs w:val="36"/>
          <w:highlight w:val="none"/>
        </w:rPr>
        <w:t>2022年度部门决算情况说明</w:t>
      </w: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（一）20</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年度总收入</w:t>
      </w:r>
      <w:r>
        <w:rPr>
          <w:rFonts w:hint="eastAsia" w:ascii="仿宋" w:hAnsi="仿宋" w:eastAsia="仿宋" w:cs="仿宋"/>
          <w:kern w:val="0"/>
          <w:sz w:val="32"/>
          <w:szCs w:val="32"/>
          <w:lang w:val="en-US" w:eastAsia="zh-CN"/>
        </w:rPr>
        <w:t>571.39万元</w:t>
      </w:r>
      <w:r>
        <w:rPr>
          <w:rFonts w:hint="eastAsia" w:ascii="仿宋" w:hAnsi="仿宋" w:eastAsia="仿宋" w:cs="仿宋"/>
          <w:kern w:val="0"/>
          <w:sz w:val="32"/>
          <w:szCs w:val="32"/>
        </w:rPr>
        <w:t xml:space="preserve"> ，其中本年收入</w:t>
      </w:r>
      <w:r>
        <w:rPr>
          <w:rFonts w:hint="eastAsia" w:ascii="仿宋" w:hAnsi="仿宋" w:eastAsia="仿宋" w:cs="仿宋"/>
          <w:kern w:val="0"/>
          <w:sz w:val="32"/>
          <w:szCs w:val="32"/>
          <w:lang w:val="en-US" w:eastAsia="zh-CN"/>
        </w:rPr>
        <w:t>571.39万元</w:t>
      </w:r>
      <w:r>
        <w:rPr>
          <w:rFonts w:hint="eastAsia" w:ascii="仿宋" w:hAnsi="仿宋" w:eastAsia="仿宋" w:cs="仿宋"/>
          <w:kern w:val="0"/>
          <w:sz w:val="32"/>
          <w:szCs w:val="32"/>
        </w:rPr>
        <w:t>, 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增加370.72</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增长184.74</w:t>
      </w:r>
      <w:r>
        <w:rPr>
          <w:rFonts w:hint="eastAsia" w:ascii="仿宋" w:hAnsi="仿宋" w:eastAsia="仿宋" w:cs="仿宋"/>
          <w:kern w:val="0"/>
          <w:sz w:val="32"/>
          <w:szCs w:val="32"/>
        </w:rPr>
        <w:t>%。收入具体情况如下: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 w:hAnsi="仿宋" w:eastAsia="仿宋" w:cs="仿宋"/>
          <w:bCs/>
          <w:kern w:val="0"/>
          <w:sz w:val="32"/>
          <w:szCs w:val="32"/>
        </w:rPr>
        <w:t>1</w:t>
      </w:r>
      <w:r>
        <w:rPr>
          <w:rFonts w:hint="eastAsia" w:ascii="仿宋" w:hAnsi="仿宋" w:eastAsia="仿宋" w:cs="仿宋"/>
          <w:kern w:val="0"/>
          <w:sz w:val="32"/>
          <w:szCs w:val="32"/>
        </w:rPr>
        <w:t>.财政拨款收入</w:t>
      </w:r>
      <w:r>
        <w:rPr>
          <w:rFonts w:hint="eastAsia" w:ascii="仿宋" w:hAnsi="仿宋" w:eastAsia="仿宋" w:cs="仿宋"/>
          <w:kern w:val="0"/>
          <w:sz w:val="32"/>
          <w:szCs w:val="32"/>
          <w:lang w:val="en-US" w:eastAsia="zh-CN"/>
        </w:rPr>
        <w:t>571.39万元</w:t>
      </w:r>
      <w:r>
        <w:rPr>
          <w:rFonts w:hint="eastAsia" w:ascii="仿宋" w:hAnsi="仿宋" w:eastAsia="仿宋" w:cs="仿宋"/>
          <w:kern w:val="0"/>
          <w:sz w:val="32"/>
          <w:szCs w:val="32"/>
        </w:rPr>
        <w:t>，为</w:t>
      </w:r>
      <w:r>
        <w:rPr>
          <w:rFonts w:hint="eastAsia" w:ascii="仿宋" w:hAnsi="仿宋" w:eastAsia="仿宋" w:cs="仿宋"/>
          <w:kern w:val="0"/>
          <w:sz w:val="32"/>
          <w:szCs w:val="32"/>
          <w:lang w:val="en-US" w:eastAsia="zh-CN"/>
        </w:rPr>
        <w:t>环江县</w:t>
      </w:r>
      <w:r>
        <w:rPr>
          <w:rFonts w:hint="eastAsia" w:ascii="仿宋" w:hAnsi="仿宋" w:eastAsia="仿宋" w:cs="仿宋"/>
          <w:kern w:val="0"/>
          <w:sz w:val="32"/>
          <w:szCs w:val="32"/>
        </w:rPr>
        <w:t>本级财政当年拨付的资金。较</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增加370.72</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增长184.74</w:t>
      </w:r>
      <w:r>
        <w:rPr>
          <w:rFonts w:hint="eastAsia" w:ascii="仿宋" w:hAnsi="仿宋" w:eastAsia="仿宋" w:cs="仿宋"/>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上级补助资金收入增加</w:t>
      </w:r>
      <w:r>
        <w:rPr>
          <w:rFonts w:hint="eastAsia" w:ascii="仿宋_GB2312" w:eastAsia="仿宋_GB2312" w:cs="仿宋_GB2312"/>
          <w:kern w:val="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 w:hAnsi="仿宋" w:eastAsia="仿宋" w:cs="仿宋"/>
          <w:kern w:val="0"/>
          <w:sz w:val="32"/>
          <w:szCs w:val="32"/>
          <w:lang w:val="en-US" w:eastAsia="zh-CN"/>
        </w:rPr>
        <w:t>环江县</w:t>
      </w:r>
      <w:r>
        <w:rPr>
          <w:rFonts w:hint="eastAsia" w:ascii="仿宋_GB2312" w:eastAsia="仿宋_GB2312" w:cs="仿宋_GB2312"/>
          <w:kern w:val="0"/>
          <w:sz w:val="32"/>
          <w:szCs w:val="32"/>
        </w:rPr>
        <w:t>本级财政当年拨付的资金。</w:t>
      </w:r>
      <w:r>
        <w:rPr>
          <w:rFonts w:hint="eastAsia" w:ascii="仿宋" w:hAnsi="仿宋" w:eastAsia="仿宋" w:cs="仿宋"/>
          <w:kern w:val="2"/>
          <w:sz w:val="32"/>
          <w:szCs w:val="32"/>
          <w:highlight w:val="none"/>
          <w:lang w:val="en-US" w:eastAsia="zh-CN" w:bidi="ar"/>
        </w:rPr>
        <w:t>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kern w:val="0"/>
          <w:sz w:val="32"/>
          <w:szCs w:val="32"/>
          <w:lang w:val="en-US"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w:t>
      </w:r>
      <w:r>
        <w:rPr>
          <w:rFonts w:hint="eastAsia" w:ascii="仿宋_GB2312" w:eastAsia="仿宋_GB2312" w:cs="仿宋_GB2312"/>
          <w:kern w:val="0"/>
          <w:sz w:val="32"/>
          <w:szCs w:val="32"/>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主要原因：跨年度实施的</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lang w:val="en-US" w:eastAsia="zh-CN"/>
        </w:rPr>
        <w:t>571.39</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571.39</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增加370.72</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增长184.74</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1.65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职工工会经费单位部分的支出。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增加0.81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增长96.43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主要原因是：本年度增加工会经费的支出预算。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11.77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机关事业单位基本养老保险缴费</w:t>
      </w:r>
      <w:r>
        <w:rPr>
          <w:rFonts w:hint="eastAsia" w:ascii="仿宋" w:hAnsi="仿宋" w:eastAsia="仿宋" w:cs="仿宋"/>
          <w:bCs/>
          <w:color w:val="333333"/>
          <w:sz w:val="32"/>
          <w:szCs w:val="32"/>
          <w:shd w:val="clear" w:color="auto" w:fill="FFFFFF"/>
          <w:lang w:val="en-US" w:eastAsia="zh-CN"/>
        </w:rPr>
        <w:t>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增加0.97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增长8.98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主要原因是：基数调增。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农林水</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527.22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kern w:val="0"/>
          <w:sz w:val="32"/>
          <w:szCs w:val="32"/>
        </w:rPr>
        <w:t>巩固脱贫衔接乡村振兴</w:t>
      </w:r>
      <w:r>
        <w:rPr>
          <w:rFonts w:hint="eastAsia" w:ascii="仿宋" w:hAnsi="仿宋" w:eastAsia="仿宋" w:cs="仿宋"/>
          <w:kern w:val="0"/>
          <w:sz w:val="32"/>
          <w:szCs w:val="32"/>
          <w:lang w:val="en-US" w:eastAsia="zh-CN"/>
        </w:rPr>
        <w:t>工作的</w:t>
      </w:r>
      <w:r>
        <w:rPr>
          <w:rFonts w:hint="eastAsia" w:ascii="仿宋" w:hAnsi="仿宋" w:eastAsia="仿宋" w:cs="仿宋"/>
          <w:bCs/>
          <w:kern w:val="0"/>
          <w:sz w:val="32"/>
          <w:szCs w:val="32"/>
        </w:rPr>
        <w:t>农村基础设施建设</w:t>
      </w:r>
      <w:r>
        <w:rPr>
          <w:rFonts w:hint="eastAsia" w:ascii="仿宋" w:hAnsi="仿宋" w:eastAsia="仿宋" w:cs="仿宋"/>
          <w:bCs/>
          <w:color w:val="333333"/>
          <w:sz w:val="32"/>
          <w:szCs w:val="32"/>
          <w:shd w:val="clear" w:color="auto" w:fill="FFFFFF"/>
        </w:rPr>
        <w:t>支出</w:t>
      </w:r>
      <w:r>
        <w:rPr>
          <w:rFonts w:hint="eastAsia" w:ascii="仿宋" w:hAnsi="仿宋" w:eastAsia="仿宋" w:cs="仿宋"/>
          <w:bCs/>
          <w:color w:val="333333"/>
          <w:sz w:val="32"/>
          <w:szCs w:val="32"/>
          <w:shd w:val="clear" w:color="auto" w:fill="FFFFFF"/>
          <w:lang w:eastAsia="zh-CN"/>
        </w:rPr>
        <w:t>、</w:t>
      </w:r>
      <w:r>
        <w:rPr>
          <w:rFonts w:hint="eastAsia" w:ascii="仿宋" w:hAnsi="仿宋" w:eastAsia="仿宋" w:cs="仿宋"/>
          <w:bCs/>
          <w:color w:val="333333"/>
          <w:sz w:val="32"/>
          <w:szCs w:val="32"/>
          <w:shd w:val="clear" w:color="auto" w:fill="FFFFFF"/>
        </w:rPr>
        <w:t>生产发展支出、以及</w:t>
      </w:r>
      <w:r>
        <w:rPr>
          <w:rFonts w:hint="eastAsia" w:ascii="仿宋" w:hAnsi="仿宋" w:eastAsia="仿宋" w:cs="仿宋"/>
          <w:bCs/>
          <w:color w:val="333333"/>
          <w:sz w:val="32"/>
          <w:szCs w:val="32"/>
          <w:shd w:val="clear" w:color="auto" w:fill="FFFFFF"/>
          <w:lang w:val="en-US" w:eastAsia="zh-CN"/>
        </w:rPr>
        <w:t>为</w:t>
      </w:r>
      <w:r>
        <w:rPr>
          <w:rFonts w:hint="eastAsia" w:ascii="仿宋" w:hAnsi="仿宋" w:eastAsia="仿宋" w:cs="仿宋"/>
          <w:bCs/>
          <w:color w:val="333333"/>
          <w:sz w:val="32"/>
          <w:szCs w:val="32"/>
          <w:shd w:val="clear" w:color="auto" w:fill="FFFFFF"/>
        </w:rPr>
        <w:t>确保</w:t>
      </w:r>
      <w:r>
        <w:rPr>
          <w:rFonts w:hint="eastAsia" w:ascii="仿宋" w:hAnsi="仿宋" w:eastAsia="仿宋" w:cs="仿宋"/>
          <w:kern w:val="0"/>
          <w:sz w:val="32"/>
          <w:szCs w:val="32"/>
        </w:rPr>
        <w:t>日常运转发生的基本支出。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增加367.27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增长229.62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主要原因是：上级补助安排的</w:t>
      </w:r>
      <w:r>
        <w:rPr>
          <w:rFonts w:hint="eastAsia" w:ascii="仿宋" w:hAnsi="仿宋" w:eastAsia="仿宋" w:cs="仿宋"/>
          <w:kern w:val="0"/>
          <w:sz w:val="32"/>
          <w:szCs w:val="32"/>
        </w:rPr>
        <w:t>巩固脱贫衔接乡村振兴支出，</w:t>
      </w:r>
      <w:r>
        <w:rPr>
          <w:rFonts w:hint="eastAsia" w:ascii="仿宋" w:hAnsi="仿宋" w:eastAsia="仿宋" w:cs="仿宋"/>
          <w:bCs/>
          <w:kern w:val="0"/>
          <w:sz w:val="32"/>
          <w:szCs w:val="32"/>
        </w:rPr>
        <w:t xml:space="preserve"> 农村基础设施建设</w:t>
      </w:r>
      <w:r>
        <w:rPr>
          <w:rFonts w:hint="eastAsia" w:ascii="仿宋" w:hAnsi="仿宋" w:eastAsia="仿宋" w:cs="仿宋"/>
          <w:bCs/>
          <w:color w:val="333333"/>
          <w:sz w:val="32"/>
          <w:szCs w:val="32"/>
          <w:shd w:val="clear" w:color="auto" w:fill="FFFFFF"/>
        </w:rPr>
        <w:t>支出，生产发展支出</w:t>
      </w:r>
      <w:r>
        <w:rPr>
          <w:rFonts w:hint="eastAsia" w:ascii="仿宋" w:hAnsi="仿宋" w:eastAsia="仿宋" w:cs="仿宋"/>
          <w:bCs/>
          <w:color w:val="333333"/>
          <w:sz w:val="32"/>
          <w:szCs w:val="32"/>
          <w:shd w:val="clear" w:color="auto" w:fill="FFFFFF"/>
          <w:lang w:val="en-US" w:eastAsia="zh-CN"/>
        </w:rPr>
        <w:t>补助资金增加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8.63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kern w:val="0"/>
          <w:sz w:val="32"/>
          <w:szCs w:val="32"/>
        </w:rPr>
        <w:t>按照国家政策规定向职工发放的住房公积金方面的支出</w:t>
      </w:r>
      <w:r>
        <w:rPr>
          <w:rFonts w:hint="eastAsia" w:ascii="仿宋" w:hAnsi="仿宋" w:eastAsia="仿宋" w:cs="仿宋"/>
          <w:kern w:val="0"/>
          <w:sz w:val="32"/>
          <w:szCs w:val="32"/>
          <w:lang w:eastAsia="zh-CN"/>
        </w:rPr>
        <w:t>。</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增加0.55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增长6.81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主要原因是：基数调增。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5.</w:t>
      </w:r>
      <w:r>
        <w:rPr>
          <w:rFonts w:hint="eastAsia" w:ascii="仿宋" w:hAnsi="仿宋" w:eastAsia="仿宋" w:cs="仿宋"/>
          <w:kern w:val="0"/>
          <w:sz w:val="32"/>
          <w:szCs w:val="32"/>
        </w:rPr>
        <w:t>其他支出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229类）22.13万元</w:t>
      </w:r>
      <w:r>
        <w:rPr>
          <w:rFonts w:hint="eastAsia" w:ascii="仿宋" w:hAnsi="仿宋" w:eastAsia="仿宋" w:cs="仿宋"/>
          <w:kern w:val="0"/>
          <w:sz w:val="32"/>
          <w:szCs w:val="32"/>
        </w:rPr>
        <w:t>，为按自治县规定评定的</w:t>
      </w:r>
      <w:r>
        <w:rPr>
          <w:rFonts w:hint="eastAsia" w:ascii="仿宋" w:hAnsi="仿宋" w:eastAsia="仿宋" w:cs="仿宋"/>
          <w:color w:val="333333"/>
          <w:sz w:val="31"/>
          <w:szCs w:val="31"/>
          <w:shd w:val="clear" w:color="auto" w:fill="FFFFFF"/>
        </w:rPr>
        <w:t>绩效考评奖、伙食补助</w:t>
      </w:r>
      <w:r>
        <w:rPr>
          <w:rFonts w:hint="eastAsia" w:ascii="仿宋" w:hAnsi="仿宋" w:eastAsia="仿宋" w:cs="仿宋"/>
          <w:kern w:val="0"/>
          <w:sz w:val="32"/>
          <w:szCs w:val="32"/>
        </w:rPr>
        <w:t>等支出。较20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增加1.13</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增长5.38</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2021年伙食补助费无支出及人员变动导致绩效考评奖支出增加</w:t>
      </w:r>
      <w:r>
        <w:rPr>
          <w:rFonts w:hint="eastAsia" w:ascii="仿宋" w:hAnsi="仿宋" w:eastAsia="仿宋" w:cs="仿宋"/>
          <w:kern w:val="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20" w:firstLineChars="200"/>
        <w:jc w:val="both"/>
        <w:textAlignment w:val="auto"/>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：本单位无此分配。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0" w:name="OLE_LINK1"/>
      <w:r>
        <w:rPr>
          <w:rFonts w:hint="eastAsia" w:ascii="黑体" w:hAnsi="黑体" w:eastAsia="黑体" w:cs="黑体"/>
          <w:sz w:val="32"/>
          <w:szCs w:val="32"/>
          <w:highlight w:val="none"/>
        </w:rPr>
        <w:t>一般公共预算财政拨款支出决算情况</w:t>
      </w:r>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仿宋"/>
          <w:sz w:val="32"/>
          <w:szCs w:val="32"/>
          <w:highlight w:val="none"/>
        </w:rPr>
      </w:pPr>
      <w:bookmarkStart w:id="1" w:name="OLE_LINK2"/>
      <w:bookmarkEnd w:id="1"/>
      <w:r>
        <w:rPr>
          <w:rFonts w:hint="eastAsia" w:ascii="仿宋" w:hAnsi="仿宋" w:eastAsia="仿宋" w:cs="仿宋"/>
          <w:sz w:val="32"/>
          <w:szCs w:val="32"/>
          <w:highlight w:val="none"/>
          <w:lang w:val="en-US" w:eastAsia="zh-CN"/>
        </w:rPr>
        <w:t>本部门</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571.39</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增加370.72</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增长184.74</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125.66</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445.73</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本部门</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highlight w:val="none"/>
          <w:u w:color="auto"/>
          <w:lang w:val="en-US" w:eastAsia="zh-CN"/>
        </w:rPr>
        <w:t>126.05</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571.39</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453.30</w:t>
      </w:r>
      <w:r>
        <w:rPr>
          <w:rFonts w:ascii="仿宋" w:hAnsi="仿宋" w:eastAsia="仿宋" w:cs="仿宋"/>
          <w:sz w:val="32"/>
          <w:u w:color="auto"/>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一）一般公共服务</w:t>
      </w:r>
      <w:r>
        <w:rPr>
          <w:rFonts w:hint="eastAsia" w:ascii="仿宋" w:hAnsi="仿宋" w:eastAsia="仿宋"/>
          <w:sz w:val="32"/>
          <w:szCs w:val="32"/>
          <w:highlight w:val="none"/>
        </w:rPr>
        <w:t>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1.65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1.65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职工工会经费单位部分支出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18"/>
                <w:szCs w:val="18"/>
                <w:highlight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default"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13.18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11.77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89.30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原因是：人员调出。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89.30%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bCs/>
                <w:color w:val="333333"/>
                <w:sz w:val="20"/>
                <w:szCs w:val="20"/>
                <w:shd w:val="clear" w:color="auto" w:fill="FFFFFF"/>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人员调出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eastAsia="仿宋"/>
          <w:color w:val="FF0000"/>
          <w:highlight w:val="none"/>
          <w:lang w:val="en-US" w:eastAsia="zh-CN"/>
        </w:rPr>
      </w:pPr>
      <w:r>
        <w:rPr>
          <w:rFonts w:hint="eastAsia" w:ascii="仿宋" w:hAnsi="仿宋" w:eastAsia="仿宋"/>
          <w:sz w:val="32"/>
          <w:szCs w:val="32"/>
          <w:highlight w:val="none"/>
          <w:lang w:val="en-US" w:eastAsia="zh-CN"/>
        </w:rPr>
        <w:t>（三）农林水</w:t>
      </w:r>
      <w:r>
        <w:rPr>
          <w:rFonts w:hint="eastAsia" w:ascii="仿宋" w:hAnsi="仿宋" w:eastAsia="仿宋"/>
          <w:sz w:val="32"/>
          <w:szCs w:val="32"/>
          <w:highlight w:val="none"/>
        </w:rPr>
        <w:t>支出</w:t>
      </w:r>
      <w:r>
        <w:rPr>
          <w:rFonts w:ascii="仿宋" w:hAnsi="仿宋" w:eastAsia="仿宋"/>
          <w:sz w:val="32"/>
          <w:u w:color="auto"/>
        </w:rPr>
        <w:t>（21</w:t>
      </w:r>
      <w:r>
        <w:rPr>
          <w:rFonts w:hint="eastAsia" w:ascii="仿宋" w:hAnsi="仿宋" w:eastAsia="仿宋"/>
          <w:sz w:val="32"/>
          <w:u w:color="auto"/>
          <w:lang w:val="en-US" w:eastAsia="zh-CN"/>
        </w:rPr>
        <w:t>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101.34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527.22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520.25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原因是：上级下达的专项资金年初无预算。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101.34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91.62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90.41%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rPr>
              <w:t>根据国家规定的基本工资和津补贴标准等安排的人员经费支出，确保移民局机关正常运转的办公费、印刷费、水电费、培训费、差旅费、会议费等日常公用经费支出</w:t>
            </w:r>
            <w:r>
              <w:rPr>
                <w:rFonts w:hint="eastAsia" w:asciiTheme="minorEastAsia" w:hAnsiTheme="minorEastAsia" w:cstheme="minorEastAsia"/>
                <w:kern w:val="0"/>
                <w:sz w:val="20"/>
                <w:szCs w:val="20"/>
                <w:lang w:val="en-US" w:eastAsia="zh-CN"/>
              </w:rPr>
              <w:t>及水果培训经费等</w:t>
            </w:r>
            <w:r>
              <w:rPr>
                <w:rFonts w:hint="eastAsia" w:asciiTheme="minorEastAsia" w:hAnsiTheme="minorEastAsia" w:eastAsiaTheme="minorEastAsia" w:cstheme="minorEastAsia"/>
                <w:kern w:val="0"/>
                <w:sz w:val="20"/>
                <w:szCs w:val="20"/>
              </w:rPr>
              <w:t>。</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厉行节约、控制开支及人员调出。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农村基础设施建设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巩固脱贫衔接乡村振兴的农村基础设施建设支出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生产发展</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巩固脱贫衔接乡村振兴的生产发展支出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101.34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527.22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44215"/>
            <wp:effectExtent l="4445" t="4445" r="16510" b="889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9.88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8.63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87.35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原因是：基数调整及人员调出。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87.35%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rPr>
              <w:t>按照国家政策规定向职工发放的住房公积金方面的支出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基数调整及人员调出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五）其他</w:t>
      </w:r>
      <w:r>
        <w:rPr>
          <w:rFonts w:hint="eastAsia" w:ascii="仿宋" w:hAnsi="仿宋" w:eastAsia="仿宋"/>
          <w:sz w:val="32"/>
          <w:szCs w:val="32"/>
          <w:highlight w:val="none"/>
        </w:rPr>
        <w:t>支出</w:t>
      </w:r>
      <w:r>
        <w:rPr>
          <w:rFonts w:ascii="仿宋" w:hAnsi="仿宋" w:eastAsia="仿宋"/>
          <w:sz w:val="32"/>
          <w:u w:color="auto"/>
        </w:rPr>
        <w:t>（22</w:t>
      </w:r>
      <w:r>
        <w:rPr>
          <w:rFonts w:hint="eastAsia" w:ascii="仿宋" w:hAnsi="仿宋" w:eastAsia="仿宋"/>
          <w:sz w:val="32"/>
          <w:u w:color="auto"/>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22.13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原因是：年初无预算。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lang w:val="en-US" w:eastAsia="zh-CN"/>
              </w:rPr>
              <w:t>本部门及所属事业单位人员的年终绩效奖金</w:t>
            </w:r>
            <w:r>
              <w:rPr>
                <w:rFonts w:hint="eastAsia" w:asciiTheme="minorEastAsia" w:hAnsiTheme="minorEastAsia" w:cstheme="minorEastAsia"/>
                <w:kern w:val="0"/>
                <w:sz w:val="20"/>
                <w:szCs w:val="20"/>
                <w:lang w:val="en-US" w:eastAsia="zh-CN"/>
              </w:rPr>
              <w:t>和伙食补助</w:t>
            </w:r>
            <w:r>
              <w:rPr>
                <w:rFonts w:hint="eastAsia" w:asciiTheme="minorEastAsia" w:hAnsiTheme="minorEastAsia" w:eastAsiaTheme="minorEastAsia" w:cstheme="minorEastAsia"/>
                <w:kern w:val="0"/>
                <w:sz w:val="20"/>
                <w:szCs w:val="20"/>
              </w:rPr>
              <w:t>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000000" w:themeColor="text1"/>
                <w:sz w:val="20"/>
                <w:szCs w:val="20"/>
                <w:highlight w:val="none"/>
                <w:lang w:val="en-US" w:eastAsia="zh-CN"/>
                <w14:textFill>
                  <w14:solidFill>
                    <w14:schemeClr w14:val="tx1"/>
                  </w14:solidFill>
                </w14:textFill>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keepNext w:val="0"/>
        <w:keepLines w:val="0"/>
        <w:pageBreakBefore w:val="0"/>
        <w:widowControl w:val="0"/>
        <w:kinsoku/>
        <w:wordWrap/>
        <w:overflowPunct/>
        <w:topLinePunct w:val="0"/>
        <w:bidi w:val="0"/>
        <w:snapToGrid/>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125.67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116.49</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9.18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eastAsia="仿宋_GB2312"/>
          <w:bCs/>
          <w:kern w:val="0"/>
          <w:sz w:val="32"/>
          <w:szCs w:val="32"/>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113.98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119.84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有</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bCs/>
          <w:kern w:val="0"/>
          <w:sz w:val="32"/>
          <w:szCs w:val="32"/>
        </w:rPr>
        <w:t>发</w:t>
      </w:r>
      <w:r>
        <w:rPr>
          <w:rFonts w:hint="eastAsia" w:ascii="仿宋_GB2312" w:hAnsi="仿宋_GB2312" w:eastAsia="仿宋_GB2312" w:cs="仿宋_GB2312"/>
          <w:kern w:val="0"/>
          <w:sz w:val="32"/>
          <w:szCs w:val="32"/>
        </w:rPr>
        <w:t>放的职工绩效考评奖及</w:t>
      </w:r>
      <w:r>
        <w:rPr>
          <w:rFonts w:hint="eastAsia" w:ascii="仿宋_GB2312" w:hAnsi="仿宋_GB2312" w:eastAsia="仿宋_GB2312" w:cs="仿宋_GB2312"/>
          <w:kern w:val="0"/>
          <w:sz w:val="32"/>
          <w:szCs w:val="32"/>
          <w:lang w:val="en-US" w:eastAsia="zh-CN"/>
        </w:rPr>
        <w:t>伙食补助费</w:t>
      </w:r>
      <w:r>
        <w:rPr>
          <w:rFonts w:hint="eastAsia" w:ascii="仿宋_GB2312" w:hAnsi="仿宋_GB2312" w:eastAsia="仿宋_GB2312" w:cs="仿宋_GB2312"/>
          <w:kern w:val="0"/>
          <w:sz w:val="32"/>
          <w:szCs w:val="32"/>
        </w:rPr>
        <w:t>没有列入年初预算</w:t>
      </w:r>
      <w:r>
        <w:rPr>
          <w:rFonts w:hint="eastAsia" w:ascii="仿宋_GB2312" w:eastAsia="仿宋_GB2312"/>
          <w:bCs/>
          <w:kern w:val="0"/>
          <w:sz w:val="32"/>
          <w:szCs w:val="32"/>
        </w:rPr>
        <w:t>。</w:t>
      </w:r>
    </w:p>
    <w:p>
      <w:pPr>
        <w:keepNext w:val="0"/>
        <w:keepLines w:val="0"/>
        <w:pageBreakBefore w:val="0"/>
        <w:widowControl w:val="0"/>
        <w:kinsoku/>
        <w:wordWrap/>
        <w:overflowPunct/>
        <w:topLinePunct w:val="0"/>
        <w:bidi w:val="0"/>
        <w:snapToGrid/>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32.32万元，30102津贴补贴17.63万元，30103奖金34.94万元，30106伙食补助费1.40万元，30108机关事业单位基本养老保险缴费11.77万元，30110职工基本医疗保险缴费4.81万元，30111公务员医疗补助缴费0.00万元，30112其他社会保障缴费0.15万元，30113住房公积金8.63万元，30199其他工资福利支出2.34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16225"/>
            <wp:effectExtent l="4445" t="4445" r="16510" b="17780"/>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9.18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74.39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有</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主要原因是：本单位贯彻落实厉行节约的有关规定，控制开支，不铺张浪费。</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30201办公费0.92万元，30205水费0.32万元，30206电费0.19万元，30207邮电费1.18万元，30226劳务费0.10万元，30228工会经费1.65万元，30239其他交通费用4.82万元。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54935"/>
            <wp:effectExtent l="4445" t="4445" r="16510" b="762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2.50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30301离休费0.00万元，30302退休费0.00万元，30305生活补助2.50万元。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主要原因是：2022年无</w:t>
      </w:r>
      <w:r>
        <w:rPr>
          <w:rFonts w:hint="eastAsia" w:ascii="仿宋" w:hAnsi="仿宋" w:eastAsia="仿宋" w:cs="仿宋"/>
          <w:sz w:val="32"/>
          <w:szCs w:val="32"/>
          <w:highlight w:val="none"/>
          <w:lang w:val="en-US" w:eastAsia="zh-CN"/>
        </w:rPr>
        <w:t>此项收入和支出预算。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63850"/>
            <wp:effectExtent l="4445" t="4445" r="16510" b="825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主要原因是：2022年无此项收入和支出预算。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060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主要原因是：2022年无此项收入和支出预算。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val="en-US" w:eastAsia="zh-CN"/>
        </w:rPr>
        <w:t>本</w:t>
      </w:r>
      <w:r>
        <w:rPr>
          <w:rFonts w:hint="eastAsia" w:ascii="仿宋_GB2312" w:hAnsi="Times New Roman" w:eastAsia="仿宋_GB2312" w:cs="Times New Roman"/>
          <w:color w:val="auto"/>
          <w:sz w:val="32"/>
          <w:szCs w:val="32"/>
          <w:lang w:eastAsia="zh-CN"/>
        </w:rPr>
        <w:t>单位</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_GB2312" w:cs="仿宋"/>
          <w:color w:val="auto"/>
          <w:sz w:val="32"/>
          <w:szCs w:val="32"/>
          <w:highlight w:val="none"/>
          <w:lang w:eastAsia="zh-CN"/>
        </w:rPr>
      </w:pPr>
      <w:bookmarkStart w:id="2" w:name="PO_part3A5B1C1DiffReason1"/>
      <w:r>
        <w:rPr>
          <w:rFonts w:hint="eastAsia" w:ascii="仿宋_GB2312" w:hAnsi="Times New Roman" w:eastAsia="仿宋_GB2312" w:cs="Times New Roman"/>
          <w:color w:val="auto"/>
          <w:sz w:val="32"/>
          <w:szCs w:val="32"/>
          <w:lang w:eastAsia="zh-CN"/>
        </w:rPr>
        <w:t>某某单位</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2"/>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0.15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75</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减少0.03</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bCs/>
          <w:spacing w:val="6"/>
          <w:kern w:val="0"/>
          <w:sz w:val="32"/>
          <w:szCs w:val="32"/>
        </w:rPr>
        <w:t>认真贯彻落实中央“八项规定”精神和厉行节约要求，严控和压缩“三公”经费相关支</w:t>
      </w:r>
      <w:r>
        <w:rPr>
          <w:rFonts w:hint="eastAsia" w:ascii="仿宋" w:hAnsi="仿宋" w:eastAsia="仿宋" w:cs="仿宋"/>
          <w:bCs/>
          <w:kern w:val="0"/>
          <w:sz w:val="32"/>
          <w:szCs w:val="32"/>
        </w:rPr>
        <w:t>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0.15</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bidi w:val="0"/>
        <w:snapToGrid/>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keepNext w:val="0"/>
        <w:keepLines w:val="0"/>
        <w:pageBreakBefore w:val="0"/>
        <w:widowControl w:val="0"/>
        <w:numPr>
          <w:ilvl w:val="0"/>
          <w:numId w:val="1"/>
        </w:numPr>
        <w:kinsoku/>
        <w:wordWrap/>
        <w:overflowPunct/>
        <w:topLinePunct w:val="0"/>
        <w:bidi w:val="0"/>
        <w:snapToGrid/>
        <w:ind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原因是：本单位没有组织出国活动。</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r>
        <w:rPr>
          <w:rFonts w:hint="eastAsia" w:ascii="仿宋_GB2312" w:hAnsi="Times New Roman" w:eastAsia="仿宋_GB2312" w:cs="Times New Roman"/>
          <w:color w:val="auto"/>
          <w:sz w:val="32"/>
          <w:szCs w:val="32"/>
        </w:rPr>
        <w:t>开支内容包括：</w:t>
      </w:r>
      <w:r>
        <w:rPr>
          <w:rFonts w:hint="eastAsia" w:ascii="仿宋_GB2312" w:hAnsi="Times New Roman" w:eastAsia="仿宋_GB2312" w:cs="Times New Roman"/>
          <w:color w:val="auto"/>
          <w:sz w:val="32"/>
          <w:szCs w:val="32"/>
          <w:lang w:val="en-US" w:eastAsia="zh-CN"/>
        </w:rPr>
        <w:t>无。</w:t>
      </w:r>
    </w:p>
    <w:p>
      <w:pPr>
        <w:keepNext w:val="0"/>
        <w:keepLines w:val="0"/>
        <w:pageBreakBefore w:val="0"/>
        <w:widowControl w:val="0"/>
        <w:numPr>
          <w:ilvl w:val="0"/>
          <w:numId w:val="0"/>
        </w:numPr>
        <w:kinsoku/>
        <w:wordWrap/>
        <w:overflowPunct/>
        <w:topLinePunct w:val="0"/>
        <w:bidi w:val="0"/>
        <w:snapToGrid/>
        <w:ind w:firstLine="640" w:firstLineChars="200"/>
        <w:jc w:val="both"/>
        <w:textAlignment w:val="auto"/>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无公务用车购置</w:t>
      </w:r>
      <w:bookmarkEnd w:id="3"/>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
          <w:color w:val="auto"/>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bCs/>
          <w:color w:val="000000"/>
          <w:sz w:val="32"/>
          <w:szCs w:val="32"/>
        </w:rPr>
        <w:t>公车改革后本单位不再保留有公务车。</w:t>
      </w:r>
      <w:r>
        <w:rPr>
          <w:rFonts w:hint="eastAsia" w:ascii="仿宋" w:hAnsi="仿宋" w:eastAsia="仿宋" w:cs="仿宋"/>
          <w:color w:val="auto"/>
          <w:sz w:val="32"/>
          <w:szCs w:val="32"/>
          <w:highlight w:val="none"/>
        </w:rPr>
        <w:t>2022年，</w:t>
      </w:r>
      <w:r>
        <w:rPr>
          <w:rFonts w:hint="eastAsia" w:ascii="仿宋" w:hAnsi="仿宋" w:eastAsia="仿宋" w:cs="仿宋"/>
          <w:color w:val="auto"/>
          <w:sz w:val="32"/>
          <w:szCs w:val="32"/>
          <w:highlight w:val="none"/>
          <w:lang w:val="en-US" w:eastAsia="zh-CN"/>
        </w:rPr>
        <w:t>本</w:t>
      </w:r>
      <w:r>
        <w:rPr>
          <w:rFonts w:hint="eastAsia" w:ascii="仿宋" w:hAnsi="仿宋" w:eastAsia="仿宋" w:cs="仿宋"/>
          <w:color w:val="auto"/>
          <w:sz w:val="32"/>
          <w:u w:color="auto"/>
          <w:lang w:eastAsia="zh-CN"/>
        </w:rPr>
        <w:t>单位</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keepNext w:val="0"/>
        <w:keepLines w:val="0"/>
        <w:pageBreakBefore w:val="0"/>
        <w:widowControl w:val="0"/>
        <w:suppressLineNumbers w:val="0"/>
        <w:kinsoku/>
        <w:wordWrap/>
        <w:overflowPunct/>
        <w:topLinePunct w:val="0"/>
        <w:bidi w:val="0"/>
        <w:snapToGrid/>
        <w:spacing w:before="0" w:beforeAutospacing="0" w:after="0" w:afterAutospacing="0"/>
        <w:ind w:left="0"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0.15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75</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减少0.03</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_GB2312"/>
          <w:kern w:val="0"/>
          <w:sz w:val="32"/>
          <w:szCs w:val="32"/>
        </w:rPr>
        <w:t>认真贯彻落实中央“八项规定”精神和厉行节约要求，严控</w:t>
      </w:r>
      <w:r>
        <w:rPr>
          <w:rFonts w:hint="eastAsia" w:ascii="仿宋" w:hAnsi="仿宋" w:eastAsia="仿宋" w:cs="仿宋_GB2312"/>
          <w:kern w:val="0"/>
          <w:sz w:val="32"/>
          <w:szCs w:val="32"/>
          <w:lang w:val="en-US" w:eastAsia="zh-CN"/>
        </w:rPr>
        <w:t>接待标准，不铺张浪费。</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9.18</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3.16</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25.61</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5.77</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169.21</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主要原因是：工会经费及在职人员的其他交通补贴列入运行经费科目中核算。</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val="0"/>
        <w:kinsoku/>
        <w:wordWrap/>
        <w:overflowPunct/>
        <w:topLinePunct w:val="0"/>
        <w:bidi w:val="0"/>
        <w:snapToGrid/>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451.68</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79.05</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ascii="仿宋" w:hAnsi="仿宋" w:eastAsia="仿宋" w:cs="仿宋"/>
          <w:kern w:val="0"/>
          <w:sz w:val="32"/>
          <w:szCs w:val="32"/>
        </w:rPr>
      </w:pPr>
      <w:r>
        <w:rPr>
          <w:rFonts w:hint="eastAsia" w:ascii="仿宋" w:hAnsi="仿宋" w:eastAsia="仿宋" w:cs="仿宋"/>
          <w:color w:val="000000" w:themeColor="text1"/>
          <w:sz w:val="32"/>
          <w:szCs w:val="32"/>
          <w14:textFill>
            <w14:solidFill>
              <w14:schemeClr w14:val="tx1"/>
            </w14:solidFill>
          </w14:textFill>
        </w:rPr>
        <w:t>组织对“桂整合【2022】9号2022年财政衔接推进乡村振兴补助资金(优势特色产业发展项目)”等</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451.68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kern w:val="0"/>
          <w:sz w:val="32"/>
          <w:szCs w:val="32"/>
        </w:rPr>
        <w:t>项目支出绩效情况理想，达到项目申请时设定的各项绩效目标。社会公众或服务对象满意度达9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%以上。</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部门开展整体支出绩效评价试点，涉及一般公共预算支出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451.68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整体项目支出均按年初设定的绩效目标要求开展，各项绩效指标都能达到预期效果，特别是上级下达衔接资金严格按文件要求进行管理，确保专款专用。</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keepNext w:val="0"/>
        <w:keepLines w:val="0"/>
        <w:pageBreakBefore w:val="0"/>
        <w:widowControl w:val="0"/>
        <w:kinsoku/>
        <w:wordWrap/>
        <w:overflowPunct/>
        <w:topLinePunct w:val="0"/>
        <w:autoSpaceDN/>
        <w:bidi w:val="0"/>
        <w:adjustRightInd/>
        <w:snapToGrid/>
        <w:spacing w:after="0" w:line="560" w:lineRule="exact"/>
        <w:ind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kern w:val="0"/>
          <w:sz w:val="32"/>
          <w:szCs w:val="32"/>
        </w:rPr>
        <w:t>我单位根据年初设定的绩效目标，“水果技术培训工作</w:t>
      </w:r>
      <w:r>
        <w:rPr>
          <w:rFonts w:hint="eastAsia" w:ascii="仿宋" w:hAnsi="仿宋" w:eastAsia="仿宋" w:cs="仿宋"/>
          <w:kern w:val="0"/>
          <w:sz w:val="32"/>
          <w:szCs w:val="32"/>
          <w:lang w:val="en-US" w:eastAsia="zh-CN"/>
        </w:rPr>
        <w:t>经费</w:t>
      </w:r>
      <w:r>
        <w:rPr>
          <w:rFonts w:hint="eastAsia" w:ascii="仿宋" w:hAnsi="仿宋" w:eastAsia="仿宋" w:cs="仿宋"/>
          <w:kern w:val="0"/>
          <w:sz w:val="32"/>
          <w:szCs w:val="32"/>
        </w:rPr>
        <w:t>”项目自评得分为100 分。</w:t>
      </w:r>
      <w:r>
        <w:rPr>
          <w:rFonts w:hint="eastAsia" w:ascii="仿宋" w:hAnsi="仿宋" w:eastAsia="仿宋" w:cs="仿宋"/>
          <w:kern w:val="0"/>
          <w:sz w:val="32"/>
          <w:szCs w:val="32"/>
          <w:lang w:val="en-US" w:eastAsia="zh-CN"/>
        </w:rPr>
        <w:t>因</w:t>
      </w:r>
      <w:r>
        <w:rPr>
          <w:rFonts w:hint="default" w:ascii="Times New Roman" w:hAnsi="Times New Roman" w:eastAsia="仿宋_GB2312" w:cs="Times New Roman"/>
          <w:sz w:val="32"/>
          <w:szCs w:val="32"/>
        </w:rPr>
        <w:t>受疫情</w:t>
      </w:r>
      <w:r>
        <w:rPr>
          <w:rFonts w:hint="default" w:ascii="Times New Roman" w:hAnsi="Times New Roman" w:eastAsia="仿宋_GB2312" w:cs="Times New Roman"/>
          <w:sz w:val="32"/>
          <w:szCs w:val="32"/>
          <w:lang w:eastAsia="zh-CN"/>
        </w:rPr>
        <w:t>等因素</w:t>
      </w:r>
      <w:r>
        <w:rPr>
          <w:rFonts w:hint="default" w:ascii="Times New Roman" w:hAnsi="Times New Roman" w:eastAsia="仿宋_GB2312" w:cs="Times New Roman"/>
          <w:sz w:val="32"/>
          <w:szCs w:val="32"/>
        </w:rPr>
        <w:t>影响，无法举办大规模培训班。</w:t>
      </w:r>
      <w:r>
        <w:rPr>
          <w:rFonts w:hint="eastAsia" w:ascii="Times New Roman" w:hAnsi="Times New Roman" w:eastAsia="仿宋_GB2312" w:cs="Times New Roman"/>
          <w:sz w:val="32"/>
          <w:szCs w:val="32"/>
          <w:lang w:val="en-US" w:eastAsia="zh-CN"/>
        </w:rPr>
        <w:t>2022年共</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color w:val="000000"/>
          <w:spacing w:val="0"/>
          <w:sz w:val="32"/>
          <w:szCs w:val="32"/>
          <w:lang w:val="en-US" w:eastAsia="zh-CN"/>
        </w:rPr>
        <w:t>织</w:t>
      </w:r>
      <w:r>
        <w:rPr>
          <w:rFonts w:hint="eastAsia" w:ascii="Times New Roman" w:hAnsi="Times New Roman" w:eastAsia="仿宋_GB2312" w:cs="Times New Roman"/>
          <w:color w:val="000000"/>
          <w:spacing w:val="0"/>
          <w:sz w:val="32"/>
          <w:szCs w:val="32"/>
          <w:lang w:val="en-US" w:eastAsia="zh-CN"/>
        </w:rPr>
        <w:t>开展</w:t>
      </w:r>
      <w:r>
        <w:rPr>
          <w:rFonts w:hint="default" w:ascii="Times New Roman" w:hAnsi="Times New Roman" w:eastAsia="仿宋_GB2312" w:cs="Times New Roman"/>
          <w:color w:val="000000"/>
          <w:spacing w:val="0"/>
          <w:sz w:val="32"/>
          <w:szCs w:val="32"/>
          <w:lang w:val="en-US" w:eastAsia="zh-CN"/>
        </w:rPr>
        <w:t>了</w:t>
      </w:r>
      <w:r>
        <w:rPr>
          <w:rFonts w:hint="eastAsia" w:ascii="Times New Roman" w:hAnsi="Times New Roman" w:eastAsia="仿宋_GB2312" w:cs="Times New Roman"/>
          <w:color w:val="000000"/>
          <w:spacing w:val="0"/>
          <w:sz w:val="32"/>
          <w:szCs w:val="32"/>
          <w:lang w:val="en-US" w:eastAsia="zh-CN"/>
        </w:rPr>
        <w:t>15</w:t>
      </w:r>
      <w:r>
        <w:rPr>
          <w:rFonts w:hint="default" w:ascii="Times New Roman" w:hAnsi="Times New Roman" w:eastAsia="仿宋_GB2312" w:cs="Times New Roman"/>
          <w:color w:val="000000"/>
          <w:spacing w:val="0"/>
          <w:sz w:val="32"/>
          <w:szCs w:val="32"/>
          <w:lang w:val="en-US" w:eastAsia="zh-CN"/>
        </w:rPr>
        <w:t>期</w:t>
      </w:r>
      <w:r>
        <w:rPr>
          <w:rFonts w:hint="default" w:ascii="Times New Roman" w:hAnsi="Times New Roman" w:eastAsia="仿宋_GB2312" w:cs="Times New Roman"/>
          <w:sz w:val="32"/>
          <w:szCs w:val="32"/>
          <w:lang w:val="en-US" w:eastAsia="zh-CN"/>
        </w:rPr>
        <w:t>柑橘种植管护和黄龙病防控技术</w:t>
      </w:r>
      <w:r>
        <w:rPr>
          <w:rFonts w:hint="eastAsia" w:ascii="Times New Roman" w:hAnsi="Times New Roman" w:eastAsia="仿宋_GB2312" w:cs="Times New Roman"/>
          <w:sz w:val="32"/>
          <w:szCs w:val="32"/>
          <w:lang w:val="en-US" w:eastAsia="zh-CN"/>
        </w:rPr>
        <w:t>、水肥一体化、柑橘保险等</w:t>
      </w:r>
      <w:r>
        <w:rPr>
          <w:rFonts w:hint="default" w:ascii="Times New Roman" w:hAnsi="Times New Roman" w:eastAsia="仿宋_GB2312" w:cs="Times New Roman"/>
          <w:sz w:val="32"/>
          <w:szCs w:val="32"/>
          <w:lang w:val="en-US" w:eastAsia="zh-CN"/>
        </w:rPr>
        <w:t>培训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pacing w:val="0"/>
          <w:sz w:val="32"/>
          <w:szCs w:val="32"/>
          <w:lang w:val="en-US" w:eastAsia="zh-CN"/>
        </w:rPr>
        <w:t>参训人员</w:t>
      </w:r>
      <w:r>
        <w:rPr>
          <w:rFonts w:hint="eastAsia" w:ascii="Times New Roman" w:hAnsi="Times New Roman" w:eastAsia="仿宋_GB2312" w:cs="Times New Roman"/>
          <w:color w:val="000000"/>
          <w:spacing w:val="0"/>
          <w:sz w:val="32"/>
          <w:szCs w:val="32"/>
          <w:lang w:val="en-US" w:eastAsia="zh-CN"/>
        </w:rPr>
        <w:t>500</w:t>
      </w:r>
      <w:r>
        <w:rPr>
          <w:rFonts w:hint="default" w:ascii="Times New Roman" w:hAnsi="Times New Roman" w:eastAsia="仿宋_GB2312" w:cs="Times New Roman"/>
          <w:color w:val="000000"/>
          <w:spacing w:val="0"/>
          <w:sz w:val="32"/>
          <w:szCs w:val="32"/>
          <w:lang w:val="en-US" w:eastAsia="zh-CN"/>
        </w:rPr>
        <w:t>余人</w:t>
      </w:r>
      <w:r>
        <w:rPr>
          <w:rFonts w:hint="eastAsia" w:ascii="Times New Roman" w:hAnsi="Times New Roman" w:eastAsia="仿宋_GB2312" w:cs="Times New Roman"/>
          <w:color w:val="000000"/>
          <w:spacing w:val="0"/>
          <w:sz w:val="32"/>
          <w:szCs w:val="32"/>
          <w:lang w:val="en-US" w:eastAsia="zh-CN"/>
        </w:rPr>
        <w:t>次</w:t>
      </w:r>
      <w:r>
        <w:rPr>
          <w:rFonts w:hint="default" w:ascii="Times New Roman" w:hAnsi="Times New Roman" w:eastAsia="仿宋_GB2312" w:cs="Times New Roman"/>
          <w:color w:val="000000"/>
          <w:spacing w:val="0"/>
          <w:sz w:val="32"/>
          <w:szCs w:val="32"/>
          <w:lang w:val="en-US" w:eastAsia="zh-CN"/>
        </w:rPr>
        <w:t>，分发了</w:t>
      </w:r>
      <w:r>
        <w:rPr>
          <w:rFonts w:hint="eastAsia" w:ascii="Times New Roman" w:hAnsi="Times New Roman" w:eastAsia="仿宋_GB2312" w:cs="Times New Roman"/>
          <w:color w:val="000000"/>
          <w:spacing w:val="0"/>
          <w:sz w:val="32"/>
          <w:szCs w:val="32"/>
          <w:lang w:val="en-US" w:eastAsia="zh-CN"/>
        </w:rPr>
        <w:t>500</w:t>
      </w:r>
      <w:r>
        <w:rPr>
          <w:rFonts w:hint="default" w:ascii="Times New Roman" w:hAnsi="Times New Roman" w:eastAsia="仿宋_GB2312" w:cs="Times New Roman"/>
          <w:color w:val="000000"/>
          <w:spacing w:val="0"/>
          <w:sz w:val="32"/>
          <w:szCs w:val="32"/>
          <w:lang w:val="en-US" w:eastAsia="zh-CN"/>
        </w:rPr>
        <w:t>余份</w:t>
      </w:r>
      <w:r>
        <w:rPr>
          <w:rFonts w:hint="eastAsia" w:ascii="Times New Roman" w:hAnsi="Times New Roman" w:eastAsia="仿宋_GB2312" w:cs="Times New Roman"/>
          <w:color w:val="000000"/>
          <w:spacing w:val="0"/>
          <w:sz w:val="32"/>
          <w:szCs w:val="32"/>
          <w:lang w:val="en-US" w:eastAsia="zh-CN"/>
        </w:rPr>
        <w:t>资</w:t>
      </w:r>
      <w:r>
        <w:rPr>
          <w:rFonts w:hint="default" w:ascii="Times New Roman" w:hAnsi="Times New Roman" w:eastAsia="仿宋_GB2312" w:cs="Times New Roman"/>
          <w:color w:val="000000"/>
          <w:spacing w:val="0"/>
          <w:sz w:val="32"/>
          <w:szCs w:val="32"/>
          <w:lang w:val="en-US" w:eastAsia="zh-CN"/>
        </w:rPr>
        <w:t>料。</w:t>
      </w:r>
      <w:r>
        <w:rPr>
          <w:rFonts w:hint="eastAsia" w:ascii="仿宋_GB2312" w:eastAsia="仿宋_GB2312"/>
          <w:color w:val="auto"/>
          <w:sz w:val="32"/>
          <w:szCs w:val="32"/>
        </w:rPr>
        <w:t>其中组织专家团开展</w:t>
      </w:r>
      <w:r>
        <w:rPr>
          <w:rFonts w:hint="eastAsia" w:ascii="仿宋_GB2312" w:eastAsia="仿宋_GB2312"/>
          <w:color w:val="auto"/>
          <w:sz w:val="32"/>
          <w:szCs w:val="32"/>
          <w:lang w:val="en-US" w:eastAsia="zh-CN"/>
        </w:rPr>
        <w:t>培训</w:t>
      </w:r>
      <w:r>
        <w:rPr>
          <w:rFonts w:hint="eastAsia" w:ascii="仿宋_GB2312" w:eastAsia="仿宋_GB2312"/>
          <w:color w:val="auto"/>
          <w:sz w:val="32"/>
          <w:szCs w:val="32"/>
        </w:rPr>
        <w:t>3期，开展2期贫困村培训，组织水果种植大户到区外桂林、重庆等地学习阳光一号桔柚栽培技术。加强技术培训和服务指导。</w:t>
      </w:r>
      <w:r>
        <w:rPr>
          <w:rFonts w:hint="eastAsia" w:ascii="仿宋_GB2312" w:eastAsia="仿宋_GB2312" w:cs="仿宋_GB2312"/>
          <w:color w:val="auto"/>
          <w:kern w:val="0"/>
          <w:sz w:val="32"/>
          <w:szCs w:val="32"/>
        </w:rPr>
        <w:t>通过培训，</w:t>
      </w:r>
      <w:r>
        <w:rPr>
          <w:rFonts w:hint="eastAsia" w:ascii="仿宋_GB2312" w:hAnsi="仿宋" w:eastAsia="仿宋_GB2312"/>
          <w:color w:val="auto"/>
          <w:sz w:val="32"/>
          <w:szCs w:val="32"/>
        </w:rPr>
        <w:t>实现重点产区技术服务全覆盖</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财政资金得到得到有效使用，行政效率得到提高，促进了各项工作的顺利开展，社会评价良好，群众满意度极高，</w:t>
      </w:r>
      <w:r>
        <w:rPr>
          <w:rFonts w:hint="eastAsia" w:ascii="仿宋_GB2312" w:eastAsia="仿宋_GB2312" w:cs="仿宋_GB2312"/>
          <w:color w:val="auto"/>
          <w:kern w:val="0"/>
          <w:sz w:val="32"/>
          <w:szCs w:val="32"/>
          <w:lang w:val="en-US" w:eastAsia="zh-CN"/>
        </w:rPr>
        <w:t>项目实施成效基本实现</w:t>
      </w:r>
      <w:r>
        <w:rPr>
          <w:rFonts w:hint="eastAsia" w:ascii="仿宋_GB2312" w:eastAsia="仿宋_GB2312" w:cs="仿宋_GB2312"/>
          <w:kern w:val="0"/>
          <w:sz w:val="32"/>
          <w:szCs w:val="32"/>
        </w:rPr>
        <w:t>。</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09F05"/>
    <w:multiLevelType w:val="singleLevel"/>
    <w:tmpl w:val="ED909F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87E20"/>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2F485C"/>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611351"/>
    <w:rsid w:val="020C171D"/>
    <w:rsid w:val="0216715F"/>
    <w:rsid w:val="02E0291A"/>
    <w:rsid w:val="04446965"/>
    <w:rsid w:val="04A611D5"/>
    <w:rsid w:val="04E54546"/>
    <w:rsid w:val="05992762"/>
    <w:rsid w:val="05A83D38"/>
    <w:rsid w:val="07B0770E"/>
    <w:rsid w:val="08B960F7"/>
    <w:rsid w:val="0942143F"/>
    <w:rsid w:val="095F3591"/>
    <w:rsid w:val="09F07959"/>
    <w:rsid w:val="0B557624"/>
    <w:rsid w:val="0C7F56B6"/>
    <w:rsid w:val="0D100297"/>
    <w:rsid w:val="0D202B45"/>
    <w:rsid w:val="0F8D4C87"/>
    <w:rsid w:val="0FA457E6"/>
    <w:rsid w:val="10505FAA"/>
    <w:rsid w:val="105F7E7E"/>
    <w:rsid w:val="11900F4C"/>
    <w:rsid w:val="11E56B5B"/>
    <w:rsid w:val="125C77AB"/>
    <w:rsid w:val="13162BFA"/>
    <w:rsid w:val="142E10C4"/>
    <w:rsid w:val="14CB726E"/>
    <w:rsid w:val="15581505"/>
    <w:rsid w:val="17733FDB"/>
    <w:rsid w:val="17E92249"/>
    <w:rsid w:val="18681234"/>
    <w:rsid w:val="18D304F1"/>
    <w:rsid w:val="1962164C"/>
    <w:rsid w:val="19F32577"/>
    <w:rsid w:val="19F45B80"/>
    <w:rsid w:val="1B0C078D"/>
    <w:rsid w:val="1B2B31E2"/>
    <w:rsid w:val="1B4C295A"/>
    <w:rsid w:val="1B973C63"/>
    <w:rsid w:val="1BA1001E"/>
    <w:rsid w:val="1D317259"/>
    <w:rsid w:val="1DDC5160"/>
    <w:rsid w:val="1E1927AA"/>
    <w:rsid w:val="1E664F5B"/>
    <w:rsid w:val="1EB34BE1"/>
    <w:rsid w:val="1EED2794"/>
    <w:rsid w:val="2004078E"/>
    <w:rsid w:val="215E639F"/>
    <w:rsid w:val="21EC3183"/>
    <w:rsid w:val="225E72CD"/>
    <w:rsid w:val="22CE156E"/>
    <w:rsid w:val="246E2F77"/>
    <w:rsid w:val="25467E35"/>
    <w:rsid w:val="254B4E2B"/>
    <w:rsid w:val="25FC7E73"/>
    <w:rsid w:val="27103A1C"/>
    <w:rsid w:val="283D7C94"/>
    <w:rsid w:val="29480E03"/>
    <w:rsid w:val="2983634D"/>
    <w:rsid w:val="29C91F3E"/>
    <w:rsid w:val="2B863DD0"/>
    <w:rsid w:val="2BB02055"/>
    <w:rsid w:val="2C575A56"/>
    <w:rsid w:val="2D9B674B"/>
    <w:rsid w:val="2F257714"/>
    <w:rsid w:val="2F3275E5"/>
    <w:rsid w:val="30AA08EF"/>
    <w:rsid w:val="30D23D1C"/>
    <w:rsid w:val="31221CF5"/>
    <w:rsid w:val="31400178"/>
    <w:rsid w:val="321E3342"/>
    <w:rsid w:val="327759C8"/>
    <w:rsid w:val="33185FE3"/>
    <w:rsid w:val="34161517"/>
    <w:rsid w:val="34EE2E36"/>
    <w:rsid w:val="35E12B13"/>
    <w:rsid w:val="36777241"/>
    <w:rsid w:val="3806033D"/>
    <w:rsid w:val="38A951DB"/>
    <w:rsid w:val="38B31605"/>
    <w:rsid w:val="39003F4F"/>
    <w:rsid w:val="3C07002B"/>
    <w:rsid w:val="3D0D152A"/>
    <w:rsid w:val="3DF62756"/>
    <w:rsid w:val="3E650D4D"/>
    <w:rsid w:val="3F1B7587"/>
    <w:rsid w:val="3F5D60F0"/>
    <w:rsid w:val="4086308B"/>
    <w:rsid w:val="41E57B4F"/>
    <w:rsid w:val="42220764"/>
    <w:rsid w:val="422316D0"/>
    <w:rsid w:val="42F92B87"/>
    <w:rsid w:val="432F26F6"/>
    <w:rsid w:val="433D759C"/>
    <w:rsid w:val="43880F63"/>
    <w:rsid w:val="441C5A6F"/>
    <w:rsid w:val="44C44FCC"/>
    <w:rsid w:val="44CC7369"/>
    <w:rsid w:val="457F5108"/>
    <w:rsid w:val="46951B6B"/>
    <w:rsid w:val="46B9087F"/>
    <w:rsid w:val="47B751CF"/>
    <w:rsid w:val="48E46269"/>
    <w:rsid w:val="49847974"/>
    <w:rsid w:val="49A34401"/>
    <w:rsid w:val="4A3545A2"/>
    <w:rsid w:val="4A3E30AB"/>
    <w:rsid w:val="4AC14DAC"/>
    <w:rsid w:val="4B2758D0"/>
    <w:rsid w:val="4D0D42EF"/>
    <w:rsid w:val="4D154C85"/>
    <w:rsid w:val="4D787247"/>
    <w:rsid w:val="4E1A3BEA"/>
    <w:rsid w:val="4EC03770"/>
    <w:rsid w:val="4EC8553A"/>
    <w:rsid w:val="4F5D1B53"/>
    <w:rsid w:val="508F4E24"/>
    <w:rsid w:val="51461E90"/>
    <w:rsid w:val="51463753"/>
    <w:rsid w:val="52553A93"/>
    <w:rsid w:val="53521F8B"/>
    <w:rsid w:val="53E22F47"/>
    <w:rsid w:val="54522FF8"/>
    <w:rsid w:val="55450629"/>
    <w:rsid w:val="564F3B2F"/>
    <w:rsid w:val="565C6053"/>
    <w:rsid w:val="56626146"/>
    <w:rsid w:val="56692963"/>
    <w:rsid w:val="568B0F48"/>
    <w:rsid w:val="5786217B"/>
    <w:rsid w:val="59337A15"/>
    <w:rsid w:val="59810274"/>
    <w:rsid w:val="5BC91624"/>
    <w:rsid w:val="5CA96A00"/>
    <w:rsid w:val="5CF730BC"/>
    <w:rsid w:val="5E5F0DCE"/>
    <w:rsid w:val="5EAB1172"/>
    <w:rsid w:val="5FA40A7B"/>
    <w:rsid w:val="5FD56D29"/>
    <w:rsid w:val="5FEC7F3F"/>
    <w:rsid w:val="60D253A4"/>
    <w:rsid w:val="60F74BC3"/>
    <w:rsid w:val="617D3BF8"/>
    <w:rsid w:val="61841F6A"/>
    <w:rsid w:val="618F2685"/>
    <w:rsid w:val="61A62CD3"/>
    <w:rsid w:val="623007A9"/>
    <w:rsid w:val="637D7558"/>
    <w:rsid w:val="644F19AC"/>
    <w:rsid w:val="651C0949"/>
    <w:rsid w:val="65AA4920"/>
    <w:rsid w:val="67694F1E"/>
    <w:rsid w:val="69500F2A"/>
    <w:rsid w:val="69597934"/>
    <w:rsid w:val="6B122B0C"/>
    <w:rsid w:val="6B964DDC"/>
    <w:rsid w:val="6C783074"/>
    <w:rsid w:val="6D9E65C6"/>
    <w:rsid w:val="6DA81947"/>
    <w:rsid w:val="6EB66DE2"/>
    <w:rsid w:val="6ED3075F"/>
    <w:rsid w:val="6F2A2D4B"/>
    <w:rsid w:val="6F8A0C1E"/>
    <w:rsid w:val="703F45D4"/>
    <w:rsid w:val="715D6546"/>
    <w:rsid w:val="71BE069E"/>
    <w:rsid w:val="730211E3"/>
    <w:rsid w:val="73953409"/>
    <w:rsid w:val="73E069A3"/>
    <w:rsid w:val="74093D7E"/>
    <w:rsid w:val="7597263B"/>
    <w:rsid w:val="774B1662"/>
    <w:rsid w:val="78104AA8"/>
    <w:rsid w:val="78E257C5"/>
    <w:rsid w:val="794B35BE"/>
    <w:rsid w:val="7B0A3A31"/>
    <w:rsid w:val="7B3360ED"/>
    <w:rsid w:val="7B5319F3"/>
    <w:rsid w:val="7BDF037E"/>
    <w:rsid w:val="7BF50948"/>
    <w:rsid w:val="7CE66A78"/>
    <w:rsid w:val="7D23564C"/>
    <w:rsid w:val="7D5E062D"/>
    <w:rsid w:val="7DF76CD8"/>
    <w:rsid w:val="7F025695"/>
    <w:rsid w:val="7F695C26"/>
    <w:rsid w:val="7FCF62D3"/>
    <w:rsid w:val="7FF7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571.39</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2.5</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社会保障和就业支出</c:v>
                </c:pt>
                <c:pt idx="2">
                  <c:v>农林水支出</c:v>
                </c:pt>
                <c:pt idx="3">
                  <c:v>住房保障支出</c:v>
                </c:pt>
                <c:pt idx="4">
                  <c:v>其他支出</c:v>
                </c:pt>
              </c:strCache>
            </c:strRef>
          </c:cat>
          <c:val>
            <c:numRef>
              <c:f>Sheet1!$B$2:$B$6</c:f>
              <c:numCache>
                <c:formatCode>General</c:formatCode>
                <c:ptCount val="5"/>
                <c:pt idx="0">
                  <c:v>0.84</c:v>
                </c:pt>
                <c:pt idx="1">
                  <c:v>10.8</c:v>
                </c:pt>
                <c:pt idx="2">
                  <c:v>159.95</c:v>
                </c:pt>
                <c:pt idx="3">
                  <c:v>8.08</c:v>
                </c:pt>
                <c:pt idx="4">
                  <c:v>21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社会保障和就业支出</c:v>
                </c:pt>
                <c:pt idx="2">
                  <c:v>农林水支出</c:v>
                </c:pt>
                <c:pt idx="3">
                  <c:v>住房保障支出</c:v>
                </c:pt>
                <c:pt idx="4">
                  <c:v>其他支出</c:v>
                </c:pt>
              </c:strCache>
            </c:strRef>
          </c:cat>
          <c:val>
            <c:numRef>
              <c:f>Sheet1!$C$2:$C$6</c:f>
              <c:numCache>
                <c:formatCode>General</c:formatCode>
                <c:ptCount val="5"/>
                <c:pt idx="0">
                  <c:v>1.65</c:v>
                </c:pt>
                <c:pt idx="1">
                  <c:v>11.77</c:v>
                </c:pt>
                <c:pt idx="2">
                  <c:v>527.22</c:v>
                </c:pt>
                <c:pt idx="3">
                  <c:v>8.63</c:v>
                </c:pt>
                <c:pt idx="4">
                  <c:v>22.13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a:t>
            </a:r>
            <a:r>
              <a:rPr lang="en-US"/>
              <a:t>支出</a:t>
            </a:r>
            <a:endParaRPr lang="en-US" sz="1100"/>
          </a:p>
        </c:rich>
      </c:tx>
      <c:layout>
        <c:manualLayout>
          <c:xMode val="edge"/>
          <c:yMode val="edge"/>
          <c:x val="0.30630055342699"/>
          <c:y val="0.035545023696682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Sheet1!$A$2:$A$10</c:f>
              <c:strCache>
                <c:ptCount val="9"/>
                <c:pt idx="0">
                  <c:v>2012999</c:v>
                </c:pt>
                <c:pt idx="8">
                  <c:v>201x</c:v>
                </c:pt>
              </c:strCache>
            </c:strRef>
          </c:cat>
          <c:val>
            <c:numRef>
              <c:f>Sheet1!$B$2:$B$10</c:f>
              <c:numCache>
                <c:formatCode>General</c:formatCode>
                <c:ptCount val="9"/>
                <c:pt idx="0">
                  <c:v>1.65</c:v>
                </c:pt>
                <c:pt idx="8">
                  <c:v>1.65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3">
                  <c:v>208x</c:v>
                </c:pt>
              </c:strCache>
            </c:strRef>
          </c:cat>
          <c:val>
            <c:numRef>
              <c:f>Sheet1!$B$2:$B$5</c:f>
              <c:numCache>
                <c:formatCode>General</c:formatCode>
                <c:ptCount val="4"/>
                <c:pt idx="0">
                  <c:v>11.77</c:v>
                </c:pt>
                <c:pt idx="3">
                  <c:v>11.77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农林水</a:t>
            </a:r>
            <a:r>
              <a:rPr lang="en-US"/>
              <a:t>支出</a:t>
            </a:r>
            <a:endParaRPr lang="en-US" sz="1100"/>
          </a:p>
        </c:rich>
      </c:tx>
      <c:layout/>
      <c:overlay val="0"/>
      <c:spPr>
        <a:noFill/>
        <a:ln>
          <a:noFill/>
        </a:ln>
        <a:effectLst/>
      </c:spPr>
    </c:title>
    <c:autoTitleDeleted val="0"/>
    <c:plotArea>
      <c:layout>
        <c:manualLayout>
          <c:layoutTarget val="inner"/>
          <c:xMode val="edge"/>
          <c:yMode val="edge"/>
          <c:x val="0.0764296863913722"/>
          <c:y val="0.17239336492891"/>
          <c:w val="0.8923513551866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2130104</c:v>
                </c:pt>
                <c:pt idx="1">
                  <c:v>2130504</c:v>
                </c:pt>
                <c:pt idx="2">
                  <c:v>2130505</c:v>
                </c:pt>
                <c:pt idx="3">
                  <c:v>213x</c:v>
                </c:pt>
              </c:strCache>
            </c:strRef>
          </c:cat>
          <c:val>
            <c:numRef>
              <c:f>Sheet1!$B$2:$B$5</c:f>
              <c:numCache>
                <c:formatCode>General</c:formatCode>
                <c:ptCount val="4"/>
                <c:pt idx="0">
                  <c:v>91.62</c:v>
                </c:pt>
                <c:pt idx="1">
                  <c:v>135.6</c:v>
                </c:pt>
                <c:pt idx="2">
                  <c:v>300</c:v>
                </c:pt>
                <c:pt idx="3">
                  <c:v>527.22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8.63</c:v>
                </c:pt>
                <c:pt idx="1">
                  <c:v>8.63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manualLayout>
          <c:xMode val="edge"/>
          <c:yMode val="edge"/>
          <c:x val="0.335816659571449"/>
          <c:y val="0.02369668246445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22.13</c:v>
                </c:pt>
                <c:pt idx="1">
                  <c:v>22.13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32.32</c:v>
                </c:pt>
                <c:pt idx="1">
                  <c:v>17.63</c:v>
                </c:pt>
                <c:pt idx="2">
                  <c:v>34.94</c:v>
                </c:pt>
                <c:pt idx="3">
                  <c:v>1.4</c:v>
                </c:pt>
                <c:pt idx="4">
                  <c:v>0</c:v>
                </c:pt>
                <c:pt idx="5">
                  <c:v>11.77</c:v>
                </c:pt>
                <c:pt idx="6">
                  <c:v>0</c:v>
                </c:pt>
                <c:pt idx="7">
                  <c:v>4.81</c:v>
                </c:pt>
                <c:pt idx="8">
                  <c:v>0</c:v>
                </c:pt>
                <c:pt idx="9">
                  <c:v>0.15</c:v>
                </c:pt>
                <c:pt idx="10">
                  <c:v>8.63</c:v>
                </c:pt>
                <c:pt idx="11">
                  <c:v>0</c:v>
                </c:pt>
                <c:pt idx="12">
                  <c:v>2.34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0.92</c:v>
                </c:pt>
                <c:pt idx="1">
                  <c:v>0</c:v>
                </c:pt>
                <c:pt idx="2">
                  <c:v>0</c:v>
                </c:pt>
                <c:pt idx="3">
                  <c:v>0</c:v>
                </c:pt>
                <c:pt idx="4">
                  <c:v>0.32</c:v>
                </c:pt>
                <c:pt idx="5">
                  <c:v>0.19</c:v>
                </c:pt>
                <c:pt idx="6">
                  <c:v>1.18</c:v>
                </c:pt>
                <c:pt idx="7">
                  <c:v>0</c:v>
                </c:pt>
                <c:pt idx="8">
                  <c:v>0</c:v>
                </c:pt>
                <c:pt idx="9">
                  <c:v>8</c:v>
                </c:pt>
                <c:pt idx="10">
                  <c:v>0</c:v>
                </c:pt>
                <c:pt idx="11">
                  <c:v>0</c:v>
                </c:pt>
                <c:pt idx="12">
                  <c:v>0</c:v>
                </c:pt>
                <c:pt idx="13">
                  <c:v>0</c:v>
                </c:pt>
                <c:pt idx="14">
                  <c:v>0</c:v>
                </c:pt>
                <c:pt idx="15">
                  <c:v>0</c:v>
                </c:pt>
                <c:pt idx="16">
                  <c:v>0</c:v>
                </c:pt>
                <c:pt idx="17">
                  <c:v>0</c:v>
                </c:pt>
                <c:pt idx="18">
                  <c:v>0</c:v>
                </c:pt>
                <c:pt idx="19">
                  <c:v>0.1</c:v>
                </c:pt>
                <c:pt idx="20">
                  <c:v>0</c:v>
                </c:pt>
                <c:pt idx="21">
                  <c:v>1.65</c:v>
                </c:pt>
                <c:pt idx="22">
                  <c:v>0</c:v>
                </c:pt>
                <c:pt idx="23">
                  <c:v>0</c:v>
                </c:pt>
                <c:pt idx="24">
                  <c:v>0</c:v>
                </c:pt>
                <c:pt idx="25">
                  <c:v>0</c:v>
                </c:pt>
                <c:pt idx="26">
                  <c:v>4.82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5</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2023-11-24T01:47:47Z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