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w w:val="95"/>
          <w:sz w:val="52"/>
          <w:szCs w:val="52"/>
          <w:highlight w:val="none"/>
          <w:lang w:val="en-US" w:eastAsia="zh-CN"/>
        </w:rPr>
        <w:t>环江毛南族自治县生态移民发展中心</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val="en-US" w:eastAsia="zh-CN"/>
        </w:rPr>
        <w:t>环江毛南族生态移民发展中心</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w w:val="85"/>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w w:val="85"/>
          <w:sz w:val="32"/>
          <w:u w:color="auto"/>
          <w:lang w:val="en-US" w:eastAsia="zh-CN"/>
        </w:rPr>
        <w:t>环江毛南族生态移民发展中心</w:t>
      </w:r>
      <w:r>
        <w:rPr>
          <w:rFonts w:hint="eastAsia" w:ascii="黑体" w:hAnsi="黑体" w:eastAsia="黑体" w:cs="黑体"/>
          <w:w w:val="85"/>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ind w:left="1600" w:hanging="1600" w:hangingChars="500"/>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val="en-US" w:eastAsia="zh-CN"/>
        </w:rPr>
        <w:t>环江毛南族自治县生态移民发展中心</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b/>
          <w:bCs/>
          <w:sz w:val="36"/>
          <w:szCs w:val="36"/>
          <w:highlight w:val="none"/>
        </w:rPr>
      </w:pPr>
      <w:r>
        <w:rPr>
          <w:rFonts w:hint="eastAsia" w:ascii="黑体" w:hAnsi="黑体" w:eastAsia="黑体" w:cs="黑体"/>
          <w:b/>
          <w:bCs/>
          <w:sz w:val="36"/>
          <w:szCs w:val="36"/>
          <w:highlight w:val="none"/>
        </w:rPr>
        <w:t>第一部分：</w:t>
      </w:r>
      <w:r>
        <w:rPr>
          <w:rFonts w:hint="eastAsia" w:ascii="黑体" w:hAnsi="黑体" w:eastAsia="黑体" w:cs="黑体"/>
          <w:b/>
          <w:bCs/>
          <w:sz w:val="36"/>
          <w:szCs w:val="36"/>
          <w:u w:color="auto"/>
          <w:lang w:val="en-US" w:eastAsia="zh-CN"/>
        </w:rPr>
        <w:t>环江毛南族自治县生态移民发展中心</w:t>
      </w:r>
      <w:r>
        <w:rPr>
          <w:rFonts w:hint="eastAsia" w:ascii="黑体" w:hAnsi="黑体" w:eastAsia="黑体" w:cs="黑体"/>
          <w:b/>
          <w:bCs/>
          <w:sz w:val="36"/>
          <w:szCs w:val="36"/>
          <w:highlight w:val="none"/>
        </w:rPr>
        <w:t>概况</w:t>
      </w:r>
    </w:p>
    <w:p>
      <w:pPr>
        <w:numPr>
          <w:ilvl w:val="0"/>
          <w:numId w:val="0"/>
        </w:numPr>
        <w:jc w:val="left"/>
        <w:rPr>
          <w:rFonts w:hint="eastAsia" w:ascii="黑体" w:hAnsi="黑体" w:eastAsia="黑体" w:cs="黑体"/>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一、</w:t>
      </w:r>
      <w:r>
        <w:rPr>
          <w:rFonts w:hint="eastAsia" w:ascii="黑体" w:hAnsi="黑体" w:eastAsia="黑体" w:cs="黑体"/>
          <w:sz w:val="32"/>
          <w:szCs w:val="32"/>
          <w:highlight w:val="none"/>
        </w:rPr>
        <w:t>主要职能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textAlignment w:val="auto"/>
        <w:rPr>
          <w:rStyle w:val="8"/>
          <w:rFonts w:hint="eastAsia" w:ascii="仿宋" w:hAnsi="仿宋" w:eastAsia="仿宋" w:cs="仿宋"/>
          <w:b w:val="0"/>
          <w:bCs/>
          <w:i w:val="0"/>
          <w:iCs w:val="0"/>
          <w:caps w:val="0"/>
          <w:color w:val="333333"/>
          <w:spacing w:val="0"/>
          <w:sz w:val="32"/>
          <w:szCs w:val="32"/>
          <w:shd w:val="clear" w:fill="FFFFFF"/>
          <w:lang w:val="en-US" w:eastAsia="zh-CN"/>
        </w:rPr>
      </w:pPr>
      <w:r>
        <w:rPr>
          <w:rStyle w:val="8"/>
          <w:rFonts w:hint="eastAsia" w:ascii="仿宋" w:hAnsi="仿宋" w:eastAsia="仿宋" w:cs="仿宋"/>
          <w:b w:val="0"/>
          <w:bCs/>
          <w:i w:val="0"/>
          <w:iCs w:val="0"/>
          <w:caps w:val="0"/>
          <w:color w:val="333333"/>
          <w:spacing w:val="0"/>
          <w:sz w:val="32"/>
          <w:szCs w:val="32"/>
          <w:shd w:val="clear" w:fill="FFFFFF"/>
          <w:lang w:val="en-US" w:eastAsia="zh-CN"/>
        </w:rPr>
        <w:t>根据中共环江毛南族自治县委员会机构编制委员会关于印发《环江毛南族自治县生态移民发展中心职能配置、内设机构和人员编制规定》的通知（环编发【2022】51号，本中心的主要职能有：</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rPr>
        <w:t>贯彻执行国家、自治区生态移民工作方针、政策和法律法规</w:t>
      </w:r>
      <w:r>
        <w:rPr>
          <w:rFonts w:hint="eastAsia" w:ascii="仿宋" w:hAnsi="仿宋" w:eastAsia="仿宋" w:cs="仿宋"/>
          <w:sz w:val="32"/>
          <w:szCs w:val="32"/>
          <w:lang w:eastAsia="zh-CN"/>
        </w:rPr>
        <w:t>，</w:t>
      </w:r>
      <w:r>
        <w:rPr>
          <w:rFonts w:hint="eastAsia" w:ascii="仿宋" w:hAnsi="仿宋" w:eastAsia="仿宋" w:cs="仿宋"/>
          <w:sz w:val="32"/>
          <w:szCs w:val="32"/>
        </w:rPr>
        <w:t>协助起草环江县水库移民和易地搬迁移民工作配套政策及规范性文件草案，负责相关政策、法规、规章的宣传工作。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rPr>
        <w:t>承担水库移民和易地搬迁移民有关规划编制审核的技术服务和安置实施等相关事务性工作。拟订环江县水库移民和易地搬迁移民工作中长期规划</w:t>
      </w:r>
      <w:r>
        <w:rPr>
          <w:rFonts w:hint="eastAsia" w:ascii="仿宋" w:hAnsi="仿宋" w:eastAsia="仿宋" w:cs="仿宋"/>
          <w:sz w:val="32"/>
          <w:szCs w:val="32"/>
          <w:lang w:eastAsia="zh-CN"/>
        </w:rPr>
        <w:t>，</w:t>
      </w:r>
      <w:r>
        <w:rPr>
          <w:rFonts w:hint="eastAsia" w:ascii="仿宋" w:hAnsi="仿宋" w:eastAsia="仿宋" w:cs="仿宋"/>
          <w:sz w:val="32"/>
          <w:szCs w:val="32"/>
        </w:rPr>
        <w:t>编报环江县水库移民和易地搬迁移民年度计划和项目。拟订全县水库移民和易地搬迁移民工作管理办法及实施细则并牵头组织实施。</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rPr>
        <w:t>组织实施经批准的全县水库移民和易地搬迁移民规划和投资计划</w:t>
      </w:r>
      <w:r>
        <w:rPr>
          <w:rFonts w:hint="eastAsia" w:ascii="仿宋" w:hAnsi="仿宋" w:eastAsia="仿宋" w:cs="仿宋"/>
          <w:sz w:val="32"/>
          <w:szCs w:val="32"/>
          <w:lang w:eastAsia="zh-CN"/>
        </w:rPr>
        <w:t>，</w:t>
      </w:r>
      <w:r>
        <w:rPr>
          <w:rFonts w:hint="eastAsia" w:ascii="仿宋" w:hAnsi="仿宋" w:eastAsia="仿宋" w:cs="仿宋"/>
          <w:sz w:val="32"/>
          <w:szCs w:val="32"/>
        </w:rPr>
        <w:t>组织实施全县水库移民和易地搬迁移民工程的验收和评估。</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rPr>
        <w:t>负责全县水库移民和易地搬迁移民扶持规划编制咨询和技术服务工作。承担水库移民和易地搬迁移民后期扶持政策实施监测评估工作</w:t>
      </w:r>
      <w:r>
        <w:rPr>
          <w:rFonts w:hint="eastAsia" w:ascii="仿宋" w:hAnsi="仿宋" w:eastAsia="仿宋" w:cs="仿宋"/>
          <w:sz w:val="32"/>
          <w:szCs w:val="32"/>
          <w:lang w:eastAsia="zh-CN"/>
        </w:rPr>
        <w:t>。</w:t>
      </w:r>
      <w:r>
        <w:rPr>
          <w:rFonts w:hint="eastAsia" w:ascii="仿宋" w:hAnsi="仿宋" w:eastAsia="仿宋" w:cs="仿宋"/>
          <w:sz w:val="32"/>
          <w:szCs w:val="32"/>
        </w:rPr>
        <w:t>承担水库移民后期扶持人口核定登记工作。承担水库移民和易地搬迁移民后期扶持项目实施等相关事务性工</w:t>
      </w:r>
      <w:r>
        <w:rPr>
          <w:rFonts w:hint="eastAsia" w:ascii="仿宋" w:hAnsi="仿宋" w:eastAsia="仿宋" w:cs="仿宋"/>
          <w:sz w:val="32"/>
          <w:szCs w:val="32"/>
          <w:lang w:val="en-US" w:eastAsia="zh-CN"/>
        </w:rPr>
        <w:t>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rPr>
        <w:t>承担全县水库移民和易地搬迁移民资金管理的相关事务性工作。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rPr>
        <w:t>承担全县水库移民和易地搬迁移民技能培训以及相关移民干部业务培训等工作。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负责全县水库移民和易地搬迁移民的合法权益保障及信访维稳以及相关遗留问题处理工作。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八）</w:t>
      </w:r>
      <w:r>
        <w:rPr>
          <w:rFonts w:hint="eastAsia" w:ascii="仿宋" w:hAnsi="仿宋" w:eastAsia="仿宋" w:cs="仿宋"/>
          <w:sz w:val="32"/>
          <w:szCs w:val="32"/>
        </w:rPr>
        <w:t>完成主管部门交办的其他任务</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一）机构设置情况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rPr>
        <w:t>根据职责，设</w:t>
      </w:r>
      <w:r>
        <w:rPr>
          <w:rFonts w:hint="eastAsia" w:ascii="仿宋" w:hAnsi="仿宋" w:eastAsia="仿宋" w:cs="仿宋"/>
          <w:i w:val="0"/>
          <w:iCs w:val="0"/>
          <w:caps w:val="0"/>
          <w:color w:val="333333"/>
          <w:spacing w:val="0"/>
          <w:sz w:val="32"/>
          <w:szCs w:val="32"/>
          <w:shd w:val="clear" w:fill="FFFFFF"/>
          <w:lang w:val="en-US" w:eastAsia="zh-CN"/>
        </w:rPr>
        <w:t>4</w:t>
      </w:r>
      <w:r>
        <w:rPr>
          <w:rFonts w:hint="eastAsia" w:ascii="仿宋" w:hAnsi="仿宋" w:eastAsia="仿宋" w:cs="仿宋"/>
          <w:i w:val="0"/>
          <w:iCs w:val="0"/>
          <w:caps w:val="0"/>
          <w:color w:val="333333"/>
          <w:spacing w:val="0"/>
          <w:sz w:val="32"/>
          <w:szCs w:val="32"/>
          <w:shd w:val="clear" w:fill="FFFFFF"/>
        </w:rPr>
        <w:t>个职能股室，具体为：</w:t>
      </w:r>
      <w:r>
        <w:rPr>
          <w:rFonts w:hint="eastAsia" w:ascii="仿宋" w:hAnsi="仿宋" w:eastAsia="仿宋" w:cs="仿宋"/>
          <w:i w:val="0"/>
          <w:iCs w:val="0"/>
          <w:caps w:val="0"/>
          <w:color w:val="333333"/>
          <w:spacing w:val="0"/>
          <w:sz w:val="32"/>
          <w:szCs w:val="32"/>
          <w:shd w:val="clear"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sz w:val="32"/>
          <w:szCs w:val="32"/>
        </w:rPr>
        <w:t>综合股。负责本中心日常运转工作。具体负责文电</w:t>
      </w:r>
      <w:r>
        <w:rPr>
          <w:rFonts w:hint="eastAsia" w:ascii="仿宋" w:hAnsi="仿宋" w:eastAsia="仿宋" w:cs="仿宋"/>
          <w:sz w:val="32"/>
          <w:szCs w:val="32"/>
          <w:lang w:eastAsia="zh-CN"/>
        </w:rPr>
        <w:t>、</w:t>
      </w:r>
      <w:r>
        <w:rPr>
          <w:rFonts w:hint="eastAsia" w:ascii="仿宋" w:hAnsi="仿宋" w:eastAsia="仿宋" w:cs="仿宋"/>
          <w:sz w:val="32"/>
          <w:szCs w:val="32"/>
        </w:rPr>
        <w:t>会务、人事、机要、档案</w:t>
      </w:r>
      <w:r>
        <w:rPr>
          <w:rFonts w:hint="eastAsia" w:ascii="仿宋" w:hAnsi="仿宋" w:eastAsia="仿宋" w:cs="仿宋"/>
          <w:sz w:val="32"/>
          <w:szCs w:val="32"/>
          <w:lang w:eastAsia="zh-CN"/>
        </w:rPr>
        <w:t>、</w:t>
      </w:r>
      <w:r>
        <w:rPr>
          <w:rFonts w:hint="eastAsia" w:ascii="仿宋" w:hAnsi="仿宋" w:eastAsia="仿宋" w:cs="仿宋"/>
          <w:sz w:val="32"/>
          <w:szCs w:val="32"/>
        </w:rPr>
        <w:t>宣传、保密、党群，绩效考评</w:t>
      </w:r>
      <w:r>
        <w:rPr>
          <w:rFonts w:hint="eastAsia" w:ascii="仿宋" w:hAnsi="仿宋" w:eastAsia="仿宋" w:cs="仿宋"/>
          <w:sz w:val="32"/>
          <w:szCs w:val="32"/>
          <w:lang w:eastAsia="zh-CN"/>
        </w:rPr>
        <w:t>、</w:t>
      </w:r>
      <w:r>
        <w:rPr>
          <w:rFonts w:hint="eastAsia" w:ascii="仿宋" w:hAnsi="仿宋" w:eastAsia="仿宋" w:cs="仿宋"/>
          <w:sz w:val="32"/>
          <w:szCs w:val="32"/>
        </w:rPr>
        <w:t>政务公开、干部培训及离退休干部等工作。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政策法规股。负责水库和易地搬迁安置的理论政策调查研究以及相关政策法规的宣传工作</w:t>
      </w:r>
      <w:r>
        <w:rPr>
          <w:rFonts w:hint="eastAsia" w:ascii="仿宋" w:hAnsi="仿宋" w:eastAsia="仿宋" w:cs="仿宋"/>
          <w:sz w:val="32"/>
          <w:szCs w:val="32"/>
          <w:lang w:eastAsia="zh-CN"/>
        </w:rPr>
        <w:t>；</w:t>
      </w:r>
      <w:r>
        <w:rPr>
          <w:rFonts w:hint="eastAsia" w:ascii="仿宋" w:hAnsi="仿宋" w:eastAsia="仿宋" w:cs="仿宋"/>
          <w:sz w:val="32"/>
          <w:szCs w:val="32"/>
        </w:rPr>
        <w:t>承担有关水库和易地搬迁安置的规范性文件草案的起草</w:t>
      </w:r>
      <w:r>
        <w:rPr>
          <w:rFonts w:hint="eastAsia" w:ascii="仿宋" w:hAnsi="仿宋" w:eastAsia="仿宋" w:cs="仿宋"/>
          <w:sz w:val="32"/>
          <w:szCs w:val="32"/>
          <w:lang w:eastAsia="zh-CN"/>
        </w:rPr>
        <w:t>、</w:t>
      </w:r>
      <w:r>
        <w:rPr>
          <w:rFonts w:hint="eastAsia" w:ascii="仿宋" w:hAnsi="仿宋" w:eastAsia="仿宋" w:cs="仿宋"/>
          <w:sz w:val="32"/>
          <w:szCs w:val="32"/>
        </w:rPr>
        <w:t>修改、审核、清理等工作</w:t>
      </w:r>
      <w:r>
        <w:rPr>
          <w:rFonts w:hint="eastAsia" w:ascii="仿宋" w:hAnsi="仿宋" w:eastAsia="仿宋" w:cs="仿宋"/>
          <w:sz w:val="32"/>
          <w:szCs w:val="32"/>
          <w:lang w:eastAsia="zh-CN"/>
        </w:rPr>
        <w:t>；</w:t>
      </w:r>
      <w:r>
        <w:rPr>
          <w:rFonts w:hint="eastAsia" w:ascii="仿宋" w:hAnsi="仿宋" w:eastAsia="仿宋" w:cs="仿宋"/>
          <w:sz w:val="32"/>
          <w:szCs w:val="32"/>
        </w:rPr>
        <w:t>承办水库和易地搬迁安置相关的行政应诉工作</w:t>
      </w:r>
      <w:r>
        <w:rPr>
          <w:rFonts w:hint="eastAsia" w:ascii="仿宋" w:hAnsi="仿宋" w:eastAsia="仿宋" w:cs="仿宋"/>
          <w:sz w:val="32"/>
          <w:szCs w:val="32"/>
          <w:lang w:eastAsia="zh-CN"/>
        </w:rPr>
        <w:t>；</w:t>
      </w:r>
      <w:r>
        <w:rPr>
          <w:rFonts w:hint="eastAsia" w:ascii="仿宋" w:hAnsi="仿宋" w:eastAsia="仿宋" w:cs="仿宋"/>
          <w:sz w:val="32"/>
          <w:szCs w:val="32"/>
        </w:rPr>
        <w:t>负责指导全县水库和易地搬迁安置移民权益保障以及综治维稳工作。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计划财务股。负</w:t>
      </w:r>
      <w:r>
        <w:rPr>
          <w:rFonts w:hint="eastAsia" w:ascii="仿宋" w:hAnsi="仿宋" w:eastAsia="仿宋" w:cs="仿宋"/>
          <w:sz w:val="32"/>
          <w:szCs w:val="32"/>
          <w:lang w:val="en-US" w:eastAsia="zh-CN"/>
        </w:rPr>
        <w:t>责</w:t>
      </w:r>
      <w:r>
        <w:rPr>
          <w:rFonts w:hint="eastAsia" w:ascii="仿宋" w:hAnsi="仿宋" w:eastAsia="仿宋" w:cs="仿宋"/>
          <w:sz w:val="32"/>
          <w:szCs w:val="32"/>
        </w:rPr>
        <w:t>全县水库移民和易地搬迁移民工作的信息化和综合化统计工作</w:t>
      </w:r>
      <w:r>
        <w:rPr>
          <w:rFonts w:hint="eastAsia" w:ascii="仿宋" w:hAnsi="仿宋" w:eastAsia="仿宋" w:cs="仿宋"/>
          <w:sz w:val="32"/>
          <w:szCs w:val="32"/>
          <w:lang w:eastAsia="zh-CN"/>
        </w:rPr>
        <w:t>；</w:t>
      </w:r>
      <w:r>
        <w:rPr>
          <w:rFonts w:hint="eastAsia" w:ascii="仿宋" w:hAnsi="仿宋" w:eastAsia="仿宋" w:cs="仿宋"/>
          <w:sz w:val="32"/>
          <w:szCs w:val="32"/>
        </w:rPr>
        <w:t>负责全县水库移民和易地搬迁移民资金的计划编报等工作</w:t>
      </w:r>
      <w:r>
        <w:rPr>
          <w:rFonts w:hint="eastAsia" w:ascii="仿宋" w:hAnsi="仿宋" w:eastAsia="仿宋" w:cs="仿宋"/>
          <w:sz w:val="32"/>
          <w:szCs w:val="32"/>
          <w:lang w:eastAsia="zh-CN"/>
        </w:rPr>
        <w:t>；</w:t>
      </w:r>
      <w:r>
        <w:rPr>
          <w:rFonts w:hint="eastAsia" w:ascii="仿宋" w:hAnsi="仿宋" w:eastAsia="仿宋" w:cs="仿宋"/>
          <w:sz w:val="32"/>
          <w:szCs w:val="32"/>
        </w:rPr>
        <w:t>负</w:t>
      </w:r>
      <w:r>
        <w:rPr>
          <w:rFonts w:hint="eastAsia" w:ascii="仿宋" w:hAnsi="仿宋" w:eastAsia="仿宋" w:cs="仿宋"/>
          <w:sz w:val="32"/>
          <w:szCs w:val="32"/>
          <w:lang w:val="en-US" w:eastAsia="zh-CN"/>
        </w:rPr>
        <w:t>责</w:t>
      </w:r>
      <w:r>
        <w:rPr>
          <w:rFonts w:hint="eastAsia" w:ascii="仿宋" w:hAnsi="仿宋" w:eastAsia="仿宋" w:cs="仿宋"/>
          <w:sz w:val="32"/>
          <w:szCs w:val="32"/>
        </w:rPr>
        <w:t>编报部门预决算及本中心日常财务工作</w:t>
      </w:r>
      <w:r>
        <w:rPr>
          <w:rFonts w:hint="eastAsia" w:ascii="仿宋" w:hAnsi="仿宋" w:eastAsia="仿宋" w:cs="仿宋"/>
          <w:sz w:val="32"/>
          <w:szCs w:val="32"/>
          <w:lang w:eastAsia="zh-CN"/>
        </w:rPr>
        <w:t>；</w:t>
      </w:r>
      <w:r>
        <w:rPr>
          <w:rFonts w:hint="eastAsia" w:ascii="仿宋" w:hAnsi="仿宋" w:eastAsia="仿宋" w:cs="仿宋"/>
          <w:sz w:val="32"/>
          <w:szCs w:val="32"/>
        </w:rPr>
        <w:t>负责中心劳资、资产管理工作</w:t>
      </w:r>
      <w:r>
        <w:rPr>
          <w:rFonts w:hint="eastAsia" w:ascii="仿宋" w:hAnsi="仿宋" w:eastAsia="仿宋" w:cs="仿宋"/>
          <w:sz w:val="32"/>
          <w:szCs w:val="32"/>
          <w:lang w:eastAsia="zh-CN"/>
        </w:rPr>
        <w:t>；</w:t>
      </w:r>
      <w:r>
        <w:rPr>
          <w:rFonts w:hint="eastAsia" w:ascii="仿宋" w:hAnsi="仿宋" w:eastAsia="仿宋" w:cs="仿宋"/>
          <w:sz w:val="32"/>
          <w:szCs w:val="32"/>
        </w:rPr>
        <w:t>协助上级主管部门开展水库移民和易地搬迁移民资金使用的内部审计、专项督查、稽查工作。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后期扶持股。负责全县在建水利水电工程移民搬迁安置和专项迁改建工作的实施</w:t>
      </w:r>
      <w:r>
        <w:rPr>
          <w:rFonts w:hint="eastAsia" w:ascii="仿宋" w:hAnsi="仿宋" w:eastAsia="仿宋" w:cs="仿宋"/>
          <w:sz w:val="32"/>
          <w:szCs w:val="32"/>
          <w:lang w:eastAsia="zh-CN"/>
        </w:rPr>
        <w:t>；</w:t>
      </w:r>
      <w:r>
        <w:rPr>
          <w:rFonts w:hint="eastAsia" w:ascii="仿宋" w:hAnsi="仿宋" w:eastAsia="仿宋" w:cs="仿宋"/>
          <w:sz w:val="32"/>
          <w:szCs w:val="32"/>
        </w:rPr>
        <w:t>负责拟建水利水电工程移民搬迁安置规划和年度计划编报工作的指导、协调及执行情况的调研</w:t>
      </w:r>
      <w:r>
        <w:rPr>
          <w:rFonts w:hint="eastAsia" w:ascii="仿宋" w:hAnsi="仿宋" w:eastAsia="仿宋" w:cs="仿宋"/>
          <w:sz w:val="32"/>
          <w:szCs w:val="32"/>
          <w:lang w:eastAsia="zh-CN"/>
        </w:rPr>
        <w:t>；</w:t>
      </w:r>
      <w:r>
        <w:rPr>
          <w:rFonts w:hint="eastAsia" w:ascii="仿宋" w:hAnsi="仿宋" w:eastAsia="仿宋" w:cs="仿宋"/>
          <w:sz w:val="32"/>
          <w:szCs w:val="32"/>
        </w:rPr>
        <w:t>负责在建水利水电工程移民搬迁安置政策、法律、法规的宣传工作。负责协助开展水库移民和易地搬迁移民后期扶持规划、库区和移民安置区基础设施建设和经济发展规划编报工作</w:t>
      </w:r>
      <w:r>
        <w:rPr>
          <w:rFonts w:hint="eastAsia" w:ascii="仿宋" w:hAnsi="仿宋" w:eastAsia="仿宋" w:cs="仿宋"/>
          <w:sz w:val="32"/>
          <w:szCs w:val="32"/>
          <w:lang w:eastAsia="zh-CN"/>
        </w:rPr>
        <w:t>；</w:t>
      </w:r>
      <w:r>
        <w:rPr>
          <w:rFonts w:hint="eastAsia" w:ascii="仿宋" w:hAnsi="仿宋" w:eastAsia="仿宋" w:cs="仿宋"/>
          <w:sz w:val="32"/>
          <w:szCs w:val="32"/>
        </w:rPr>
        <w:t>编制水库移民和易地搬迁移民后期扶持年度任务及资金计划</w:t>
      </w:r>
      <w:r>
        <w:rPr>
          <w:rFonts w:hint="eastAsia" w:ascii="仿宋" w:hAnsi="仿宋" w:eastAsia="仿宋" w:cs="仿宋"/>
          <w:sz w:val="32"/>
          <w:szCs w:val="32"/>
          <w:lang w:eastAsia="zh-CN"/>
        </w:rPr>
        <w:t>；</w:t>
      </w:r>
      <w:r>
        <w:rPr>
          <w:rFonts w:hint="eastAsia" w:ascii="仿宋" w:hAnsi="仿宋" w:eastAsia="仿宋" w:cs="仿宋"/>
          <w:sz w:val="32"/>
          <w:szCs w:val="32"/>
        </w:rPr>
        <w:t>负责水库移民和易地搬迁移民后期扶持项目的实施工作</w:t>
      </w:r>
      <w:r>
        <w:rPr>
          <w:rFonts w:hint="eastAsia" w:ascii="仿宋" w:hAnsi="仿宋" w:eastAsia="仿宋" w:cs="仿宋"/>
          <w:sz w:val="32"/>
          <w:szCs w:val="32"/>
          <w:lang w:eastAsia="zh-CN"/>
        </w:rPr>
        <w:t>；</w:t>
      </w:r>
      <w:r>
        <w:rPr>
          <w:rFonts w:hint="eastAsia" w:ascii="仿宋" w:hAnsi="仿宋" w:eastAsia="仿宋" w:cs="仿宋"/>
          <w:sz w:val="32"/>
          <w:szCs w:val="32"/>
        </w:rPr>
        <w:t>负责水库移民和易地搬迁移民遗留问题的处理工作</w:t>
      </w:r>
      <w:r>
        <w:rPr>
          <w:rFonts w:hint="eastAsia" w:ascii="仿宋" w:hAnsi="仿宋" w:eastAsia="仿宋" w:cs="仿宋"/>
          <w:sz w:val="32"/>
          <w:szCs w:val="32"/>
          <w:lang w:eastAsia="zh-CN"/>
        </w:rPr>
        <w:t>；</w:t>
      </w:r>
      <w:r>
        <w:rPr>
          <w:rFonts w:hint="eastAsia" w:ascii="仿宋" w:hAnsi="仿宋" w:eastAsia="仿宋" w:cs="仿宋"/>
          <w:sz w:val="32"/>
          <w:szCs w:val="32"/>
        </w:rPr>
        <w:t>协助开展水库移民和易地搬迁移民项目验收评估工作。负责水库移民和易地搬迁移民培训工作。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二）人员构成情况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人员编制总数为19人</w:t>
      </w:r>
      <w:r>
        <w:rPr>
          <w:rFonts w:hint="eastAsia" w:ascii="仿宋_GB2312" w:eastAsia="仿宋_GB2312"/>
          <w:sz w:val="32"/>
          <w:szCs w:val="32"/>
          <w:lang w:eastAsia="zh-CN"/>
        </w:rPr>
        <w:t>（</w:t>
      </w:r>
      <w:r>
        <w:rPr>
          <w:rFonts w:hint="eastAsia" w:ascii="仿宋_GB2312" w:eastAsia="仿宋_GB2312"/>
          <w:sz w:val="32"/>
          <w:szCs w:val="32"/>
          <w:lang w:val="en-US" w:eastAsia="zh-CN"/>
        </w:rPr>
        <w:t>其中中心本级参公11人，</w:t>
      </w:r>
      <w:r>
        <w:rPr>
          <w:rFonts w:hint="eastAsia" w:ascii="仿宋" w:hAnsi="仿宋" w:eastAsia="仿宋" w:cs="仿宋"/>
          <w:color w:val="333333"/>
          <w:sz w:val="32"/>
          <w:szCs w:val="32"/>
          <w:shd w:val="clear" w:color="auto" w:fill="FFFFFF"/>
          <w:lang w:val="en-US" w:eastAsia="zh-CN"/>
        </w:rPr>
        <w:t>环江毛南族自治县易地扶贫搬迁服务中心全额8人）</w:t>
      </w:r>
      <w:r>
        <w:rPr>
          <w:rFonts w:hint="eastAsia" w:ascii="仿宋_GB2312" w:eastAsia="仿宋_GB2312"/>
          <w:sz w:val="32"/>
          <w:szCs w:val="32"/>
        </w:rPr>
        <w:t>，其中行政编制0人，事业编制19人，机关后勤服务中心聘用人员控制数0人。</w:t>
      </w:r>
      <w:r>
        <w:rPr>
          <w:rFonts w:hint="eastAsia" w:ascii="仿宋_GB2312" w:eastAsia="仿宋_GB2312"/>
          <w:sz w:val="32"/>
          <w:szCs w:val="32"/>
          <w:lang w:val="en-US" w:eastAsia="zh-CN"/>
        </w:rPr>
        <w:t>2022年末</w:t>
      </w:r>
      <w:r>
        <w:rPr>
          <w:rFonts w:hint="eastAsia" w:ascii="仿宋_GB2312" w:eastAsia="仿宋_GB2312"/>
          <w:sz w:val="32"/>
          <w:szCs w:val="32"/>
        </w:rPr>
        <w:t>实有财政供养人数1</w:t>
      </w:r>
      <w:r>
        <w:rPr>
          <w:rFonts w:hint="eastAsia" w:ascii="仿宋_GB2312" w:eastAsia="仿宋_GB2312"/>
          <w:sz w:val="32"/>
          <w:szCs w:val="32"/>
          <w:lang w:val="en-US" w:eastAsia="zh-CN"/>
        </w:rPr>
        <w:t>7</w:t>
      </w:r>
      <w:r>
        <w:rPr>
          <w:rFonts w:hint="eastAsia" w:ascii="仿宋_GB2312" w:eastAsia="仿宋_GB2312"/>
          <w:sz w:val="32"/>
          <w:szCs w:val="32"/>
        </w:rPr>
        <w:t>人，其中行政在职0人，事业在职1</w:t>
      </w:r>
      <w:r>
        <w:rPr>
          <w:rFonts w:ascii="仿宋_GB2312" w:eastAsia="仿宋_GB2312"/>
          <w:sz w:val="32"/>
          <w:szCs w:val="32"/>
        </w:rPr>
        <w:t>7</w:t>
      </w:r>
      <w:r>
        <w:rPr>
          <w:rFonts w:hint="eastAsia" w:ascii="仿宋_GB2312" w:eastAsia="仿宋_GB2312"/>
          <w:sz w:val="32"/>
          <w:szCs w:val="32"/>
        </w:rPr>
        <w:t>人（其中参公事业10人，全额事业</w:t>
      </w:r>
      <w:r>
        <w:rPr>
          <w:rFonts w:ascii="仿宋_GB2312" w:eastAsia="仿宋_GB2312"/>
          <w:sz w:val="32"/>
          <w:szCs w:val="32"/>
        </w:rPr>
        <w:t>7</w:t>
      </w:r>
      <w:r>
        <w:rPr>
          <w:rFonts w:hint="eastAsia" w:ascii="仿宋_GB2312" w:eastAsia="仿宋_GB2312"/>
          <w:sz w:val="32"/>
          <w:szCs w:val="32"/>
        </w:rPr>
        <w:t>人），离退休人员0人（其中离休0人）。编外（政府购买人员）在职实有人数2</w:t>
      </w:r>
      <w:r>
        <w:rPr>
          <w:rFonts w:ascii="仿宋_GB2312" w:eastAsia="仿宋_GB2312"/>
          <w:sz w:val="32"/>
          <w:szCs w:val="32"/>
        </w:rPr>
        <w:t>1</w:t>
      </w:r>
      <w:r>
        <w:rPr>
          <w:rFonts w:hint="eastAsia" w:ascii="仿宋_GB2312" w:eastAsia="仿宋_GB2312"/>
          <w:sz w:val="32"/>
          <w:szCs w:val="32"/>
        </w:rPr>
        <w:t>人。</w:t>
      </w:r>
    </w:p>
    <w:p>
      <w:pPr>
        <w:pStyle w:val="5"/>
        <w:widowControl/>
        <w:shd w:val="clear" w:color="auto" w:fill="FFFFFF"/>
        <w:spacing w:before="0" w:beforeAutospacing="0" w:after="0" w:afterAutospacing="0" w:line="520" w:lineRule="exact"/>
        <w:ind w:firstLine="640" w:firstLineChars="200"/>
        <w:rPr>
          <w:rFonts w:hint="eastAsia" w:ascii="仿宋" w:hAnsi="仿宋" w:eastAsia="仿宋" w:cs="仿宋"/>
          <w:color w:val="333333"/>
          <w:sz w:val="32"/>
          <w:szCs w:val="32"/>
          <w:shd w:val="clear" w:color="auto" w:fill="FFFFFF"/>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default" w:ascii="仿宋" w:hAnsi="仿宋" w:eastAsia="仿宋" w:cs="仿宋"/>
          <w:sz w:val="32"/>
          <w:szCs w:val="32"/>
          <w:lang w:val="en-US" w:eastAsia="zh-CN"/>
        </w:rPr>
      </w:pPr>
    </w:p>
    <w:p>
      <w:pPr>
        <w:ind w:firstLine="640" w:firstLineChars="200"/>
        <w:jc w:val="left"/>
        <w:rPr>
          <w:rFonts w:hint="default" w:ascii="仿宋" w:hAnsi="仿宋" w:eastAsia="仿宋" w:cs="仿宋"/>
          <w:color w:val="FF0000"/>
          <w:sz w:val="32"/>
          <w:szCs w:val="32"/>
          <w:lang w:val="en-US" w:eastAsia="zh-CN"/>
        </w:rPr>
      </w:pPr>
    </w:p>
    <w:p>
      <w:pPr>
        <w:jc w:val="center"/>
        <w:rPr>
          <w:rFonts w:hint="eastAsia" w:ascii="仿宋" w:hAnsi="仿宋" w:eastAsia="仿宋" w:cs="仿宋"/>
          <w:sz w:val="32"/>
          <w:szCs w:val="32"/>
          <w:highlight w:val="none"/>
          <w:lang w:val="en-US" w:eastAsia="zh-CN"/>
        </w:rPr>
      </w:pP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both"/>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both"/>
        <w:rPr>
          <w:rFonts w:hint="default" w:ascii="黑体" w:hAnsi="黑体" w:eastAsia="黑体" w:cs="黑体"/>
          <w:sz w:val="32"/>
          <w:szCs w:val="32"/>
          <w:highlight w:val="none"/>
          <w:lang w:val="en-US" w:eastAsia="zh-CN"/>
        </w:rPr>
      </w:pPr>
    </w:p>
    <w:p>
      <w:pPr>
        <w:jc w:val="center"/>
        <w:rPr>
          <w:rFonts w:hint="eastAsia" w:ascii="黑体" w:hAnsi="黑体" w:eastAsia="黑体" w:cs="黑体"/>
          <w:b/>
          <w:bCs/>
          <w:sz w:val="36"/>
          <w:szCs w:val="36"/>
          <w:highlight w:val="none"/>
        </w:rPr>
      </w:pPr>
      <w:r>
        <w:rPr>
          <w:rFonts w:hint="eastAsia" w:ascii="黑体" w:hAnsi="黑体" w:eastAsia="黑体" w:cs="黑体"/>
          <w:b/>
          <w:bCs/>
          <w:sz w:val="36"/>
          <w:szCs w:val="36"/>
          <w:highlight w:val="none"/>
        </w:rPr>
        <w:t>第二部分：</w:t>
      </w:r>
      <w:r>
        <w:rPr>
          <w:rFonts w:hint="eastAsia" w:ascii="黑体" w:hAnsi="黑体" w:eastAsia="黑体" w:cs="黑体"/>
          <w:b/>
          <w:bCs/>
          <w:sz w:val="36"/>
          <w:szCs w:val="36"/>
          <w:u w:color="auto"/>
          <w:lang w:val="en-US" w:eastAsia="zh-CN"/>
        </w:rPr>
        <w:t>环江毛南族自治县生态移民发展中心</w:t>
      </w:r>
      <w:r>
        <w:rPr>
          <w:rFonts w:hint="eastAsia" w:ascii="黑体" w:hAnsi="黑体" w:eastAsia="黑体" w:cs="黑体"/>
          <w:b/>
          <w:bCs/>
          <w:sz w:val="36"/>
          <w:szCs w:val="36"/>
          <w:highlight w:val="none"/>
        </w:rPr>
        <w:t xml:space="preserve"> 2022年度部门决算报表</w:t>
      </w:r>
    </w:p>
    <w:p>
      <w:pPr>
        <w:jc w:val="center"/>
        <w:rPr>
          <w:rFonts w:hint="eastAsia" w:ascii="黑体" w:hAnsi="黑体" w:eastAsia="黑体" w:cs="黑体"/>
          <w:sz w:val="32"/>
          <w:szCs w:val="32"/>
          <w:highlight w:val="none"/>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tbl>
      <w:tblPr>
        <w:tblStyle w:val="6"/>
        <w:tblW w:w="14070" w:type="dxa"/>
        <w:tblInd w:w="0" w:type="dxa"/>
        <w:shd w:val="clear" w:color="auto" w:fill="auto"/>
        <w:tblLayout w:type="fixed"/>
        <w:tblCellMar>
          <w:top w:w="0" w:type="dxa"/>
          <w:left w:w="0" w:type="dxa"/>
          <w:bottom w:w="0" w:type="dxa"/>
          <w:right w:w="0" w:type="dxa"/>
        </w:tblCellMar>
      </w:tblPr>
      <w:tblGrid>
        <w:gridCol w:w="3856"/>
        <w:gridCol w:w="473"/>
        <w:gridCol w:w="916"/>
        <w:gridCol w:w="3353"/>
        <w:gridCol w:w="473"/>
        <w:gridCol w:w="4999"/>
      </w:tblGrid>
      <w:tr>
        <w:tblPrEx>
          <w:shd w:val="clear" w:color="auto" w:fill="auto"/>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shd w:val="clear" w:color="auto" w:fill="auto"/>
          <w:tblCellMar>
            <w:top w:w="0" w:type="dxa"/>
            <w:left w:w="0" w:type="dxa"/>
            <w:bottom w:w="0" w:type="dxa"/>
            <w:right w:w="0" w:type="dxa"/>
          </w:tblCellMar>
        </w:tblPrEx>
        <w:trPr>
          <w:trHeight w:val="255" w:hRule="atLeast"/>
        </w:trPr>
        <w:tc>
          <w:tcPr>
            <w:tcW w:w="385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eastAsia" w:ascii="Arial" w:hAnsi="Arial" w:cs="Arial"/>
                <w:i w:val="0"/>
                <w:color w:val="000000"/>
                <w:sz w:val="20"/>
                <w:szCs w:val="20"/>
                <w:u w:val="none"/>
              </w:rPr>
            </w:pPr>
          </w:p>
        </w:tc>
        <w:tc>
          <w:tcPr>
            <w:tcW w:w="47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1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335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47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499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shd w:val="clear" w:color="auto" w:fill="auto"/>
          <w:tblCellMar>
            <w:top w:w="0" w:type="dxa"/>
            <w:left w:w="0" w:type="dxa"/>
            <w:bottom w:w="0" w:type="dxa"/>
            <w:right w:w="0" w:type="dxa"/>
          </w:tblCellMar>
        </w:tblPrEx>
        <w:trPr>
          <w:trHeight w:val="255" w:hRule="atLeast"/>
        </w:trPr>
        <w:tc>
          <w:tcPr>
            <w:tcW w:w="385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部门：环江毛南族自治县生态移民发展中心</w:t>
            </w:r>
          </w:p>
        </w:tc>
        <w:tc>
          <w:tcPr>
            <w:tcW w:w="47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1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335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47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499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trPr>
        <w:tc>
          <w:tcPr>
            <w:tcW w:w="5245"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8825" w:type="dxa"/>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9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499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1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499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5,484.69</w:t>
            </w: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926.90</w:t>
            </w: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518.34</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5,830.98</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0"/>
                <w:szCs w:val="20"/>
                <w:u w:val="none"/>
              </w:rPr>
            </w:pP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6,411.59</w:t>
            </w: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6,411.59</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r>
      <w:tr>
        <w:tblPrEx>
          <w:shd w:val="clear" w:color="auto" w:fill="auto"/>
        </w:tblPrEx>
        <w:trPr>
          <w:trHeight w:val="308" w:hRule="atLeast"/>
        </w:trPr>
        <w:tc>
          <w:tcPr>
            <w:tcW w:w="385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6,411.59</w:t>
            </w:r>
          </w:p>
        </w:tc>
        <w:tc>
          <w:tcPr>
            <w:tcW w:w="335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7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4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6,411.59</w:t>
            </w:r>
          </w:p>
        </w:tc>
      </w:tr>
      <w:tr>
        <w:tblPrEx>
          <w:shd w:val="clear" w:color="auto" w:fill="auto"/>
          <w:tblCellMar>
            <w:top w:w="0" w:type="dxa"/>
            <w:left w:w="0" w:type="dxa"/>
            <w:bottom w:w="0" w:type="dxa"/>
            <w:right w:w="0" w:type="dxa"/>
          </w:tblCellMar>
        </w:tblPrEx>
        <w:trPr>
          <w:trHeight w:val="308" w:hRule="atLeast"/>
        </w:trPr>
        <w:tc>
          <w:tcPr>
            <w:tcW w:w="1407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注：1.本表反映部门本年度的总收支和年末结转结余情况。</w:t>
            </w:r>
          </w:p>
        </w:tc>
      </w:tr>
      <w:tr>
        <w:tblPrEx>
          <w:shd w:val="clear" w:color="auto" w:fill="auto"/>
          <w:tblCellMar>
            <w:top w:w="0" w:type="dxa"/>
            <w:left w:w="0" w:type="dxa"/>
            <w:bottom w:w="0" w:type="dxa"/>
            <w:right w:w="0" w:type="dxa"/>
          </w:tblCellMar>
        </w:tblPrEx>
        <w:trPr>
          <w:trHeight w:val="308" w:hRule="atLeast"/>
        </w:trPr>
        <w:tc>
          <w:tcPr>
            <w:tcW w:w="1407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2.本套报表金额单位转换时可能存在尾数误差。</w:t>
            </w:r>
          </w:p>
        </w:tc>
      </w:tr>
    </w:tbl>
    <w:p>
      <w:pPr>
        <w:jc w:val="center"/>
        <w:rPr>
          <w:rFonts w:hint="eastAsia" w:ascii="黑体" w:hAnsi="黑体" w:eastAsia="黑体" w:cs="黑体"/>
          <w:sz w:val="32"/>
          <w:szCs w:val="32"/>
          <w:highlight w:val="none"/>
        </w:rPr>
      </w:pPr>
    </w:p>
    <w:p>
      <w:pPr>
        <w:jc w:val="center"/>
        <w:rPr>
          <w:rFonts w:hint="eastAsia" w:ascii="黑体" w:hAnsi="黑体" w:eastAsia="黑体" w:cs="黑体"/>
          <w:sz w:val="32"/>
          <w:szCs w:val="32"/>
          <w:highlight w:val="none"/>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tbl>
      <w:tblPr>
        <w:tblStyle w:val="6"/>
        <w:tblW w:w="13988" w:type="dxa"/>
        <w:tblInd w:w="0" w:type="dxa"/>
        <w:shd w:val="clear" w:color="auto" w:fill="auto"/>
        <w:tblLayout w:type="fixed"/>
        <w:tblCellMar>
          <w:top w:w="0" w:type="dxa"/>
          <w:left w:w="0" w:type="dxa"/>
          <w:bottom w:w="0" w:type="dxa"/>
          <w:right w:w="0" w:type="dxa"/>
        </w:tblCellMar>
      </w:tblPr>
      <w:tblGrid>
        <w:gridCol w:w="1512"/>
        <w:gridCol w:w="315"/>
        <w:gridCol w:w="345"/>
        <w:gridCol w:w="3240"/>
        <w:gridCol w:w="1365"/>
        <w:gridCol w:w="1560"/>
        <w:gridCol w:w="1410"/>
        <w:gridCol w:w="1091"/>
        <w:gridCol w:w="918"/>
        <w:gridCol w:w="1036"/>
        <w:gridCol w:w="1196"/>
      </w:tblGrid>
      <w:tr>
        <w:tblPrEx>
          <w:shd w:val="clear" w:color="auto" w:fill="auto"/>
          <w:tblCellMar>
            <w:top w:w="0" w:type="dxa"/>
            <w:left w:w="0" w:type="dxa"/>
            <w:bottom w:w="0" w:type="dxa"/>
            <w:right w:w="0" w:type="dxa"/>
          </w:tblCellMar>
        </w:tblPrEx>
        <w:trPr>
          <w:trHeight w:val="390" w:hRule="atLeast"/>
        </w:trPr>
        <w:tc>
          <w:tcPr>
            <w:tcW w:w="13988" w:type="dxa"/>
            <w:gridSpan w:val="11"/>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shd w:val="clear" w:color="auto" w:fill="auto"/>
          <w:tblCellMar>
            <w:top w:w="0" w:type="dxa"/>
            <w:left w:w="0" w:type="dxa"/>
            <w:bottom w:w="0" w:type="dxa"/>
            <w:right w:w="0" w:type="dxa"/>
          </w:tblCellMar>
        </w:tblPrEx>
        <w:trPr>
          <w:trHeight w:val="255" w:hRule="atLeast"/>
        </w:trPr>
        <w:tc>
          <w:tcPr>
            <w:tcW w:w="151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eastAsia" w:ascii="Arial" w:hAnsi="Arial" w:cs="Arial"/>
                <w:i w:val="0"/>
                <w:color w:val="000000"/>
                <w:sz w:val="20"/>
                <w:szCs w:val="20"/>
                <w:u w:val="none"/>
              </w:rPr>
            </w:pPr>
          </w:p>
        </w:tc>
        <w:tc>
          <w:tcPr>
            <w:tcW w:w="31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34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324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6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56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41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091"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18"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03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19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shd w:val="clear" w:color="auto" w:fill="auto"/>
          <w:tblCellMar>
            <w:top w:w="0" w:type="dxa"/>
            <w:left w:w="0" w:type="dxa"/>
            <w:bottom w:w="0" w:type="dxa"/>
            <w:right w:w="0" w:type="dxa"/>
          </w:tblCellMar>
        </w:tblPrEx>
        <w:trPr>
          <w:trHeight w:val="255" w:hRule="atLeast"/>
        </w:trPr>
        <w:tc>
          <w:tcPr>
            <w:tcW w:w="5412"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部门：环江毛南族自治县生态移民发展中心</w:t>
            </w:r>
          </w:p>
        </w:tc>
        <w:tc>
          <w:tcPr>
            <w:tcW w:w="136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56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41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091"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18"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2232"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trPr>
        <w:tc>
          <w:tcPr>
            <w:tcW w:w="5412"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6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56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41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091"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91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03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19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shd w:val="clear" w:color="auto" w:fill="auto"/>
          <w:tblCellMar>
            <w:top w:w="0" w:type="dxa"/>
            <w:left w:w="0" w:type="dxa"/>
            <w:bottom w:w="0" w:type="dxa"/>
            <w:right w:w="0" w:type="dxa"/>
          </w:tblCellMar>
        </w:tblPrEx>
        <w:trPr>
          <w:trHeight w:val="308" w:hRule="atLeast"/>
        </w:trPr>
        <w:tc>
          <w:tcPr>
            <w:tcW w:w="2172"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324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6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560"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10"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1"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18"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36"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96"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17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324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6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560"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10"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1"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18"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36"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96"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17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324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6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560"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10"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1"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18"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36"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96"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541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6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1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9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shd w:val="clear" w:color="auto" w:fill="auto"/>
        </w:tblPrEx>
        <w:trPr>
          <w:trHeight w:val="308" w:hRule="atLeast"/>
        </w:trPr>
        <w:tc>
          <w:tcPr>
            <w:tcW w:w="541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6,411.59</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6,411.59</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2012999</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其他群众团体事务支出</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518.34</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518.34</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40.08</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40.08</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40.08</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40.08</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20822</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大中型水库移民后期扶持基金支出</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477.94</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477.94</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2082201</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移民补助</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49.32</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49.32</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2082202</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基础设施建设和经济发展</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428.62</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428.62</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20823</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小型水库移民扶助基金安排的支出</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0.33</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0.33</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2082302</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基础设施建设和经济发展</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0.33</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0.33</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5,830.98</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5,830.98</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69.23</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69.23</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2130321</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大中型水库移民后期扶持专项支出</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7.89</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7.89</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2130334</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水利建设征地及移民支出</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61.34</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61.34</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巩固脱贫衔接乡村振兴</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4,699.72</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4,699.72</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2130501</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0.04</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0.04</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2130507</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贷款奖补和贴息</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850.00</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850.00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2130599</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其他巩固脱贫衔接乡村振兴支出</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3,849.68</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3,849.68</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21366</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大中型水库库区基金安排的支出</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448.63</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448.63</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2136601</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基础设施建设和经济发展</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448.63</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448.63</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21399</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其他农林水支出</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613.39</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613.39</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2139999</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其他农林水支出</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613.39</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613.39</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1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2299999</w:t>
            </w:r>
          </w:p>
        </w:tc>
        <w:tc>
          <w:tcPr>
            <w:tcW w:w="3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3988"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rPr>
          <w:rFonts w:ascii="宋体" w:hAnsi="宋体" w:eastAsia="宋体" w:cs="宋体"/>
          <w:color w:val="000000"/>
          <w:kern w:val="0"/>
          <w:sz w:val="30"/>
          <w:szCs w:val="30"/>
          <w:highlight w:val="none"/>
          <w:lang w:bidi="ar"/>
        </w:rPr>
      </w:pPr>
    </w:p>
    <w:p>
      <w:pPr>
        <w:rPr>
          <w:rFonts w:hint="eastAsia" w:ascii="仿宋" w:hAnsi="仿宋" w:eastAsia="仿宋" w:cs="仿宋"/>
          <w:sz w:val="24"/>
          <w:highlight w:val="none"/>
        </w:rPr>
      </w:pPr>
      <w:r>
        <w:rPr>
          <w:rFonts w:hint="eastAsia" w:ascii="仿宋" w:hAnsi="仿宋" w:eastAsia="仿宋" w:cs="仿宋"/>
          <w:sz w:val="24"/>
          <w:highlight w:val="none"/>
        </w:rPr>
        <w:t>表三：支出决算表</w:t>
      </w:r>
    </w:p>
    <w:tbl>
      <w:tblPr>
        <w:tblStyle w:val="6"/>
        <w:tblW w:w="13988" w:type="dxa"/>
        <w:tblInd w:w="0" w:type="dxa"/>
        <w:shd w:val="clear" w:color="auto" w:fill="auto"/>
        <w:tblLayout w:type="fixed"/>
        <w:tblCellMar>
          <w:top w:w="0" w:type="dxa"/>
          <w:left w:w="0" w:type="dxa"/>
          <w:bottom w:w="0" w:type="dxa"/>
          <w:right w:w="0" w:type="dxa"/>
        </w:tblCellMar>
      </w:tblPr>
      <w:tblGrid>
        <w:gridCol w:w="1647"/>
        <w:gridCol w:w="360"/>
        <w:gridCol w:w="255"/>
        <w:gridCol w:w="3585"/>
        <w:gridCol w:w="1500"/>
        <w:gridCol w:w="1515"/>
        <w:gridCol w:w="1335"/>
        <w:gridCol w:w="1065"/>
        <w:gridCol w:w="1240"/>
        <w:gridCol w:w="1486"/>
      </w:tblGrid>
      <w:tr>
        <w:tblPrEx>
          <w:shd w:val="clear" w:color="auto" w:fill="auto"/>
          <w:tblCellMar>
            <w:top w:w="0" w:type="dxa"/>
            <w:left w:w="0" w:type="dxa"/>
            <w:bottom w:w="0" w:type="dxa"/>
            <w:right w:w="0" w:type="dxa"/>
          </w:tblCellMar>
        </w:tblPrEx>
        <w:trPr>
          <w:trHeight w:val="390" w:hRule="atLeast"/>
        </w:trPr>
        <w:tc>
          <w:tcPr>
            <w:tcW w:w="13988"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shd w:val="clear" w:color="auto" w:fill="auto"/>
          <w:tblCellMar>
            <w:top w:w="0" w:type="dxa"/>
            <w:left w:w="0" w:type="dxa"/>
            <w:bottom w:w="0" w:type="dxa"/>
            <w:right w:w="0" w:type="dxa"/>
          </w:tblCellMar>
        </w:tblPrEx>
        <w:trPr>
          <w:trHeight w:val="255" w:hRule="atLeast"/>
        </w:trPr>
        <w:tc>
          <w:tcPr>
            <w:tcW w:w="1647"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eastAsia" w:ascii="Arial" w:hAnsi="Arial" w:cs="Arial"/>
                <w:i w:val="0"/>
                <w:color w:val="000000"/>
                <w:sz w:val="20"/>
                <w:szCs w:val="20"/>
                <w:u w:val="none"/>
              </w:rPr>
            </w:pPr>
          </w:p>
        </w:tc>
        <w:tc>
          <w:tcPr>
            <w:tcW w:w="36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25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358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50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51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3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06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24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48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shd w:val="clear" w:color="auto" w:fill="auto"/>
          <w:tblCellMar>
            <w:top w:w="0" w:type="dxa"/>
            <w:left w:w="0" w:type="dxa"/>
            <w:bottom w:w="0" w:type="dxa"/>
            <w:right w:w="0" w:type="dxa"/>
          </w:tblCellMar>
        </w:tblPrEx>
        <w:trPr>
          <w:trHeight w:val="255" w:hRule="atLeast"/>
        </w:trPr>
        <w:tc>
          <w:tcPr>
            <w:tcW w:w="5847"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部门：环江毛南族自治县生态移民发展中心</w:t>
            </w:r>
          </w:p>
        </w:tc>
        <w:tc>
          <w:tcPr>
            <w:tcW w:w="150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51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3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06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24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48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trPr>
        <w:tc>
          <w:tcPr>
            <w:tcW w:w="5847"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51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33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06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24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48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shd w:val="clear" w:color="auto" w:fill="auto"/>
          <w:tblCellMar>
            <w:top w:w="0" w:type="dxa"/>
            <w:left w:w="0" w:type="dxa"/>
            <w:bottom w:w="0" w:type="dxa"/>
            <w:right w:w="0" w:type="dxa"/>
          </w:tblCellMar>
        </w:tblPrEx>
        <w:trPr>
          <w:trHeight w:val="308" w:hRule="atLeast"/>
        </w:trPr>
        <w:tc>
          <w:tcPr>
            <w:tcW w:w="2262"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3585"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00"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51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3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6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40"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86"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26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3585"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500"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51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3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6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40"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86"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26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3585"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500"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51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3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6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40"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86"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5847"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1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08" w:hRule="atLeast"/>
        </w:trPr>
        <w:tc>
          <w:tcPr>
            <w:tcW w:w="5847"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6,411.59</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318.55</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6,093.04</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2012999</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其他群众团体事务支出</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518.34</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40.08</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478.26</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40.08</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40.08</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40.08</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40.08</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20822</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大中型水库移民后期扶持基金支出</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477.94</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477.94</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2082201</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移民补助</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49.32</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49.32</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2082202</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基础设施建设和经济发展</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428.62</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428.62</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20823</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小型水库移民扶助基金安排的支出</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0.33</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0.33</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2082302</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基础设施建设和经济发展</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0.33</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0.33</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5,830.98</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216.21</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5,614.77</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69.23</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69.23</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2130321</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大中型水库移民后期扶持专项支出</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7.89</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7.89</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2130334</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水利建设征地及移民支出</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61.34</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61.34</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巩固脱贫衔接乡村振兴</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4,699.72</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0.04</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4,699.68</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2130501</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0.04</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0.04</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2130507</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贷款奖补和贴息</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850.00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850.00</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2130599</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其他巩固脱贫衔接乡村振兴支出</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3,849.68</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3,849.68</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21366</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大中型水库库区基金安排的支出</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448.63</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448.63</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2136601</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基础设施建设和经济发展</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448.63</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448.63</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21399</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其他农林水支出</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613.39</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216.17</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397.22</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2139999</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其他农林水支出</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613.39</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216.17</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397.22</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2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2299999</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3988"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jc w:val="left"/>
        <w:rPr>
          <w:rFonts w:hint="eastAsia"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tbl>
      <w:tblPr>
        <w:tblStyle w:val="6"/>
        <w:tblW w:w="13988" w:type="dxa"/>
        <w:tblInd w:w="0" w:type="dxa"/>
        <w:shd w:val="clear" w:color="auto" w:fill="auto"/>
        <w:tblLayout w:type="fixed"/>
        <w:tblCellMar>
          <w:top w:w="0" w:type="dxa"/>
          <w:left w:w="0" w:type="dxa"/>
          <w:bottom w:w="0" w:type="dxa"/>
          <w:right w:w="0" w:type="dxa"/>
        </w:tblCellMar>
      </w:tblPr>
      <w:tblGrid>
        <w:gridCol w:w="3132"/>
        <w:gridCol w:w="780"/>
        <w:gridCol w:w="1080"/>
        <w:gridCol w:w="3225"/>
        <w:gridCol w:w="735"/>
        <w:gridCol w:w="1140"/>
        <w:gridCol w:w="1190"/>
        <w:gridCol w:w="1300"/>
        <w:gridCol w:w="1406"/>
      </w:tblGrid>
      <w:tr>
        <w:tblPrEx>
          <w:shd w:val="clear" w:color="auto" w:fill="auto"/>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shd w:val="clear" w:color="auto" w:fill="auto"/>
          <w:tblCellMar>
            <w:top w:w="0" w:type="dxa"/>
            <w:left w:w="0" w:type="dxa"/>
            <w:bottom w:w="0" w:type="dxa"/>
            <w:right w:w="0" w:type="dxa"/>
          </w:tblCellMar>
        </w:tblPrEx>
        <w:trPr>
          <w:trHeight w:val="255" w:hRule="atLeast"/>
        </w:trPr>
        <w:tc>
          <w:tcPr>
            <w:tcW w:w="313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eastAsia" w:ascii="Arial" w:hAnsi="Arial" w:cs="Arial"/>
                <w:i w:val="0"/>
                <w:color w:val="000000"/>
                <w:sz w:val="20"/>
                <w:szCs w:val="20"/>
                <w:u w:val="none"/>
              </w:rPr>
            </w:pPr>
          </w:p>
        </w:tc>
        <w:tc>
          <w:tcPr>
            <w:tcW w:w="78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322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73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14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19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0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40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shd w:val="clear" w:color="auto" w:fill="auto"/>
          <w:tblCellMar>
            <w:top w:w="0" w:type="dxa"/>
            <w:left w:w="0" w:type="dxa"/>
            <w:bottom w:w="0" w:type="dxa"/>
            <w:right w:w="0" w:type="dxa"/>
          </w:tblCellMar>
        </w:tblPrEx>
        <w:trPr>
          <w:trHeight w:val="255" w:hRule="atLeast"/>
        </w:trPr>
        <w:tc>
          <w:tcPr>
            <w:tcW w:w="4992"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部门：环江毛南族自治县生态移民发展中心</w:t>
            </w:r>
          </w:p>
        </w:tc>
        <w:tc>
          <w:tcPr>
            <w:tcW w:w="322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73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14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19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0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40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trPr>
        <w:tc>
          <w:tcPr>
            <w:tcW w:w="4992"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996" w:type="dxa"/>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shd w:val="clear" w:color="auto" w:fill="auto"/>
          <w:tblCellMar>
            <w:top w:w="0" w:type="dxa"/>
            <w:left w:w="0" w:type="dxa"/>
            <w:bottom w:w="0" w:type="dxa"/>
            <w:right w:w="0" w:type="dxa"/>
          </w:tblCellMar>
        </w:tblPrEx>
        <w:trPr>
          <w:trHeight w:val="292" w:hRule="atLeast"/>
        </w:trPr>
        <w:tc>
          <w:tcPr>
            <w:tcW w:w="3132"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0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22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3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14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9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3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140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shd w:val="clear" w:color="auto" w:fill="auto"/>
          <w:tblCellMar>
            <w:top w:w="0" w:type="dxa"/>
            <w:left w:w="0" w:type="dxa"/>
            <w:bottom w:w="0" w:type="dxa"/>
            <w:right w:w="0" w:type="dxa"/>
          </w:tblCellMar>
        </w:tblPrEx>
        <w:trPr>
          <w:trHeight w:val="615" w:hRule="atLeast"/>
        </w:trPr>
        <w:tc>
          <w:tcPr>
            <w:tcW w:w="3132"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322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9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0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5,484.69</w:t>
            </w: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926.90</w:t>
            </w: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w:t>
            </w: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518.34</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40.08</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478.26</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5,830.98</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5,382.35</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448.63</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0"/>
                <w:szCs w:val="20"/>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6,411.59</w:t>
            </w: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6,411.59</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5,484.69</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926.90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国有资本经营预算财政拨款</w:t>
            </w: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6,411.59</w:t>
            </w:r>
          </w:p>
        </w:tc>
        <w:tc>
          <w:tcPr>
            <w:tcW w:w="32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6,411.59</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5,484.69</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926.90</w:t>
            </w:r>
          </w:p>
        </w:tc>
        <w:tc>
          <w:tcPr>
            <w:tcW w:w="1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398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bl>
    <w:p>
      <w:pPr>
        <w:jc w:val="left"/>
        <w:rPr>
          <w:rFonts w:hint="eastAsia" w:ascii="仿宋" w:hAnsi="仿宋" w:eastAsia="仿宋" w:cs="仿宋"/>
          <w:sz w:val="24"/>
          <w:highlight w:val="none"/>
        </w:rPr>
      </w:pPr>
    </w:p>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tbl>
      <w:tblPr>
        <w:tblStyle w:val="6"/>
        <w:tblW w:w="13917" w:type="dxa"/>
        <w:tblInd w:w="0" w:type="dxa"/>
        <w:shd w:val="clear" w:color="auto" w:fill="auto"/>
        <w:tblLayout w:type="fixed"/>
        <w:tblCellMar>
          <w:top w:w="0" w:type="dxa"/>
          <w:left w:w="0" w:type="dxa"/>
          <w:bottom w:w="0" w:type="dxa"/>
          <w:right w:w="0" w:type="dxa"/>
        </w:tblCellMar>
      </w:tblPr>
      <w:tblGrid>
        <w:gridCol w:w="3830"/>
        <w:gridCol w:w="36"/>
        <w:gridCol w:w="36"/>
        <w:gridCol w:w="4225"/>
        <w:gridCol w:w="1905"/>
        <w:gridCol w:w="1890"/>
        <w:gridCol w:w="1995"/>
      </w:tblGrid>
      <w:tr>
        <w:tblPrEx>
          <w:shd w:val="clear" w:color="auto" w:fill="auto"/>
          <w:tblCellMar>
            <w:top w:w="0" w:type="dxa"/>
            <w:left w:w="0" w:type="dxa"/>
            <w:bottom w:w="0" w:type="dxa"/>
            <w:right w:w="0" w:type="dxa"/>
          </w:tblCellMar>
        </w:tblPrEx>
        <w:trPr>
          <w:trHeight w:val="390" w:hRule="atLeast"/>
        </w:trPr>
        <w:tc>
          <w:tcPr>
            <w:tcW w:w="13917"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shd w:val="clear" w:color="auto" w:fill="auto"/>
          <w:tblCellMar>
            <w:top w:w="0" w:type="dxa"/>
            <w:left w:w="0" w:type="dxa"/>
            <w:bottom w:w="0" w:type="dxa"/>
            <w:right w:w="0" w:type="dxa"/>
          </w:tblCellMar>
        </w:tblPrEx>
        <w:trPr>
          <w:trHeight w:val="255" w:hRule="atLeast"/>
        </w:trPr>
        <w:tc>
          <w:tcPr>
            <w:tcW w:w="383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eastAsia"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422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90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89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99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shd w:val="clear" w:color="auto" w:fill="auto"/>
          <w:tblCellMar>
            <w:top w:w="0" w:type="dxa"/>
            <w:left w:w="0" w:type="dxa"/>
            <w:bottom w:w="0" w:type="dxa"/>
            <w:right w:w="0" w:type="dxa"/>
          </w:tblCellMar>
        </w:tblPrEx>
        <w:trPr>
          <w:trHeight w:val="255" w:hRule="atLeast"/>
        </w:trPr>
        <w:tc>
          <w:tcPr>
            <w:tcW w:w="38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部门：环江毛南族自治县生态移民发展中心</w:t>
            </w:r>
          </w:p>
        </w:tc>
        <w:tc>
          <w:tcPr>
            <w:tcW w:w="3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422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90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89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99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trPr>
        <w:tc>
          <w:tcPr>
            <w:tcW w:w="8127"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90"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shd w:val="clear" w:color="auto" w:fill="auto"/>
          <w:tblCellMar>
            <w:top w:w="0" w:type="dxa"/>
            <w:left w:w="0" w:type="dxa"/>
            <w:bottom w:w="0" w:type="dxa"/>
            <w:right w:w="0" w:type="dxa"/>
          </w:tblCellMar>
        </w:tblPrEx>
        <w:trPr>
          <w:trHeight w:val="308" w:hRule="atLeast"/>
        </w:trPr>
        <w:tc>
          <w:tcPr>
            <w:tcW w:w="3902"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4225"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0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89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99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shd w:val="clear" w:color="auto" w:fill="auto"/>
          <w:tblCellMar>
            <w:top w:w="0" w:type="dxa"/>
            <w:left w:w="0" w:type="dxa"/>
            <w:bottom w:w="0" w:type="dxa"/>
            <w:right w:w="0" w:type="dxa"/>
          </w:tblCellMar>
        </w:tblPrEx>
        <w:trPr>
          <w:trHeight w:val="277" w:hRule="atLeast"/>
        </w:trPr>
        <w:tc>
          <w:tcPr>
            <w:tcW w:w="390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4225"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90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89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99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90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4225"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90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89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99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127"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9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99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308" w:hRule="atLeast"/>
        </w:trPr>
        <w:tc>
          <w:tcPr>
            <w:tcW w:w="8127"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5,484.69</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318.55</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5,166.14</w:t>
            </w:r>
          </w:p>
        </w:tc>
      </w:tr>
      <w:tr>
        <w:tblPrEx>
          <w:shd w:val="clear" w:color="auto" w:fill="auto"/>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4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4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2012999</w:t>
            </w:r>
          </w:p>
        </w:tc>
        <w:tc>
          <w:tcPr>
            <w:tcW w:w="4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其他群众团体事务支出</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40.08</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40.08</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40.08</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40.08</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40.08</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40.08</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4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5,382.35</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216.21</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5,166.14</w:t>
            </w:r>
          </w:p>
        </w:tc>
      </w:tr>
      <w:tr>
        <w:tblPrEx>
          <w:shd w:val="clear" w:color="auto" w:fill="auto"/>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w:t>
            </w:r>
          </w:p>
        </w:tc>
        <w:tc>
          <w:tcPr>
            <w:tcW w:w="4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69.23</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69.23</w:t>
            </w:r>
          </w:p>
        </w:tc>
      </w:tr>
      <w:tr>
        <w:tblPrEx>
          <w:shd w:val="clear" w:color="auto" w:fill="auto"/>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2130321</w:t>
            </w:r>
          </w:p>
        </w:tc>
        <w:tc>
          <w:tcPr>
            <w:tcW w:w="4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大中型水库移民后期扶持专项支出</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7.89</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7.89</w:t>
            </w:r>
          </w:p>
        </w:tc>
      </w:tr>
      <w:tr>
        <w:tblPrEx>
          <w:shd w:val="clear" w:color="auto" w:fill="auto"/>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2130334</w:t>
            </w:r>
          </w:p>
        </w:tc>
        <w:tc>
          <w:tcPr>
            <w:tcW w:w="4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水利建设征地及移民支出</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61.34</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61.34</w:t>
            </w:r>
          </w:p>
        </w:tc>
      </w:tr>
      <w:tr>
        <w:tblPrEx>
          <w:shd w:val="clear" w:color="auto" w:fill="auto"/>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4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巩固脱贫衔接乡村振兴</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4,699.72</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0.04</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4,699.68</w:t>
            </w:r>
          </w:p>
        </w:tc>
      </w:tr>
      <w:tr>
        <w:tblPrEx>
          <w:shd w:val="clear" w:color="auto" w:fill="auto"/>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2130501</w:t>
            </w:r>
          </w:p>
        </w:tc>
        <w:tc>
          <w:tcPr>
            <w:tcW w:w="4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0.04</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0.04</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2130507</w:t>
            </w:r>
          </w:p>
        </w:tc>
        <w:tc>
          <w:tcPr>
            <w:tcW w:w="4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贷款奖补和贴息</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850.00</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850.00</w:t>
            </w:r>
          </w:p>
        </w:tc>
      </w:tr>
      <w:tr>
        <w:tblPrEx>
          <w:shd w:val="clear" w:color="auto" w:fill="auto"/>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2130599</w:t>
            </w:r>
          </w:p>
        </w:tc>
        <w:tc>
          <w:tcPr>
            <w:tcW w:w="4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其他巩固脱贫衔接乡村振兴支出</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3,849.68</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3,849.68</w:t>
            </w:r>
          </w:p>
        </w:tc>
      </w:tr>
      <w:tr>
        <w:tblPrEx>
          <w:shd w:val="clear" w:color="auto" w:fill="auto"/>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21399</w:t>
            </w:r>
          </w:p>
        </w:tc>
        <w:tc>
          <w:tcPr>
            <w:tcW w:w="4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其他农林水支出</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613.39</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216.17</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397.22</w:t>
            </w:r>
          </w:p>
        </w:tc>
      </w:tr>
      <w:tr>
        <w:tblPrEx>
          <w:shd w:val="clear" w:color="auto" w:fill="auto"/>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2139999</w:t>
            </w:r>
          </w:p>
        </w:tc>
        <w:tc>
          <w:tcPr>
            <w:tcW w:w="4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其他农林水支出</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613.39</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216.17</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397.22</w:t>
            </w:r>
          </w:p>
        </w:tc>
      </w:tr>
      <w:tr>
        <w:tblPrEx>
          <w:shd w:val="clear" w:color="auto" w:fill="auto"/>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4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4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4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4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w:t>
            </w:r>
          </w:p>
        </w:tc>
        <w:tc>
          <w:tcPr>
            <w:tcW w:w="4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2299999</w:t>
            </w:r>
          </w:p>
        </w:tc>
        <w:tc>
          <w:tcPr>
            <w:tcW w:w="4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w:t>
            </w:r>
          </w:p>
        </w:tc>
        <w:tc>
          <w:tcPr>
            <w:tcW w:w="1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917"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jc w:val="left"/>
        <w:rPr>
          <w:rFonts w:hint="eastAsia" w:ascii="仿宋" w:hAnsi="仿宋" w:eastAsia="仿宋" w:cs="仿宋"/>
          <w:sz w:val="24"/>
          <w:highlight w:val="none"/>
        </w:rPr>
      </w:pPr>
    </w:p>
    <w:p>
      <w:pP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tbl>
      <w:tblPr>
        <w:tblStyle w:val="6"/>
        <w:tblW w:w="13988" w:type="dxa"/>
        <w:tblInd w:w="0" w:type="dxa"/>
        <w:shd w:val="clear" w:color="auto" w:fill="auto"/>
        <w:tblLayout w:type="fixed"/>
        <w:tblCellMar>
          <w:top w:w="0" w:type="dxa"/>
          <w:left w:w="0" w:type="dxa"/>
          <w:bottom w:w="0" w:type="dxa"/>
          <w:right w:w="0" w:type="dxa"/>
        </w:tblCellMar>
      </w:tblPr>
      <w:tblGrid>
        <w:gridCol w:w="1872"/>
        <w:gridCol w:w="2070"/>
        <w:gridCol w:w="1065"/>
        <w:gridCol w:w="1365"/>
        <w:gridCol w:w="1650"/>
        <w:gridCol w:w="1016"/>
        <w:gridCol w:w="1174"/>
        <w:gridCol w:w="2733"/>
        <w:gridCol w:w="1043"/>
      </w:tblGrid>
      <w:tr>
        <w:tblPrEx>
          <w:shd w:val="clear" w:color="auto" w:fill="auto"/>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一般公共预算财政拨款基本支出决算明细表</w:t>
            </w:r>
          </w:p>
        </w:tc>
      </w:tr>
      <w:tr>
        <w:tblPrEx>
          <w:shd w:val="clear" w:color="auto" w:fill="auto"/>
          <w:tblCellMar>
            <w:top w:w="0" w:type="dxa"/>
            <w:left w:w="0" w:type="dxa"/>
            <w:bottom w:w="0" w:type="dxa"/>
            <w:right w:w="0" w:type="dxa"/>
          </w:tblCellMar>
        </w:tblPrEx>
        <w:trPr>
          <w:trHeight w:val="255" w:hRule="atLeast"/>
        </w:trPr>
        <w:tc>
          <w:tcPr>
            <w:tcW w:w="187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eastAsia" w:ascii="Arial" w:hAnsi="Arial" w:cs="Arial"/>
                <w:i w:val="0"/>
                <w:color w:val="000000"/>
                <w:sz w:val="20"/>
                <w:szCs w:val="20"/>
                <w:u w:val="none"/>
              </w:rPr>
            </w:pPr>
          </w:p>
        </w:tc>
        <w:tc>
          <w:tcPr>
            <w:tcW w:w="207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06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6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65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01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174"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273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04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shd w:val="clear" w:color="auto" w:fill="auto"/>
          <w:tblCellMar>
            <w:top w:w="0" w:type="dxa"/>
            <w:left w:w="0" w:type="dxa"/>
            <w:bottom w:w="0" w:type="dxa"/>
            <w:right w:w="0" w:type="dxa"/>
          </w:tblCellMar>
        </w:tblPrEx>
        <w:trPr>
          <w:trHeight w:val="255" w:hRule="atLeast"/>
        </w:trPr>
        <w:tc>
          <w:tcPr>
            <w:tcW w:w="3942"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部门：环江毛南族自治县生态移民发展中心</w:t>
            </w:r>
          </w:p>
        </w:tc>
        <w:tc>
          <w:tcPr>
            <w:tcW w:w="106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6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65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01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174"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3776"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trPr>
        <w:tc>
          <w:tcPr>
            <w:tcW w:w="5007"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8981" w:type="dxa"/>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shd w:val="clear" w:color="auto" w:fill="auto"/>
          <w:tblCellMar>
            <w:top w:w="0" w:type="dxa"/>
            <w:left w:w="0" w:type="dxa"/>
            <w:bottom w:w="0" w:type="dxa"/>
            <w:right w:w="0" w:type="dxa"/>
          </w:tblCellMar>
        </w:tblPrEx>
        <w:trPr>
          <w:trHeight w:val="308" w:hRule="atLeast"/>
        </w:trPr>
        <w:tc>
          <w:tcPr>
            <w:tcW w:w="1872"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20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6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136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16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1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117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273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shd w:val="clear" w:color="auto" w:fill="auto"/>
          <w:tblCellMar>
            <w:top w:w="0" w:type="dxa"/>
            <w:left w:w="0" w:type="dxa"/>
            <w:bottom w:w="0" w:type="dxa"/>
            <w:right w:w="0" w:type="dxa"/>
          </w:tblCellMar>
        </w:tblPrEx>
        <w:trPr>
          <w:trHeight w:val="308" w:hRule="atLeast"/>
        </w:trPr>
        <w:tc>
          <w:tcPr>
            <w:tcW w:w="1872"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0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6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6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6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1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7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73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302.61</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15.95</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67.45</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24.48</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63.90</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11.14</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40.08</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15.92</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0.93</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57.42</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39909</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经常性赠与</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39910</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资本性赠与</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代缴社会保险费</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8.94</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7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20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3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16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2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942"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302.61</w:t>
            </w:r>
          </w:p>
        </w:tc>
        <w:tc>
          <w:tcPr>
            <w:tcW w:w="7938" w:type="dxa"/>
            <w:gridSpan w:val="5"/>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0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15.95</w:t>
            </w:r>
          </w:p>
        </w:tc>
      </w:tr>
      <w:tr>
        <w:tblPrEx>
          <w:shd w:val="clear" w:color="auto" w:fill="auto"/>
          <w:tblCellMar>
            <w:top w:w="0" w:type="dxa"/>
            <w:left w:w="0" w:type="dxa"/>
            <w:bottom w:w="0" w:type="dxa"/>
            <w:right w:w="0" w:type="dxa"/>
          </w:tblCellMar>
        </w:tblPrEx>
        <w:trPr>
          <w:trHeight w:val="308" w:hRule="atLeast"/>
        </w:trPr>
        <w:tc>
          <w:tcPr>
            <w:tcW w:w="1398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w:t>
            </w:r>
          </w:p>
        </w:tc>
      </w:tr>
    </w:tbl>
    <w:p>
      <w:pPr>
        <w:jc w:val="left"/>
        <w:rPr>
          <w:rFonts w:hint="eastAsia" w:ascii="仿宋" w:hAnsi="仿宋" w:eastAsia="仿宋" w:cs="仿宋"/>
          <w:sz w:val="24"/>
          <w:highlight w:val="none"/>
        </w:rPr>
      </w:pPr>
    </w:p>
    <w:p>
      <w:pP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tbl>
      <w:tblPr>
        <w:tblStyle w:val="6"/>
        <w:tblW w:w="13988" w:type="dxa"/>
        <w:tblInd w:w="0" w:type="dxa"/>
        <w:shd w:val="clear" w:color="auto" w:fill="auto"/>
        <w:tblLayout w:type="fixed"/>
        <w:tblCellMar>
          <w:top w:w="0" w:type="dxa"/>
          <w:left w:w="0" w:type="dxa"/>
          <w:bottom w:w="0" w:type="dxa"/>
          <w:right w:w="0" w:type="dxa"/>
        </w:tblCellMar>
      </w:tblPr>
      <w:tblGrid>
        <w:gridCol w:w="2262"/>
        <w:gridCol w:w="315"/>
        <w:gridCol w:w="300"/>
        <w:gridCol w:w="3585"/>
        <w:gridCol w:w="1080"/>
        <w:gridCol w:w="1230"/>
        <w:gridCol w:w="1185"/>
        <w:gridCol w:w="1110"/>
        <w:gridCol w:w="1095"/>
        <w:gridCol w:w="1826"/>
      </w:tblGrid>
      <w:tr>
        <w:tblPrEx>
          <w:shd w:val="clear" w:color="auto" w:fill="auto"/>
          <w:tblCellMar>
            <w:top w:w="0" w:type="dxa"/>
            <w:left w:w="0" w:type="dxa"/>
            <w:bottom w:w="0" w:type="dxa"/>
            <w:right w:w="0" w:type="dxa"/>
          </w:tblCellMar>
        </w:tblPrEx>
        <w:trPr>
          <w:trHeight w:val="390" w:hRule="atLeast"/>
        </w:trPr>
        <w:tc>
          <w:tcPr>
            <w:tcW w:w="13988"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shd w:val="clear" w:color="auto" w:fill="auto"/>
          <w:tblCellMar>
            <w:top w:w="0" w:type="dxa"/>
            <w:left w:w="0" w:type="dxa"/>
            <w:bottom w:w="0" w:type="dxa"/>
            <w:right w:w="0" w:type="dxa"/>
          </w:tblCellMar>
        </w:tblPrEx>
        <w:trPr>
          <w:trHeight w:val="255" w:hRule="atLeast"/>
        </w:trPr>
        <w:tc>
          <w:tcPr>
            <w:tcW w:w="226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eastAsia" w:ascii="Arial" w:hAnsi="Arial" w:cs="Arial"/>
                <w:i w:val="0"/>
                <w:color w:val="000000"/>
                <w:sz w:val="20"/>
                <w:szCs w:val="20"/>
                <w:u w:val="none"/>
              </w:rPr>
            </w:pPr>
          </w:p>
        </w:tc>
        <w:tc>
          <w:tcPr>
            <w:tcW w:w="31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30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358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23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18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11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09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82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shd w:val="clear" w:color="auto" w:fill="auto"/>
          <w:tblCellMar>
            <w:top w:w="0" w:type="dxa"/>
            <w:left w:w="0" w:type="dxa"/>
            <w:bottom w:w="0" w:type="dxa"/>
            <w:right w:w="0" w:type="dxa"/>
          </w:tblCellMar>
        </w:tblPrEx>
        <w:trPr>
          <w:trHeight w:val="255" w:hRule="atLeast"/>
        </w:trPr>
        <w:tc>
          <w:tcPr>
            <w:tcW w:w="6462"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部门：环江毛南族自治县生态移民发展中心</w:t>
            </w:r>
          </w:p>
        </w:tc>
        <w:tc>
          <w:tcPr>
            <w:tcW w:w="108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23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18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11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09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82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trPr>
        <w:tc>
          <w:tcPr>
            <w:tcW w:w="6462"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08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23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390"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2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shd w:val="clear" w:color="auto" w:fill="auto"/>
          <w:tblCellMar>
            <w:top w:w="0" w:type="dxa"/>
            <w:left w:w="0" w:type="dxa"/>
            <w:bottom w:w="0" w:type="dxa"/>
            <w:right w:w="0" w:type="dxa"/>
          </w:tblCellMar>
        </w:tblPrEx>
        <w:trPr>
          <w:trHeight w:val="308" w:hRule="atLeast"/>
        </w:trPr>
        <w:tc>
          <w:tcPr>
            <w:tcW w:w="2877"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3585"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8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09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26"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PrEx>
        <w:trPr>
          <w:trHeight w:val="308" w:hRule="atLeast"/>
        </w:trPr>
        <w:tc>
          <w:tcPr>
            <w:tcW w:w="2877"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3585"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8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826"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877"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3585"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8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826"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64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9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08" w:hRule="atLeast"/>
        </w:trPr>
        <w:tc>
          <w:tcPr>
            <w:tcW w:w="64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926.90</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926.90</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926.90</w:t>
            </w:r>
          </w:p>
        </w:tc>
        <w:tc>
          <w:tcPr>
            <w:tcW w:w="1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8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478.26</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478.26</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478.26</w:t>
            </w:r>
          </w:p>
        </w:tc>
        <w:tc>
          <w:tcPr>
            <w:tcW w:w="1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8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20822</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大中型水库移民后期扶持基金支出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477.94</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477.94</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477.94</w:t>
            </w:r>
          </w:p>
        </w:tc>
        <w:tc>
          <w:tcPr>
            <w:tcW w:w="1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8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2082201</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移民补助</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49.32</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49.32</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49.32</w:t>
            </w:r>
          </w:p>
        </w:tc>
        <w:tc>
          <w:tcPr>
            <w:tcW w:w="1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8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2082202</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基础设施建设和经济发展</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428.62</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428.62</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428.62</w:t>
            </w:r>
          </w:p>
        </w:tc>
        <w:tc>
          <w:tcPr>
            <w:tcW w:w="1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8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20823</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小型水库移民扶助基金安排的支出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0.33</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0.33</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0.33</w:t>
            </w:r>
          </w:p>
        </w:tc>
        <w:tc>
          <w:tcPr>
            <w:tcW w:w="1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8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2082302</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基础设施建设和经济发展</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0.33</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0.33</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0.33</w:t>
            </w:r>
          </w:p>
        </w:tc>
        <w:tc>
          <w:tcPr>
            <w:tcW w:w="1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8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448.63</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448.63</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448.63</w:t>
            </w:r>
          </w:p>
        </w:tc>
        <w:tc>
          <w:tcPr>
            <w:tcW w:w="1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8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21366</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大中型水库库区基金安排的支出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448.63</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448.63</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448.63</w:t>
            </w:r>
          </w:p>
        </w:tc>
        <w:tc>
          <w:tcPr>
            <w:tcW w:w="1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8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2136601</w:t>
            </w: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基础设施建设和经济发展</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448.63</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448.63</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448.63</w:t>
            </w:r>
          </w:p>
        </w:tc>
        <w:tc>
          <w:tcPr>
            <w:tcW w:w="1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8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8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3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13988"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jc w:val="left"/>
        <w:rPr>
          <w:rFonts w:hint="eastAsia" w:ascii="仿宋" w:hAnsi="仿宋" w:eastAsia="仿宋" w:cs="仿宋"/>
          <w:sz w:val="24"/>
          <w:highlight w:val="none"/>
        </w:rPr>
      </w:pPr>
    </w:p>
    <w:p>
      <w:pPr>
        <w:rPr>
          <w:rFonts w:ascii="仿宋" w:hAnsi="仿宋" w:eastAsia="仿宋" w:cs="仿宋"/>
          <w:sz w:val="24"/>
          <w:highlight w:val="none"/>
        </w:rPr>
      </w:pP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tbl>
      <w:tblPr>
        <w:tblStyle w:val="6"/>
        <w:tblW w:w="14007" w:type="dxa"/>
        <w:tblInd w:w="0" w:type="dxa"/>
        <w:shd w:val="clear" w:color="auto" w:fill="auto"/>
        <w:tblLayout w:type="fixed"/>
        <w:tblCellMar>
          <w:top w:w="0" w:type="dxa"/>
          <w:left w:w="0" w:type="dxa"/>
          <w:bottom w:w="0" w:type="dxa"/>
          <w:right w:w="0" w:type="dxa"/>
        </w:tblCellMar>
      </w:tblPr>
      <w:tblGrid>
        <w:gridCol w:w="4598"/>
        <w:gridCol w:w="43"/>
        <w:gridCol w:w="43"/>
        <w:gridCol w:w="1778"/>
        <w:gridCol w:w="2250"/>
        <w:gridCol w:w="2385"/>
        <w:gridCol w:w="2910"/>
      </w:tblGrid>
      <w:tr>
        <w:tblPrEx>
          <w:tblCellMar>
            <w:top w:w="0" w:type="dxa"/>
            <w:left w:w="0" w:type="dxa"/>
            <w:bottom w:w="0" w:type="dxa"/>
            <w:right w:w="0" w:type="dxa"/>
          </w:tblCellMar>
        </w:tblPrEx>
        <w:trPr>
          <w:trHeight w:val="390" w:hRule="atLeast"/>
        </w:trPr>
        <w:tc>
          <w:tcPr>
            <w:tcW w:w="14007"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国有资本经营预算财政拨款支出决算表</w:t>
            </w:r>
          </w:p>
        </w:tc>
      </w:tr>
      <w:tr>
        <w:tblPrEx>
          <w:tblCellMar>
            <w:top w:w="0" w:type="dxa"/>
            <w:left w:w="0" w:type="dxa"/>
            <w:bottom w:w="0" w:type="dxa"/>
            <w:right w:w="0" w:type="dxa"/>
          </w:tblCellMar>
        </w:tblPrEx>
        <w:trPr>
          <w:trHeight w:val="255" w:hRule="atLeast"/>
        </w:trPr>
        <w:tc>
          <w:tcPr>
            <w:tcW w:w="4598"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eastAsia" w:ascii="Arial" w:hAnsi="Arial" w:cs="Arial"/>
                <w:i w:val="0"/>
                <w:color w:val="000000"/>
                <w:sz w:val="20"/>
                <w:szCs w:val="20"/>
                <w:u w:val="none"/>
              </w:rPr>
            </w:pPr>
          </w:p>
        </w:tc>
        <w:tc>
          <w:tcPr>
            <w:tcW w:w="4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4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778"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225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238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291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459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部门：环江毛南族自治县生态移民发展中心</w:t>
            </w:r>
          </w:p>
        </w:tc>
        <w:tc>
          <w:tcPr>
            <w:tcW w:w="4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4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778"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225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238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291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6462"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545"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shd w:val="clear" w:color="auto" w:fill="auto"/>
          <w:tblCellMar>
            <w:top w:w="0" w:type="dxa"/>
            <w:left w:w="0" w:type="dxa"/>
            <w:bottom w:w="0" w:type="dxa"/>
            <w:right w:w="0" w:type="dxa"/>
          </w:tblCellMar>
        </w:tblPrEx>
        <w:trPr>
          <w:trHeight w:val="308" w:hRule="atLeast"/>
        </w:trPr>
        <w:tc>
          <w:tcPr>
            <w:tcW w:w="4684"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1778"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38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9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08" w:hRule="atLeast"/>
        </w:trPr>
        <w:tc>
          <w:tcPr>
            <w:tcW w:w="4684"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778"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38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9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684"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778"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38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9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4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9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308" w:hRule="atLeast"/>
        </w:trPr>
        <w:tc>
          <w:tcPr>
            <w:tcW w:w="646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2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r>
      <w:tr>
        <w:tblPrEx>
          <w:tblCellMar>
            <w:top w:w="0" w:type="dxa"/>
            <w:left w:w="0" w:type="dxa"/>
            <w:bottom w:w="0" w:type="dxa"/>
            <w:right w:w="0" w:type="dxa"/>
          </w:tblCellMar>
        </w:tblPrEx>
        <w:trPr>
          <w:trHeight w:val="308" w:hRule="atLeast"/>
        </w:trPr>
        <w:tc>
          <w:tcPr>
            <w:tcW w:w="46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007"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注：本表反映部门本年度国有资本经营预算财政拨款支出情况。</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jc w:val="left"/>
        <w:rPr>
          <w:rFonts w:hint="eastAsia" w:ascii="仿宋" w:hAnsi="仿宋" w:eastAsia="仿宋" w:cs="仿宋"/>
          <w:sz w:val="24"/>
          <w:highlight w:val="none"/>
        </w:rPr>
      </w:pP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tbl>
      <w:tblPr>
        <w:tblStyle w:val="6"/>
        <w:tblW w:w="14052" w:type="dxa"/>
        <w:tblInd w:w="0" w:type="dxa"/>
        <w:shd w:val="clear" w:color="auto" w:fill="auto"/>
        <w:tblLayout w:type="fixed"/>
        <w:tblCellMar>
          <w:top w:w="0" w:type="dxa"/>
          <w:left w:w="0" w:type="dxa"/>
          <w:bottom w:w="0" w:type="dxa"/>
          <w:right w:w="0" w:type="dxa"/>
        </w:tblCellMar>
      </w:tblPr>
      <w:tblGrid>
        <w:gridCol w:w="1752"/>
        <w:gridCol w:w="1110"/>
        <w:gridCol w:w="1275"/>
        <w:gridCol w:w="1335"/>
        <w:gridCol w:w="1350"/>
        <w:gridCol w:w="1163"/>
        <w:gridCol w:w="915"/>
        <w:gridCol w:w="1159"/>
        <w:gridCol w:w="916"/>
        <w:gridCol w:w="916"/>
        <w:gridCol w:w="1186"/>
        <w:gridCol w:w="975"/>
      </w:tblGrid>
      <w:tr>
        <w:tblPrEx>
          <w:shd w:val="clear" w:color="auto" w:fill="auto"/>
          <w:tblCellMar>
            <w:top w:w="0" w:type="dxa"/>
            <w:left w:w="0" w:type="dxa"/>
            <w:bottom w:w="0" w:type="dxa"/>
            <w:right w:w="0" w:type="dxa"/>
          </w:tblCellMar>
        </w:tblPrEx>
        <w:trPr>
          <w:trHeight w:val="540" w:hRule="atLeast"/>
        </w:trPr>
        <w:tc>
          <w:tcPr>
            <w:tcW w:w="14052"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财政拨款“三公”经费支出决算表</w:t>
            </w:r>
          </w:p>
        </w:tc>
      </w:tr>
      <w:tr>
        <w:tblPrEx>
          <w:shd w:val="clear" w:color="auto" w:fill="auto"/>
          <w:tblCellMar>
            <w:top w:w="0" w:type="dxa"/>
            <w:left w:w="0" w:type="dxa"/>
            <w:bottom w:w="0" w:type="dxa"/>
            <w:right w:w="0" w:type="dxa"/>
          </w:tblCellMar>
        </w:tblPrEx>
        <w:trPr>
          <w:trHeight w:val="255" w:hRule="atLeast"/>
        </w:trPr>
        <w:tc>
          <w:tcPr>
            <w:tcW w:w="175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eastAsia" w:ascii="Arial" w:hAnsi="Arial" w:cs="Arial"/>
                <w:i w:val="0"/>
                <w:color w:val="000000"/>
                <w:sz w:val="20"/>
                <w:szCs w:val="20"/>
                <w:u w:val="none"/>
              </w:rPr>
            </w:pPr>
          </w:p>
        </w:tc>
        <w:tc>
          <w:tcPr>
            <w:tcW w:w="111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27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3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16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1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159"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1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1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18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shd w:val="clear" w:color="auto" w:fill="auto"/>
          <w:tblCellMar>
            <w:top w:w="0" w:type="dxa"/>
            <w:left w:w="0" w:type="dxa"/>
            <w:bottom w:w="0" w:type="dxa"/>
            <w:right w:w="0" w:type="dxa"/>
          </w:tblCellMar>
        </w:tblPrEx>
        <w:trPr>
          <w:trHeight w:val="255" w:hRule="atLeast"/>
        </w:trPr>
        <w:tc>
          <w:tcPr>
            <w:tcW w:w="4137"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部门：环江毛南族自治县生态移民发展中心</w:t>
            </w:r>
          </w:p>
        </w:tc>
        <w:tc>
          <w:tcPr>
            <w:tcW w:w="133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16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1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159"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1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1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2161"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trPr>
        <w:tc>
          <w:tcPr>
            <w:tcW w:w="7985" w:type="dxa"/>
            <w:gridSpan w:val="6"/>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6067"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shd w:val="clear" w:color="auto" w:fill="auto"/>
          <w:tblCellMar>
            <w:top w:w="0" w:type="dxa"/>
            <w:left w:w="0" w:type="dxa"/>
            <w:bottom w:w="0" w:type="dxa"/>
            <w:right w:w="0" w:type="dxa"/>
          </w:tblCellMar>
        </w:tblPrEx>
        <w:trPr>
          <w:trHeight w:val="308" w:hRule="atLeast"/>
        </w:trPr>
        <w:tc>
          <w:tcPr>
            <w:tcW w:w="1752"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960"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16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91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59"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018"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97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shd w:val="clear" w:color="auto" w:fill="auto"/>
          <w:tblCellMar>
            <w:top w:w="0" w:type="dxa"/>
            <w:left w:w="0" w:type="dxa"/>
            <w:bottom w:w="0" w:type="dxa"/>
            <w:right w:w="0" w:type="dxa"/>
          </w:tblCellMar>
        </w:tblPrEx>
        <w:trPr>
          <w:trHeight w:val="615" w:hRule="atLeast"/>
        </w:trPr>
        <w:tc>
          <w:tcPr>
            <w:tcW w:w="1752"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7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3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11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1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5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97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17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7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1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5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9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9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97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shd w:val="clear" w:color="auto" w:fill="auto"/>
          <w:tblCellMar>
            <w:top w:w="0" w:type="dxa"/>
            <w:left w:w="0" w:type="dxa"/>
            <w:bottom w:w="0" w:type="dxa"/>
            <w:right w:w="0" w:type="dxa"/>
          </w:tblCellMar>
        </w:tblPrEx>
        <w:trPr>
          <w:trHeight w:val="308" w:hRule="atLeast"/>
        </w:trPr>
        <w:tc>
          <w:tcPr>
            <w:tcW w:w="17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0.22</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0.22</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0.22</w:t>
            </w:r>
          </w:p>
        </w:tc>
        <w:tc>
          <w:tcPr>
            <w:tcW w:w="1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0.22</w:t>
            </w:r>
          </w:p>
        </w:tc>
      </w:tr>
      <w:tr>
        <w:tblPrEx>
          <w:shd w:val="clear" w:color="auto" w:fill="auto"/>
          <w:tblCellMar>
            <w:top w:w="0" w:type="dxa"/>
            <w:left w:w="0" w:type="dxa"/>
            <w:bottom w:w="0" w:type="dxa"/>
            <w:right w:w="0" w:type="dxa"/>
          </w:tblCellMar>
        </w:tblPrEx>
        <w:trPr>
          <w:trHeight w:val="615" w:hRule="atLeast"/>
        </w:trPr>
        <w:tc>
          <w:tcPr>
            <w:tcW w:w="14052"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r>
        <w:rPr>
          <w:rFonts w:hint="eastAsia" w:ascii="宋体" w:hAnsi="宋体" w:eastAsia="宋体" w:cs="宋体"/>
          <w:color w:val="000000"/>
          <w:kern w:val="0"/>
          <w:sz w:val="22"/>
          <w:szCs w:val="22"/>
          <w:highlight w:val="none"/>
          <w:lang w:bidi="ar"/>
        </w:rPr>
        <w:br w:type="page"/>
      </w:r>
    </w:p>
    <w:p>
      <w:pPr>
        <w:jc w:val="left"/>
        <w:rPr>
          <w:rFonts w:ascii="仿宋" w:hAnsi="仿宋" w:eastAsia="仿宋" w:cs="仿宋"/>
          <w:sz w:val="24"/>
          <w:highlight w:val="none"/>
        </w:rPr>
      </w:pPr>
    </w:p>
    <w:p>
      <w:pPr>
        <w:jc w:val="center"/>
        <w:rPr>
          <w:rFonts w:hint="eastAsia" w:ascii="黑体" w:hAnsi="黑体" w:eastAsia="黑体" w:cs="黑体"/>
          <w:b/>
          <w:bCs/>
          <w:sz w:val="36"/>
          <w:szCs w:val="36"/>
          <w:u w:color="auto"/>
          <w:lang w:val="en-US" w:eastAsia="zh-CN"/>
        </w:rPr>
      </w:pPr>
      <w:r>
        <w:rPr>
          <w:rFonts w:hint="eastAsia" w:ascii="黑体" w:hAnsi="黑体" w:eastAsia="黑体" w:cs="黑体"/>
          <w:b/>
          <w:bCs/>
          <w:sz w:val="36"/>
          <w:szCs w:val="36"/>
          <w:highlight w:val="none"/>
        </w:rPr>
        <w:t>第三部分：</w:t>
      </w:r>
      <w:r>
        <w:rPr>
          <w:rFonts w:hint="eastAsia" w:ascii="黑体" w:hAnsi="黑体" w:eastAsia="黑体" w:cs="黑体"/>
          <w:b/>
          <w:bCs/>
          <w:sz w:val="36"/>
          <w:szCs w:val="36"/>
          <w:u w:color="auto"/>
          <w:lang w:val="en-US" w:eastAsia="zh-CN"/>
        </w:rPr>
        <w:t>环江毛南族自治县生态移民发展中心</w:t>
      </w:r>
    </w:p>
    <w:p>
      <w:pPr>
        <w:jc w:val="center"/>
        <w:rPr>
          <w:rFonts w:ascii="仿宋" w:hAnsi="仿宋" w:eastAsia="仿宋" w:cs="仿宋"/>
          <w:b/>
          <w:bCs/>
          <w:sz w:val="36"/>
          <w:szCs w:val="36"/>
          <w:highlight w:val="none"/>
        </w:rPr>
      </w:pPr>
      <w:r>
        <w:rPr>
          <w:rFonts w:hint="eastAsia" w:ascii="黑体" w:hAnsi="黑体" w:eastAsia="黑体" w:cs="黑体"/>
          <w:b/>
          <w:bCs/>
          <w:sz w:val="36"/>
          <w:szCs w:val="36"/>
          <w:u w:color="auto"/>
          <w:lang w:val="en-US" w:eastAsia="zh-CN"/>
        </w:rPr>
        <w:t xml:space="preserve">   </w:t>
      </w:r>
      <w:r>
        <w:rPr>
          <w:rFonts w:hint="eastAsia" w:ascii="黑体" w:hAnsi="黑体" w:eastAsia="黑体" w:cs="黑体"/>
          <w:b/>
          <w:bCs/>
          <w:sz w:val="36"/>
          <w:szCs w:val="36"/>
          <w:highlight w:val="none"/>
        </w:rPr>
        <w:t>2022年度部门决算情况说明</w:t>
      </w:r>
    </w:p>
    <w:p>
      <w:pPr>
        <w:jc w:val="left"/>
        <w:rPr>
          <w:rFonts w:hint="eastAsia" w:ascii="黑体" w:hAnsi="黑体" w:eastAsia="黑体" w:cs="黑体"/>
          <w:sz w:val="32"/>
          <w:szCs w:val="32"/>
          <w:highlight w:val="none"/>
        </w:rPr>
      </w:pPr>
    </w:p>
    <w:p>
      <w:pPr>
        <w:keepNext w:val="0"/>
        <w:keepLines w:val="0"/>
        <w:pageBreakBefore w:val="0"/>
        <w:widowControl w:val="0"/>
        <w:kinsoku/>
        <w:wordWrap/>
        <w:overflowPunct/>
        <w:topLinePunct w:val="0"/>
        <w:autoSpaceDE/>
        <w:autoSpaceDN/>
        <w:bidi w:val="0"/>
        <w:adjustRightInd/>
        <w:snapToGrid/>
        <w:jc w:val="both"/>
        <w:textAlignment w:val="auto"/>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6411.59</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增加1406.85</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增长28.11</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6411.59</w:t>
      </w:r>
      <w:r>
        <w:rPr>
          <w:rFonts w:hint="eastAsia" w:ascii="仿宋" w:hAnsi="仿宋" w:eastAsia="仿宋" w:cs="仿宋"/>
          <w:sz w:val="32"/>
          <w:szCs w:val="32"/>
          <w:highlight w:val="none"/>
        </w:rPr>
        <w:t>万元。收入具体情况如下。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5484.69</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自治县</w:t>
      </w:r>
      <w:r>
        <w:rPr>
          <w:rFonts w:hint="eastAsia" w:ascii="仿宋" w:hAnsi="仿宋" w:eastAsia="仿宋" w:cs="仿宋"/>
          <w:kern w:val="2"/>
          <w:sz w:val="32"/>
          <w:szCs w:val="32"/>
          <w:highlight w:val="none"/>
          <w:lang w:val="en-US" w:eastAsia="zh-CN" w:bidi="ar"/>
        </w:rPr>
        <w:t>本级财政当年拨付的资金。较2021年度决算数</w:t>
      </w:r>
      <w:r>
        <w:rPr>
          <w:rFonts w:hint="eastAsia" w:ascii="仿宋" w:hAnsi="仿宋" w:eastAsia="仿宋" w:cs="仿宋"/>
          <w:sz w:val="32"/>
          <w:u w:color="auto"/>
          <w:lang w:val="en-US" w:eastAsia="zh-CN"/>
        </w:rPr>
        <w:t>增加1850.22</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u w:color="auto"/>
          <w:lang w:val="en-US" w:eastAsia="zh-CN"/>
        </w:rPr>
        <w:t>增长50.91</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主要原因：上级补助资金收入增加。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hint="eastAsia" w:ascii="仿宋" w:hAnsi="仿宋" w:eastAsia="仿宋" w:cs="仿宋"/>
          <w:sz w:val="32"/>
          <w:u w:color="auto"/>
          <w:lang w:val="en-US" w:eastAsia="zh-CN"/>
        </w:rPr>
        <w:t>926.90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877.58</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1779.36</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主要原因：上级补助资金收入增加。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主要原因是：本单位没有该收入。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主要原因是：本单位没有该收入。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主要原因是：本单位没有该收入。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主要原因是：本单位没有该收入。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主要原因是：本单位没有该收入。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主要原因是：本单位没有该收入。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主要原因是：本单位没有该收入。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w:t>
      </w:r>
      <w:r>
        <w:rPr>
          <w:rFonts w:hint="eastAsia" w:ascii="仿宋_GB2312" w:eastAsia="仿宋_GB2312" w:cs="仿宋_GB2312"/>
          <w:kern w:val="0"/>
          <w:sz w:val="32"/>
          <w:szCs w:val="32"/>
          <w:lang w:val="en-US" w:eastAsia="zh-CN"/>
        </w:rPr>
        <w:t>1370.26</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100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主要原因：跨年度实施的</w:t>
      </w:r>
      <w:r>
        <w:rPr>
          <w:rFonts w:hint="eastAsia" w:ascii="仿宋" w:hAnsi="仿宋" w:eastAsia="仿宋" w:cs="仿宋"/>
          <w:color w:val="auto"/>
          <w:kern w:val="2"/>
          <w:sz w:val="32"/>
          <w:szCs w:val="32"/>
          <w:highlight w:val="none"/>
          <w:lang w:val="en-US" w:eastAsia="zh-CN" w:bidi="ar"/>
        </w:rPr>
        <w:t>项目已在本年执行完毕，不需要结转至下年继续执行。</w:t>
      </w:r>
    </w:p>
    <w:p>
      <w:pPr>
        <w:keepNext w:val="0"/>
        <w:keepLines w:val="0"/>
        <w:pageBreakBefore w:val="0"/>
        <w:widowControl w:val="0"/>
        <w:kinsoku/>
        <w:wordWrap/>
        <w:overflowPunct/>
        <w:topLinePunct w:val="0"/>
        <w:autoSpaceDE/>
        <w:autoSpaceDN/>
        <w:bidi w:val="0"/>
        <w:adjustRightInd/>
        <w:snapToGrid/>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775835" cy="2676525"/>
            <wp:effectExtent l="4445" t="4445" r="20320" b="508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6411.59</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6411.59</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增加1406.85</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增长28.11</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w:t>
      </w:r>
      <w:r>
        <w:rPr>
          <w:rFonts w:hint="eastAsia" w:ascii="仿宋" w:hAnsi="仿宋" w:eastAsia="仿宋" w:cs="仿宋"/>
          <w:sz w:val="32"/>
          <w:szCs w:val="32"/>
          <w:highlight w:val="none"/>
          <w:lang w:val="en-US" w:eastAsia="zh-CN" w:bidi="ar"/>
        </w:rPr>
        <w:t>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3.00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职工工会经费单位部分的支出。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bidi="ar"/>
        </w:rPr>
        <w:t>增加3.00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bidi="ar"/>
        </w:rPr>
        <w:t>增长100</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主要原因是：本年度单列该经费的支出预算。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518.34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机关事业单位基本养老保险缴费</w:t>
      </w:r>
      <w:r>
        <w:rPr>
          <w:rFonts w:hint="eastAsia" w:ascii="仿宋" w:hAnsi="仿宋" w:eastAsia="仿宋" w:cs="仿宋"/>
          <w:color w:val="000000" w:themeColor="text1"/>
          <w:sz w:val="32"/>
          <w:szCs w:val="32"/>
          <w:highlight w:val="none"/>
          <w:lang w:val="en-US" w:eastAsia="zh-CN"/>
          <w14:textFill>
            <w14:solidFill>
              <w14:schemeClr w14:val="tx1"/>
            </w14:solidFill>
          </w14:textFill>
        </w:rPr>
        <w:t>和</w:t>
      </w:r>
      <w:r>
        <w:rPr>
          <w:rFonts w:hint="eastAsia" w:ascii="仿宋" w:hAnsi="仿宋" w:eastAsia="仿宋" w:cs="仿宋"/>
          <w:bCs/>
          <w:color w:val="auto"/>
          <w:sz w:val="32"/>
          <w:szCs w:val="32"/>
          <w:shd w:val="clear" w:color="auto" w:fill="FFFFFF"/>
        </w:rPr>
        <w:t>大中型水库移民后期扶持基金支出</w:t>
      </w:r>
      <w:r>
        <w:rPr>
          <w:rFonts w:hint="eastAsia" w:ascii="仿宋" w:hAnsi="仿宋" w:eastAsia="仿宋" w:cs="仿宋"/>
          <w:bCs/>
          <w:color w:val="auto"/>
          <w:sz w:val="32"/>
          <w:szCs w:val="32"/>
          <w:shd w:val="clear" w:color="auto" w:fill="FFFFFF"/>
          <w:lang w:val="en-US" w:eastAsia="zh-CN"/>
        </w:rPr>
        <w:t>及小型水库移民扶助基金安排的支出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534.01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50.74</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主要原因是：上级补助安排的大中小型水库移民扶持基金支出减少。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val="en-US" w:eastAsia="zh-CN" w:bidi="ar"/>
        </w:rPr>
        <w:t>农林水</w:t>
      </w:r>
      <w:r>
        <w:rPr>
          <w:rFonts w:hint="eastAsia" w:ascii="仿宋" w:hAnsi="仿宋" w:eastAsia="仿宋" w:cs="仿宋"/>
          <w:sz w:val="32"/>
          <w:szCs w:val="32"/>
          <w:highlight w:val="none"/>
          <w:lang w:bidi="ar"/>
        </w:rPr>
        <w:t>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w:t>
      </w:r>
      <w:r>
        <w:rPr>
          <w:rFonts w:hint="eastAsia" w:ascii="仿宋" w:hAnsi="仿宋" w:eastAsia="仿宋" w:cs="仿宋"/>
          <w:sz w:val="32"/>
          <w:szCs w:val="32"/>
          <w:highlight w:val="none"/>
          <w:lang w:val="en-US" w:eastAsia="zh-CN" w:bidi="ar"/>
        </w:rPr>
        <w:t>3</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5830.98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kern w:val="0"/>
          <w:sz w:val="32"/>
          <w:szCs w:val="32"/>
        </w:rPr>
        <w:t>大中型水库移民后期扶持专项支出，</w:t>
      </w:r>
      <w:r>
        <w:rPr>
          <w:rFonts w:hint="eastAsia" w:ascii="仿宋" w:hAnsi="仿宋" w:eastAsia="仿宋" w:cs="仿宋"/>
          <w:bCs/>
          <w:kern w:val="0"/>
          <w:sz w:val="32"/>
          <w:szCs w:val="32"/>
        </w:rPr>
        <w:t>水利建设移民</w:t>
      </w:r>
      <w:r>
        <w:rPr>
          <w:rFonts w:hint="eastAsia" w:ascii="仿宋" w:hAnsi="仿宋" w:eastAsia="仿宋" w:cs="仿宋"/>
          <w:bCs/>
          <w:color w:val="333333"/>
          <w:sz w:val="32"/>
          <w:szCs w:val="32"/>
          <w:shd w:val="clear" w:color="auto" w:fill="FFFFFF"/>
        </w:rPr>
        <w:t>支出，大中型水库移民后期扶持专项支出、大中型水库库区基金安排的基础设施建设和经济发展支出、以及</w:t>
      </w:r>
      <w:r>
        <w:rPr>
          <w:rFonts w:hint="eastAsia" w:ascii="仿宋" w:hAnsi="仿宋" w:eastAsia="仿宋" w:cs="仿宋"/>
          <w:bCs/>
          <w:color w:val="333333"/>
          <w:sz w:val="32"/>
          <w:szCs w:val="32"/>
          <w:shd w:val="clear" w:color="auto" w:fill="FFFFFF"/>
          <w:lang w:val="en-US" w:eastAsia="zh-CN"/>
        </w:rPr>
        <w:t>为</w:t>
      </w:r>
      <w:r>
        <w:rPr>
          <w:rFonts w:hint="eastAsia" w:ascii="仿宋" w:hAnsi="仿宋" w:eastAsia="仿宋" w:cs="仿宋"/>
          <w:bCs/>
          <w:color w:val="333333"/>
          <w:sz w:val="32"/>
          <w:szCs w:val="32"/>
          <w:shd w:val="clear" w:color="auto" w:fill="FFFFFF"/>
        </w:rPr>
        <w:t>确保</w:t>
      </w:r>
      <w:r>
        <w:rPr>
          <w:rFonts w:hint="eastAsia" w:ascii="仿宋" w:hAnsi="仿宋" w:eastAsia="仿宋" w:cs="仿宋"/>
          <w:kern w:val="0"/>
          <w:sz w:val="32"/>
          <w:szCs w:val="32"/>
        </w:rPr>
        <w:t>日常运转发生的基本支出。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bidi="ar"/>
        </w:rPr>
        <w:t>增加1931.90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bidi="ar"/>
        </w:rPr>
        <w:t>增长49.55</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主要原因是：上级补助安排的</w:t>
      </w:r>
      <w:r>
        <w:rPr>
          <w:rFonts w:hint="eastAsia" w:ascii="仿宋" w:hAnsi="仿宋" w:eastAsia="仿宋" w:cs="仿宋"/>
          <w:kern w:val="0"/>
          <w:sz w:val="32"/>
          <w:szCs w:val="32"/>
        </w:rPr>
        <w:t>大中型水库移民后期扶持专项支出</w:t>
      </w:r>
      <w:r>
        <w:rPr>
          <w:rFonts w:hint="eastAsia" w:ascii="仿宋" w:hAnsi="仿宋" w:eastAsia="仿宋" w:cs="仿宋"/>
          <w:kern w:val="0"/>
          <w:sz w:val="32"/>
          <w:szCs w:val="32"/>
          <w:lang w:val="en-US" w:eastAsia="zh-CN"/>
        </w:rPr>
        <w:t>等</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专项资金支出增加。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lang w:val="en-US" w:eastAsia="zh-CN"/>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18.49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kern w:val="0"/>
          <w:sz w:val="32"/>
          <w:szCs w:val="32"/>
        </w:rPr>
        <w:t>按照国家政策规定向职工发放的住房公积金方面的支出</w:t>
      </w:r>
      <w:r>
        <w:rPr>
          <w:rFonts w:hint="eastAsia" w:ascii="仿宋" w:hAnsi="仿宋" w:eastAsia="仿宋" w:cs="仿宋"/>
          <w:kern w:val="0"/>
          <w:sz w:val="32"/>
          <w:szCs w:val="32"/>
          <w:lang w:eastAsia="zh-CN"/>
        </w:rPr>
        <w:t>。</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bidi="ar"/>
        </w:rPr>
        <w:t>增加0.68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bidi="ar"/>
        </w:rPr>
        <w:t>增长3.82</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主要原因是：基数调增。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5.</w:t>
      </w:r>
      <w:r>
        <w:rPr>
          <w:rFonts w:hint="eastAsia" w:ascii="仿宋" w:hAnsi="仿宋" w:eastAsia="仿宋" w:cs="仿宋"/>
          <w:kern w:val="0"/>
          <w:sz w:val="32"/>
          <w:szCs w:val="32"/>
        </w:rPr>
        <w:t>其他支出</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229类）40.78万元</w:t>
      </w:r>
      <w:r>
        <w:rPr>
          <w:rFonts w:hint="eastAsia" w:ascii="仿宋" w:hAnsi="仿宋" w:eastAsia="仿宋" w:cs="仿宋"/>
          <w:kern w:val="0"/>
          <w:sz w:val="32"/>
          <w:szCs w:val="32"/>
        </w:rPr>
        <w:t>，为按自治县规定评定的</w:t>
      </w:r>
      <w:r>
        <w:rPr>
          <w:rFonts w:hint="eastAsia" w:ascii="仿宋" w:hAnsi="仿宋" w:eastAsia="仿宋" w:cs="仿宋"/>
          <w:color w:val="auto"/>
          <w:sz w:val="31"/>
          <w:szCs w:val="31"/>
          <w:shd w:val="clear" w:color="auto" w:fill="FFFFFF"/>
        </w:rPr>
        <w:t>绩效考评奖、伙食补助</w:t>
      </w:r>
      <w:r>
        <w:rPr>
          <w:rFonts w:hint="eastAsia" w:ascii="仿宋" w:hAnsi="仿宋" w:eastAsia="仿宋" w:cs="仿宋"/>
          <w:kern w:val="0"/>
          <w:sz w:val="32"/>
          <w:szCs w:val="32"/>
        </w:rPr>
        <w:t>等支出。较20</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年度决算数</w:t>
      </w:r>
      <w:r>
        <w:rPr>
          <w:rFonts w:hint="eastAsia" w:ascii="仿宋" w:hAnsi="仿宋" w:eastAsia="仿宋" w:cs="仿宋"/>
          <w:kern w:val="0"/>
          <w:sz w:val="32"/>
          <w:szCs w:val="32"/>
          <w:lang w:val="en-US" w:eastAsia="zh-CN"/>
        </w:rPr>
        <w:t>增加5.28</w:t>
      </w:r>
      <w:r>
        <w:rPr>
          <w:rFonts w:hint="eastAsia" w:ascii="仿宋" w:hAnsi="仿宋" w:eastAsia="仿宋" w:cs="仿宋"/>
          <w:kern w:val="0"/>
          <w:sz w:val="32"/>
          <w:szCs w:val="32"/>
        </w:rPr>
        <w:t>万元，</w:t>
      </w:r>
      <w:r>
        <w:rPr>
          <w:rFonts w:hint="eastAsia" w:ascii="仿宋" w:hAnsi="仿宋" w:eastAsia="仿宋" w:cs="仿宋"/>
          <w:kern w:val="0"/>
          <w:sz w:val="32"/>
          <w:szCs w:val="32"/>
          <w:lang w:val="en-US" w:eastAsia="zh-CN"/>
        </w:rPr>
        <w:t>增长14.87</w:t>
      </w:r>
      <w:r>
        <w:rPr>
          <w:rFonts w:hint="eastAsia" w:ascii="仿宋" w:hAnsi="仿宋" w:eastAsia="仿宋" w:cs="仿宋"/>
          <w:kern w:val="0"/>
          <w:sz w:val="32"/>
          <w:szCs w:val="32"/>
        </w:rPr>
        <w:t>%，主要原因是</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2021年伙食补助费无支出及人员变动导致绩效考评奖支出增加</w:t>
      </w:r>
      <w:r>
        <w:rPr>
          <w:rFonts w:hint="eastAsia" w:ascii="仿宋" w:hAnsi="仿宋" w:eastAsia="仿宋" w:cs="仿宋"/>
          <w:kern w:val="0"/>
          <w:sz w:val="32"/>
          <w:szCs w:val="32"/>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：本单位无此分配。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0.00</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03725" cy="2651125"/>
            <wp:effectExtent l="4445" t="4445" r="11430" b="1143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jc w:val="both"/>
        <w:textAlignment w:val="auto"/>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0" w:name="OLE_LINK1"/>
      <w:r>
        <w:rPr>
          <w:rFonts w:hint="eastAsia" w:ascii="黑体" w:hAnsi="黑体" w:eastAsia="黑体" w:cs="黑体"/>
          <w:sz w:val="32"/>
          <w:szCs w:val="32"/>
          <w:highlight w:val="none"/>
        </w:rPr>
        <w:t>一般公共预算财政拨款支出决算情况</w:t>
      </w:r>
      <w:bookmarkEnd w:id="0"/>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本部门</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5484.69</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增加1787.41</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增长48.34</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318.55</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5166.14</w:t>
      </w:r>
      <w:r>
        <w:rPr>
          <w:rFonts w:hint="eastAsia" w:ascii="仿宋" w:hAnsi="仿宋" w:eastAsia="仿宋" w:cs="仿宋"/>
          <w:sz w:val="32"/>
          <w:szCs w:val="32"/>
          <w:highlight w:val="none"/>
        </w:rPr>
        <w:t>万元。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本部门</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highlight w:val="none"/>
          <w:u w:color="auto"/>
          <w:lang w:val="en-US" w:eastAsia="zh-CN"/>
        </w:rPr>
        <w:t>300.82</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5484.69</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1823.25</w:t>
      </w:r>
      <w:r>
        <w:rPr>
          <w:rFonts w:ascii="仿宋" w:hAnsi="仿宋" w:eastAsia="仿宋" w:cs="仿宋"/>
          <w:sz w:val="32"/>
          <w:u w:color="auto"/>
        </w:rPr>
        <w:t>%</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eastAsia="仿宋"/>
          <w:color w:val="FF0000"/>
          <w:highlight w:val="none"/>
          <w:lang w:val="en-US" w:eastAsia="zh-CN"/>
        </w:rPr>
      </w:pPr>
      <w:bookmarkStart w:id="1" w:name="OLE_LINK2"/>
      <w:bookmarkEnd w:id="1"/>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一）一般公共服务支出</w:t>
      </w:r>
      <w:r>
        <w:rPr>
          <w:rFonts w:ascii="仿宋" w:hAnsi="仿宋" w:eastAsia="仿宋"/>
          <w:sz w:val="32"/>
          <w:u w:color="auto"/>
        </w:rPr>
        <w:t>（20</w:t>
      </w:r>
      <w:r>
        <w:rPr>
          <w:rFonts w:hint="eastAsia" w:ascii="仿宋" w:hAnsi="仿宋" w:eastAsia="仿宋"/>
          <w:sz w:val="32"/>
          <w:u w:color="auto"/>
          <w:lang w:val="en-US" w:eastAsia="zh-CN"/>
        </w:rPr>
        <w:t>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万元，完成年初预算的</w:t>
      </w:r>
      <w:r>
        <w:rPr>
          <w:rFonts w:ascii="仿宋" w:hAnsi="仿宋" w:eastAsia="仿宋"/>
          <w:sz w:val="32"/>
          <w:szCs w:val="32"/>
          <w:highlight w:val="none"/>
        </w:rPr>
        <w:t>10</w:t>
      </w:r>
      <w:r>
        <w:rPr>
          <w:rFonts w:hint="eastAsia" w:ascii="仿宋" w:hAnsi="仿宋" w:eastAsia="仿宋"/>
          <w:sz w:val="32"/>
          <w:szCs w:val="32"/>
          <w:highlight w:val="none"/>
          <w:lang w:val="en-US" w:eastAsia="zh-CN"/>
        </w:rPr>
        <w:t>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无</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职工工会经费单位部分支出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二）</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40.11</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40.08</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99.93</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原因是：人员变动，基数也随之变动。</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40.11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40.08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99.93%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bCs/>
                <w:color w:val="333333"/>
                <w:sz w:val="20"/>
                <w:szCs w:val="20"/>
                <w:shd w:val="clear" w:color="auto" w:fill="FFFFFF"/>
              </w:rPr>
              <w:t>机关事业单位基本养老保险缴费支出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color w:val="auto"/>
                <w:sz w:val="20"/>
                <w:szCs w:val="20"/>
                <w:highlight w:val="none"/>
                <w:lang w:val="en-US" w:eastAsia="zh-CN"/>
              </w:rPr>
              <w:t>人员变动，基数也随之变动。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40.11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40.08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20"/>
          <w:szCs w:val="20"/>
          <w:highlight w:val="none"/>
        </w:rPr>
      </w:pPr>
      <w:r>
        <w:rPr>
          <w:rFonts w:hint="eastAsia" w:ascii="仿宋" w:hAnsi="仿宋" w:eastAsia="仿宋" w:cs="仿宋"/>
          <w:sz w:val="20"/>
          <w:szCs w:val="20"/>
          <w:highlight w:val="none"/>
        </w:rPr>
        <w:drawing>
          <wp:inline distT="0" distB="0" distL="114300" distR="114300">
            <wp:extent cx="4474845" cy="2796540"/>
            <wp:effectExtent l="4445" t="4445" r="16510" b="184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eastAsia="仿宋"/>
          <w:color w:val="FF0000"/>
          <w:highlight w:val="none"/>
          <w:lang w:val="en-US" w:eastAsia="zh-CN"/>
        </w:rPr>
      </w:pPr>
      <w:r>
        <w:rPr>
          <w:rFonts w:hint="eastAsia" w:ascii="仿宋" w:hAnsi="仿宋" w:eastAsia="仿宋"/>
          <w:sz w:val="32"/>
          <w:szCs w:val="32"/>
          <w:highlight w:val="none"/>
          <w:lang w:val="en-US" w:eastAsia="zh-CN"/>
        </w:rPr>
        <w:t>（三）农林水</w:t>
      </w:r>
      <w:r>
        <w:rPr>
          <w:rFonts w:hint="eastAsia" w:ascii="仿宋" w:hAnsi="仿宋" w:eastAsia="仿宋"/>
          <w:sz w:val="32"/>
          <w:szCs w:val="32"/>
          <w:highlight w:val="none"/>
        </w:rPr>
        <w:t>支出</w:t>
      </w:r>
      <w:r>
        <w:rPr>
          <w:rFonts w:ascii="仿宋" w:hAnsi="仿宋" w:eastAsia="仿宋"/>
          <w:sz w:val="32"/>
          <w:u w:color="auto"/>
        </w:rPr>
        <w:t>（21</w:t>
      </w:r>
      <w:r>
        <w:rPr>
          <w:rFonts w:hint="eastAsia" w:ascii="仿宋" w:hAnsi="仿宋" w:eastAsia="仿宋"/>
          <w:sz w:val="32"/>
          <w:u w:color="auto"/>
          <w:lang w:val="en-US" w:eastAsia="zh-CN"/>
        </w:rPr>
        <w:t>3</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239.73</w:t>
      </w:r>
      <w:r>
        <w:rPr>
          <w:rFonts w:hint="eastAsia" w:ascii="仿宋" w:hAnsi="仿宋" w:eastAsia="仿宋"/>
          <w:sz w:val="32"/>
          <w:szCs w:val="32"/>
          <w:highlight w:val="none"/>
        </w:rPr>
        <w:t>万元，支出决算为5382.35万元，完成年初预算的</w:t>
      </w:r>
      <w:r>
        <w:rPr>
          <w:rFonts w:hint="eastAsia" w:ascii="仿宋" w:hAnsi="仿宋" w:eastAsia="仿宋"/>
          <w:sz w:val="32"/>
          <w:szCs w:val="32"/>
          <w:highlight w:val="none"/>
          <w:lang w:val="en-US" w:eastAsia="zh-CN"/>
        </w:rPr>
        <w:t>2245.17</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原因是：上级下达的专项资金年初无预算。</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2130321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大中型水库移民后期扶持专项支出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7.89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大中型水库移民后期扶持专项支出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color w:val="auto"/>
                <w:sz w:val="20"/>
                <w:szCs w:val="20"/>
                <w:highlight w:val="none"/>
                <w:lang w:val="en-US" w:eastAsia="zh-CN"/>
              </w:rPr>
              <w:t>年初无预算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2130334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水利建设征地及移民支出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61.34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FF0000"/>
                <w:sz w:val="21"/>
                <w:szCs w:val="21"/>
                <w:highlight w:val="none"/>
                <w:lang w:val="en-US" w:eastAsia="zh-CN"/>
              </w:rPr>
              <w:t xml:space="preserve">  </w:t>
            </w:r>
            <w:r>
              <w:rPr>
                <w:rFonts w:hint="eastAsia" w:asciiTheme="minorEastAsia" w:hAnsiTheme="minorEastAsia" w:eastAsiaTheme="minorEastAsia" w:cstheme="minorEastAsia"/>
                <w:color w:val="auto"/>
                <w:sz w:val="20"/>
                <w:szCs w:val="20"/>
                <w:highlight w:val="none"/>
                <w:lang w:val="en-US" w:eastAsia="zh-CN"/>
              </w:rPr>
              <w:t>水利建设征地及移民支出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color w:val="auto"/>
                <w:sz w:val="20"/>
                <w:szCs w:val="20"/>
                <w:highlight w:val="none"/>
                <w:lang w:val="en-US" w:eastAsia="zh-CN"/>
              </w:rPr>
              <w:t>年初无预算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2130501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0.04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color w:val="auto"/>
                <w:sz w:val="20"/>
                <w:szCs w:val="20"/>
                <w:highlight w:val="none"/>
                <w:lang w:val="en-US" w:eastAsia="zh-CN"/>
              </w:rPr>
              <w:t>行政运行支出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color w:val="auto"/>
                <w:sz w:val="20"/>
                <w:szCs w:val="20"/>
                <w:highlight w:val="none"/>
                <w:lang w:val="en-US" w:eastAsia="zh-CN"/>
              </w:rPr>
              <w:t>年初无预算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2130507</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 xml:space="preserve"> 贷款奖补和贴息</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850.00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color w:val="auto"/>
                <w:sz w:val="20"/>
                <w:szCs w:val="20"/>
                <w:highlight w:val="none"/>
                <w:lang w:val="en-US" w:eastAsia="zh-CN"/>
              </w:rPr>
              <w:t>易地扶贫搬迁贷款贴息支出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color w:val="auto"/>
                <w:sz w:val="20"/>
                <w:szCs w:val="20"/>
                <w:highlight w:val="none"/>
                <w:lang w:val="en-US" w:eastAsia="zh-CN"/>
              </w:rPr>
              <w:t>年初无预算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2130599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其他巩固脱贫衔接乡村振兴支出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3849.68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eastAsiaTheme="minorEastAsia" w:cstheme="minorEastAsia"/>
                <w:color w:val="auto"/>
                <w:sz w:val="20"/>
                <w:szCs w:val="20"/>
                <w:highlight w:val="none"/>
                <w:lang w:val="en-US" w:eastAsia="zh-CN"/>
              </w:rPr>
              <w:t>推进乡村振兴公益岗位人员工资支出及易地扶贫搬迁专项融资还款支出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r>
              <w:rPr>
                <w:rFonts w:hint="eastAsia" w:asciiTheme="minorEastAsia" w:hAnsiTheme="minorEastAsia" w:eastAsiaTheme="minorEastAsia" w:cstheme="minorEastAsia"/>
                <w:color w:val="auto"/>
                <w:sz w:val="20"/>
                <w:szCs w:val="20"/>
                <w:highlight w:val="none"/>
                <w:lang w:val="en-US" w:eastAsia="zh-CN"/>
              </w:rPr>
              <w:t>年初无预算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其他农林水支出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239.73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613.39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255.87%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r>
              <w:rPr>
                <w:rFonts w:hint="eastAsia" w:asciiTheme="minorEastAsia" w:hAnsiTheme="minorEastAsia" w:eastAsiaTheme="minorEastAsia" w:cstheme="minorEastAsia"/>
                <w:kern w:val="0"/>
                <w:sz w:val="20"/>
                <w:szCs w:val="20"/>
                <w:highlight w:val="none"/>
              </w:rPr>
              <w:t>根据国家规定的基本工资和津补贴标准等安排的人员经费支出，确保移民局机关正常运转的办公费、印刷费、水电费、培训费、差旅费、会议费等日常公用经费支出</w:t>
            </w:r>
            <w:r>
              <w:rPr>
                <w:rFonts w:hint="eastAsia" w:asciiTheme="minorEastAsia" w:hAnsiTheme="minorEastAsia" w:cstheme="minorEastAsia"/>
                <w:kern w:val="0"/>
                <w:sz w:val="20"/>
                <w:szCs w:val="20"/>
                <w:highlight w:val="none"/>
                <w:lang w:val="en-US" w:eastAsia="zh-CN"/>
              </w:rPr>
              <w:t>及中央水库移民扶持支出</w:t>
            </w:r>
            <w:r>
              <w:rPr>
                <w:rFonts w:hint="eastAsia" w:asciiTheme="minorEastAsia" w:hAnsiTheme="minorEastAsia" w:eastAsiaTheme="minorEastAsia" w:cstheme="minorEastAsia"/>
                <w:kern w:val="0"/>
                <w:sz w:val="20"/>
                <w:szCs w:val="20"/>
                <w:highlight w:val="none"/>
              </w:rPr>
              <w:t>。</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FF0000"/>
                <w:sz w:val="18"/>
                <w:szCs w:val="18"/>
                <w:highlight w:val="none"/>
                <w:lang w:val="en-US" w:eastAsia="zh-CN"/>
              </w:rPr>
            </w:pPr>
            <w:r>
              <w:rPr>
                <w:rFonts w:hint="eastAsia" w:asciiTheme="minorEastAsia" w:hAnsiTheme="minorEastAsia" w:eastAsiaTheme="minorEastAsia" w:cstheme="minorEastAsia"/>
                <w:color w:val="auto"/>
                <w:sz w:val="20"/>
                <w:szCs w:val="20"/>
                <w:highlight w:val="none"/>
                <w:shd w:val="clear" w:color="FFFFFF" w:fill="D9D9D9"/>
                <w:lang w:val="en-US" w:eastAsia="zh-CN"/>
              </w:rPr>
              <w:t>上级下</w:t>
            </w:r>
            <w:r>
              <w:rPr>
                <w:rFonts w:hint="eastAsia" w:asciiTheme="minorEastAsia" w:hAnsiTheme="minorEastAsia" w:cstheme="minorEastAsia"/>
                <w:color w:val="auto"/>
                <w:sz w:val="20"/>
                <w:szCs w:val="20"/>
                <w:highlight w:val="none"/>
                <w:shd w:val="clear" w:color="FFFFFF" w:fill="D9D9D9"/>
                <w:lang w:val="en-US" w:eastAsia="zh-CN"/>
              </w:rPr>
              <w:t>达</w:t>
            </w:r>
            <w:r>
              <w:rPr>
                <w:rFonts w:hint="eastAsia" w:asciiTheme="minorEastAsia" w:hAnsiTheme="minorEastAsia" w:eastAsiaTheme="minorEastAsia" w:cstheme="minorEastAsia"/>
                <w:color w:val="auto"/>
                <w:sz w:val="20"/>
                <w:szCs w:val="20"/>
                <w:highlight w:val="none"/>
                <w:shd w:val="clear" w:color="FFFFFF" w:fill="D9D9D9"/>
                <w:lang w:val="en-US" w:eastAsia="zh-CN"/>
              </w:rPr>
              <w:t>的中央水库移民扶持资金年初无预算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239.73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5382.35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559050"/>
            <wp:effectExtent l="4445" t="4445" r="16510" b="825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四）</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17.98</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18.49</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102.84</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原因是：人员变动，基数也随之变动。</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17.98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18.49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102.84%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kern w:val="0"/>
                <w:sz w:val="20"/>
                <w:szCs w:val="20"/>
              </w:rPr>
              <w:t>按照国家政策规定向职工发放的住房公积金方面的支出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人员变动，基数也随之变动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17.98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18.49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hint="eastAsia" w:eastAsia="仿宋"/>
          <w:color w:val="FF0000"/>
          <w:highlight w:val="none"/>
          <w:lang w:val="en-US" w:eastAsia="zh-CN"/>
        </w:rPr>
      </w:pPr>
      <w:r>
        <w:rPr>
          <w:rFonts w:hint="eastAsia" w:ascii="仿宋" w:hAnsi="仿宋" w:eastAsia="仿宋"/>
          <w:sz w:val="32"/>
          <w:szCs w:val="32"/>
          <w:highlight w:val="none"/>
          <w:lang w:val="en-US" w:eastAsia="zh-CN"/>
        </w:rPr>
        <w:t>（五）其他</w:t>
      </w:r>
      <w:r>
        <w:rPr>
          <w:rFonts w:hint="eastAsia" w:ascii="仿宋" w:hAnsi="仿宋" w:eastAsia="仿宋"/>
          <w:sz w:val="32"/>
          <w:szCs w:val="32"/>
          <w:highlight w:val="none"/>
        </w:rPr>
        <w:t>支出</w:t>
      </w:r>
      <w:r>
        <w:rPr>
          <w:rFonts w:ascii="仿宋" w:hAnsi="仿宋" w:eastAsia="仿宋"/>
          <w:sz w:val="32"/>
          <w:u w:color="auto"/>
        </w:rPr>
        <w:t>（22</w:t>
      </w:r>
      <w:r>
        <w:rPr>
          <w:rFonts w:hint="eastAsia" w:ascii="仿宋" w:hAnsi="仿宋" w:eastAsia="仿宋"/>
          <w:sz w:val="32"/>
          <w:u w:color="auto"/>
          <w:lang w:val="en-US" w:eastAsia="zh-CN"/>
        </w:rPr>
        <w:t>9</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40.78</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原因是：年初无预算。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40.78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kern w:val="0"/>
                <w:sz w:val="20"/>
                <w:szCs w:val="20"/>
                <w:lang w:val="en-US" w:eastAsia="zh-CN"/>
              </w:rPr>
              <w:t>本部门及所属事业单位人员的年终绩效奖金</w:t>
            </w:r>
            <w:r>
              <w:rPr>
                <w:rFonts w:hint="eastAsia" w:asciiTheme="minorEastAsia" w:hAnsiTheme="minorEastAsia" w:cstheme="minorEastAsia"/>
                <w:kern w:val="0"/>
                <w:sz w:val="20"/>
                <w:szCs w:val="20"/>
                <w:lang w:val="en-US" w:eastAsia="zh-CN"/>
              </w:rPr>
              <w:t>和伙食补助</w:t>
            </w:r>
            <w:r>
              <w:rPr>
                <w:rFonts w:hint="eastAsia" w:asciiTheme="minorEastAsia" w:hAnsiTheme="minorEastAsia" w:eastAsiaTheme="minorEastAsia" w:cstheme="minorEastAsia"/>
                <w:kern w:val="0"/>
                <w:sz w:val="20"/>
                <w:szCs w:val="20"/>
              </w:rPr>
              <w:t>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cstheme="minorEastAsia"/>
                <w:color w:val="000000" w:themeColor="text1"/>
                <w:sz w:val="20"/>
                <w:szCs w:val="20"/>
                <w:highlight w:val="none"/>
                <w:lang w:val="en-US" w:eastAsia="zh-CN"/>
                <w14:textFill>
                  <w14:solidFill>
                    <w14:schemeClr w14:val="tx1"/>
                  </w14:solidFill>
                </w14:textFill>
              </w:rPr>
              <w:t>年初无预算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40.78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left"/>
        <w:rPr>
          <w:rFonts w:hint="eastAsia" w:ascii="黑体" w:hAnsi="黑体" w:eastAsia="黑体" w:cs="黑体"/>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bidi w:val="0"/>
        <w:snapToGrid/>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keepNext w:val="0"/>
        <w:keepLines w:val="0"/>
        <w:pageBreakBefore w:val="0"/>
        <w:widowControl w:val="0"/>
        <w:kinsoku/>
        <w:wordWrap/>
        <w:overflowPunct/>
        <w:topLinePunct w:val="0"/>
        <w:bidi w:val="0"/>
        <w:snapToGrid/>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318.56</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302.61</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15.95</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ascii="仿宋_GB2312" w:eastAsia="仿宋_GB2312"/>
          <w:bCs/>
          <w:kern w:val="0"/>
          <w:sz w:val="32"/>
          <w:szCs w:val="32"/>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一）</w:t>
      </w: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302.61</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119.11</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w:t>
      </w:r>
      <w:r>
        <w:rPr>
          <w:rFonts w:hint="eastAsia" w:ascii="仿宋" w:hAnsi="仿宋" w:eastAsia="仿宋" w:cs="仿宋"/>
          <w:sz w:val="32"/>
          <w:szCs w:val="32"/>
          <w:highlight w:val="none"/>
          <w:lang w:val="en-US" w:eastAsia="zh-CN"/>
        </w:rPr>
        <w:t>有</w:t>
      </w:r>
      <w:r>
        <w:rPr>
          <w:rFonts w:hint="eastAsia" w:ascii="仿宋" w:hAnsi="仿宋" w:eastAsia="仿宋" w:cs="仿宋"/>
          <w:sz w:val="32"/>
          <w:szCs w:val="32"/>
          <w:highlight w:val="none"/>
        </w:rPr>
        <w:t>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eastAsia="仿宋_GB2312"/>
          <w:bCs/>
          <w:kern w:val="0"/>
          <w:sz w:val="32"/>
          <w:szCs w:val="32"/>
        </w:rPr>
        <w:t>发</w:t>
      </w:r>
      <w:r>
        <w:rPr>
          <w:rFonts w:hint="eastAsia" w:ascii="仿宋_GB2312" w:hAnsi="仿宋_GB2312" w:eastAsia="仿宋_GB2312" w:cs="仿宋_GB2312"/>
          <w:kern w:val="0"/>
          <w:sz w:val="32"/>
          <w:szCs w:val="32"/>
        </w:rPr>
        <w:t>放的职工绩效考评奖及</w:t>
      </w:r>
      <w:r>
        <w:rPr>
          <w:rFonts w:hint="eastAsia" w:ascii="仿宋_GB2312" w:hAnsi="仿宋_GB2312" w:eastAsia="仿宋_GB2312" w:cs="仿宋_GB2312"/>
          <w:kern w:val="0"/>
          <w:sz w:val="32"/>
          <w:szCs w:val="32"/>
          <w:lang w:val="en-US" w:eastAsia="zh-CN"/>
        </w:rPr>
        <w:t>伙食补助费</w:t>
      </w:r>
      <w:r>
        <w:rPr>
          <w:rFonts w:hint="eastAsia" w:ascii="仿宋_GB2312" w:hAnsi="仿宋_GB2312" w:eastAsia="仿宋_GB2312" w:cs="仿宋_GB2312"/>
          <w:kern w:val="0"/>
          <w:sz w:val="32"/>
          <w:szCs w:val="32"/>
        </w:rPr>
        <w:t>没有列入年初预算</w:t>
      </w:r>
      <w:r>
        <w:rPr>
          <w:rFonts w:hint="eastAsia" w:ascii="仿宋_GB2312" w:eastAsia="仿宋_GB2312"/>
          <w:bCs/>
          <w:kern w:val="0"/>
          <w:sz w:val="32"/>
          <w:szCs w:val="32"/>
        </w:rPr>
        <w:t>。</w:t>
      </w:r>
    </w:p>
    <w:p>
      <w:pPr>
        <w:keepNext w:val="0"/>
        <w:keepLines w:val="0"/>
        <w:pageBreakBefore w:val="0"/>
        <w:widowControl w:val="0"/>
        <w:kinsoku/>
        <w:wordWrap/>
        <w:overflowPunct/>
        <w:topLinePunct w:val="0"/>
        <w:bidi w:val="0"/>
        <w:snapToGrid/>
        <w:jc w:val="both"/>
        <w:textAlignment w:val="auto"/>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67.45万元，30102津贴补贴24.48万元，30103奖金63.90万元，30106伙食补助费2.80万元，30107绩效工资11.14万元，30108机关事业单位基本养老保险缴费40.08万元，30110职工基本医疗保险缴费15.92万元，30111公务员医疗补助缴费0.00万元，30112其他社会保障缴费0.93万元，30113住房公积金18.49万元，30199其他工资福利支出57.42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二）</w:t>
      </w: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15.95</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92.41</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w:t>
      </w:r>
      <w:r>
        <w:rPr>
          <w:rFonts w:hint="eastAsia" w:ascii="仿宋" w:hAnsi="仿宋" w:eastAsia="仿宋" w:cs="仿宋"/>
          <w:sz w:val="32"/>
          <w:szCs w:val="32"/>
          <w:highlight w:val="none"/>
          <w:lang w:val="en-US" w:eastAsia="zh-CN"/>
        </w:rPr>
        <w:t>有</w:t>
      </w:r>
      <w:r>
        <w:rPr>
          <w:rFonts w:hint="eastAsia" w:ascii="仿宋" w:hAnsi="仿宋" w:eastAsia="仿宋" w:cs="仿宋"/>
          <w:sz w:val="32"/>
          <w:szCs w:val="32"/>
          <w:highlight w:val="none"/>
        </w:rPr>
        <w:t>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主要原因是：本单位贯彻落实厉行节约的有关规定，控制开支，不铺张浪费。</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30201办公费1.45万元，30205水费0.01万元，30206电费0.80万元，30207邮电费1.75万元，30228工会经费3.00万元，30239其他交通费用8.94万元。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10815"/>
            <wp:effectExtent l="4445" t="4445" r="16510" b="8890"/>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0.00</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w:t>
      </w:r>
      <w:r>
        <w:rPr>
          <w:rFonts w:hint="eastAsia" w:ascii="仿宋" w:hAnsi="仿宋" w:eastAsia="仿宋" w:cs="仿宋"/>
          <w:sz w:val="32"/>
          <w:szCs w:val="32"/>
          <w:highlight w:val="none"/>
          <w:lang w:val="en-US" w:eastAsia="zh-CN"/>
        </w:rPr>
        <w:t>无</w:t>
      </w:r>
      <w:r>
        <w:rPr>
          <w:rFonts w:hint="eastAsia" w:ascii="仿宋" w:hAnsi="仿宋" w:eastAsia="仿宋" w:cs="仿宋"/>
          <w:sz w:val="32"/>
          <w:szCs w:val="32"/>
          <w:highlight w:val="none"/>
        </w:rPr>
        <w:t>差异</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本单位无该项支出年初预算及支出。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30301离休费0万元，30302退休费0万元，30305生活补助0万元。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四）</w:t>
      </w: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w:t>
      </w:r>
      <w:r>
        <w:rPr>
          <w:rFonts w:hint="eastAsia" w:ascii="仿宋" w:hAnsi="仿宋" w:eastAsia="仿宋" w:cs="仿宋"/>
          <w:sz w:val="32"/>
          <w:szCs w:val="32"/>
          <w:highlight w:val="none"/>
          <w:lang w:val="en-US" w:eastAsia="zh-CN"/>
        </w:rPr>
        <w:t>无</w:t>
      </w:r>
      <w:r>
        <w:rPr>
          <w:rFonts w:hint="eastAsia" w:ascii="仿宋" w:hAnsi="仿宋" w:eastAsia="仿宋" w:cs="仿宋"/>
          <w:sz w:val="32"/>
          <w:szCs w:val="32"/>
          <w:highlight w:val="none"/>
        </w:rPr>
        <w:t>差异</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本单位无该项支出年初预算及支出。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2509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五）</w:t>
      </w: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w:t>
      </w:r>
      <w:r>
        <w:rPr>
          <w:rFonts w:hint="eastAsia" w:ascii="仿宋" w:hAnsi="仿宋" w:eastAsia="仿宋" w:cs="仿宋"/>
          <w:sz w:val="32"/>
          <w:szCs w:val="32"/>
          <w:highlight w:val="none"/>
          <w:lang w:val="en-US" w:eastAsia="zh-CN"/>
        </w:rPr>
        <w:t>无</w:t>
      </w:r>
      <w:r>
        <w:rPr>
          <w:rFonts w:hint="eastAsia" w:ascii="仿宋" w:hAnsi="仿宋" w:eastAsia="仿宋" w:cs="仿宋"/>
          <w:sz w:val="32"/>
          <w:szCs w:val="32"/>
          <w:highlight w:val="none"/>
        </w:rPr>
        <w:t>差异</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本单位无该项年初预算及支出。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六）</w:t>
      </w: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w:t>
      </w:r>
      <w:r>
        <w:rPr>
          <w:rFonts w:hint="eastAsia" w:ascii="仿宋" w:hAnsi="仿宋" w:eastAsia="仿宋" w:cs="仿宋"/>
          <w:sz w:val="32"/>
          <w:szCs w:val="32"/>
          <w:highlight w:val="none"/>
          <w:lang w:val="en-US" w:eastAsia="zh-CN"/>
        </w:rPr>
        <w:t>无</w:t>
      </w:r>
      <w:r>
        <w:rPr>
          <w:rFonts w:hint="eastAsia" w:ascii="仿宋" w:hAnsi="仿宋" w:eastAsia="仿宋" w:cs="仿宋"/>
          <w:sz w:val="32"/>
          <w:szCs w:val="32"/>
          <w:highlight w:val="none"/>
        </w:rPr>
        <w:t>差异</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本单位无该项支出年初预算及支出。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48915"/>
            <wp:effectExtent l="4445" t="4445" r="16510" b="8890"/>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both"/>
        <w:rPr>
          <w:rFonts w:hint="eastAsia" w:ascii="仿宋" w:hAnsi="仿宋" w:eastAsia="仿宋" w:cs="仿宋"/>
          <w:sz w:val="32"/>
          <w:szCs w:val="32"/>
          <w:highlight w:val="none"/>
        </w:rPr>
      </w:pPr>
    </w:p>
    <w:p>
      <w:pPr>
        <w:jc w:val="left"/>
        <w:rPr>
          <w:rFonts w:ascii="仿宋" w:hAnsi="仿宋" w:eastAsia="仿宋" w:cs="仿宋"/>
          <w:sz w:val="32"/>
          <w:szCs w:val="32"/>
          <w:highlight w:val="none"/>
        </w:rPr>
      </w:pPr>
    </w:p>
    <w:p>
      <w:pPr>
        <w:keepNext w:val="0"/>
        <w:keepLines w:val="0"/>
        <w:pageBreakBefore w:val="0"/>
        <w:widowControl w:val="0"/>
        <w:kinsoku/>
        <w:wordWrap/>
        <w:overflowPunct/>
        <w:topLinePunct w:val="0"/>
        <w:bidi w:val="0"/>
        <w:snapToGrid/>
        <w:jc w:val="both"/>
        <w:textAlignment w:val="auto"/>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keepNext w:val="0"/>
        <w:keepLines w:val="0"/>
        <w:pageBreakBefore w:val="0"/>
        <w:widowControl w:val="0"/>
        <w:kinsoku/>
        <w:wordWrap/>
        <w:overflowPunct/>
        <w:topLinePunct w:val="0"/>
        <w:bidi w:val="0"/>
        <w:snapToGrid/>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2022年度政府性基金支出</w:t>
      </w:r>
      <w:r>
        <w:rPr>
          <w:rFonts w:hint="eastAsia" w:ascii="仿宋" w:hAnsi="仿宋" w:eastAsia="仿宋" w:cs="仿宋"/>
          <w:sz w:val="32"/>
          <w:szCs w:val="32"/>
          <w:highlight w:val="none"/>
          <w:lang w:val="en-US" w:eastAsia="zh-CN"/>
        </w:rPr>
        <w:t>926.90</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val="en-US" w:eastAsia="zh-CN"/>
        </w:rPr>
        <w:t>减少380.56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下降29.11</w:t>
      </w:r>
      <w:r>
        <w:rPr>
          <w:rFonts w:ascii="仿宋" w:hAnsi="仿宋" w:eastAsia="仿宋" w:cs="仿宋"/>
          <w:sz w:val="32"/>
          <w:szCs w:val="32"/>
          <w:highlight w:val="none"/>
        </w:rPr>
        <w:t>%</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hint="eastAsia" w:ascii="仿宋" w:hAnsi="仿宋" w:eastAsia="仿宋" w:cs="仿宋"/>
          <w:sz w:val="32"/>
          <w:szCs w:val="32"/>
          <w:highlight w:val="none"/>
          <w:lang w:val="en-US" w:eastAsia="zh-CN"/>
        </w:rPr>
        <w:t>926.90</w:t>
      </w:r>
      <w:r>
        <w:rPr>
          <w:rFonts w:hint="eastAsia" w:ascii="仿宋" w:hAnsi="仿宋" w:eastAsia="仿宋" w:cs="仿宋"/>
          <w:sz w:val="32"/>
          <w:szCs w:val="32"/>
          <w:highlight w:val="none"/>
        </w:rPr>
        <w:t>万元。</w:t>
      </w:r>
    </w:p>
    <w:p>
      <w:pPr>
        <w:keepNext w:val="0"/>
        <w:keepLines w:val="0"/>
        <w:pageBreakBefore w:val="0"/>
        <w:widowControl w:val="0"/>
        <w:kinsoku/>
        <w:wordWrap/>
        <w:overflowPunct/>
        <w:topLinePunct w:val="0"/>
        <w:bidi w:val="0"/>
        <w:snapToGrid/>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926.90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w:t>
      </w:r>
      <w:r>
        <w:rPr>
          <w:rFonts w:ascii="仿宋" w:hAnsi="仿宋" w:eastAsia="仿宋" w:cs="仿宋"/>
          <w:sz w:val="32"/>
          <w:szCs w:val="32"/>
          <w:highlight w:val="none"/>
        </w:rPr>
        <w:t>0%</w:t>
      </w:r>
      <w:r>
        <w:rPr>
          <w:rFonts w:hint="eastAsia" w:ascii="仿宋" w:hAnsi="仿宋" w:eastAsia="仿宋" w:cs="仿宋"/>
          <w:sz w:val="32"/>
          <w:szCs w:val="32"/>
          <w:highlight w:val="none"/>
        </w:rPr>
        <w:t>。</w:t>
      </w:r>
      <w:r>
        <w:rPr>
          <w:rFonts w:hint="eastAsia" w:ascii="仿宋" w:hAnsi="仿宋" w:eastAsia="仿宋" w:cs="仿宋"/>
          <w:kern w:val="0"/>
          <w:sz w:val="32"/>
          <w:szCs w:val="32"/>
        </w:rPr>
        <w:t>预决算差异主要是年初没有预算。</w:t>
      </w:r>
    </w:p>
    <w:p>
      <w:pPr>
        <w:keepNext w:val="0"/>
        <w:keepLines w:val="0"/>
        <w:pageBreakBefore w:val="0"/>
        <w:widowControl w:val="0"/>
        <w:kinsoku/>
        <w:wordWrap/>
        <w:overflowPunct/>
        <w:topLinePunct w:val="0"/>
        <w:bidi w:val="0"/>
        <w:snapToGrid/>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keepNext w:val="0"/>
        <w:keepLines w:val="0"/>
        <w:pageBreakBefore w:val="0"/>
        <w:widowControl w:val="0"/>
        <w:kinsoku/>
        <w:wordWrap/>
        <w:overflowPunct/>
        <w:topLinePunct w:val="0"/>
        <w:bidi w:val="0"/>
        <w:snapToGrid/>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keepNext w:val="0"/>
        <w:keepLines w:val="0"/>
        <w:pageBreakBefore w:val="0"/>
        <w:widowControl w:val="0"/>
        <w:kinsoku/>
        <w:wordWrap/>
        <w:overflowPunct/>
        <w:topLinePunct w:val="0"/>
        <w:bidi w:val="0"/>
        <w:snapToGrid/>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bidi w:val="0"/>
        <w:snapToGrid/>
        <w:ind w:firstLine="640" w:firstLineChars="200"/>
        <w:jc w:val="both"/>
        <w:textAlignment w:val="auto"/>
        <w:rPr>
          <w:rFonts w:hint="eastAsia" w:ascii="仿宋" w:hAnsi="仿宋" w:eastAsia="仿宋_GB2312" w:cs="仿宋"/>
          <w:color w:val="auto"/>
          <w:sz w:val="32"/>
          <w:szCs w:val="32"/>
          <w:highlight w:val="none"/>
          <w:lang w:eastAsia="zh-CN"/>
        </w:rPr>
      </w:pPr>
      <w:bookmarkStart w:id="2" w:name="PO_part3A5B1C1DiffReason1"/>
      <w:r>
        <w:rPr>
          <w:rFonts w:hint="eastAsia" w:ascii="仿宋_GB2312" w:hAnsi="Times New Roman" w:eastAsia="仿宋_GB2312" w:cs="Times New Roman"/>
          <w:color w:val="auto"/>
          <w:sz w:val="32"/>
          <w:szCs w:val="32"/>
          <w:lang w:val="en-US" w:eastAsia="zh-CN"/>
        </w:rPr>
        <w:t>本</w:t>
      </w:r>
      <w:r>
        <w:rPr>
          <w:rFonts w:hint="eastAsia" w:ascii="仿宋_GB2312" w:hAnsi="Times New Roman" w:eastAsia="仿宋_GB2312" w:cs="Times New Roman"/>
          <w:color w:val="auto"/>
          <w:sz w:val="32"/>
          <w:szCs w:val="32"/>
          <w:lang w:eastAsia="zh-CN"/>
        </w:rPr>
        <w:t>单位</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2"/>
      <w:r>
        <w:rPr>
          <w:rFonts w:hint="eastAsia" w:ascii="仿宋_GB2312"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bidi w:val="0"/>
        <w:snapToGrid/>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pageBreakBefore w:val="0"/>
        <w:widowControl w:val="0"/>
        <w:suppressLineNumbers w:val="0"/>
        <w:kinsoku/>
        <w:wordWrap/>
        <w:overflowPunct/>
        <w:topLinePunct w:val="0"/>
        <w:bidi w:val="0"/>
        <w:snapToGrid/>
        <w:spacing w:before="0" w:beforeAutospacing="0" w:after="0" w:afterAutospacing="0"/>
        <w:ind w:left="0" w:right="0"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0.22</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hint="eastAsia" w:ascii="仿宋" w:hAnsi="仿宋" w:eastAsia="仿宋" w:cs="仿宋"/>
          <w:sz w:val="32"/>
          <w:szCs w:val="32"/>
          <w:highlight w:val="none"/>
          <w:lang w:val="en-US" w:eastAsia="zh-CN"/>
        </w:rPr>
        <w:t>减少0.03</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_GB2312"/>
          <w:kern w:val="0"/>
          <w:sz w:val="32"/>
          <w:szCs w:val="32"/>
        </w:rPr>
        <w:t>认真贯彻落实中央“八项规定”精神和厉行节约要求，严控和压缩“三公”经费相关支出。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0.22</w:t>
      </w:r>
      <w:r>
        <w:rPr>
          <w:rFonts w:hint="eastAsia" w:ascii="仿宋" w:hAnsi="仿宋" w:eastAsia="仿宋" w:cs="仿宋"/>
          <w:sz w:val="32"/>
          <w:szCs w:val="32"/>
          <w:highlight w:val="none"/>
        </w:rPr>
        <w:t>万元。</w:t>
      </w:r>
    </w:p>
    <w:p>
      <w:pPr>
        <w:keepNext w:val="0"/>
        <w:keepLines w:val="0"/>
        <w:pageBreakBefore w:val="0"/>
        <w:widowControl w:val="0"/>
        <w:kinsoku/>
        <w:wordWrap/>
        <w:overflowPunct/>
        <w:topLinePunct w:val="0"/>
        <w:bidi w:val="0"/>
        <w:snapToGrid/>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keepNext w:val="0"/>
        <w:keepLines w:val="0"/>
        <w:pageBreakBefore w:val="0"/>
        <w:widowControl w:val="0"/>
        <w:numPr>
          <w:ilvl w:val="0"/>
          <w:numId w:val="1"/>
        </w:numPr>
        <w:kinsoku/>
        <w:wordWrap/>
        <w:overflowPunct/>
        <w:topLinePunct w:val="0"/>
        <w:bidi w:val="0"/>
        <w:snapToGrid/>
        <w:ind w:firstLine="640" w:firstLineChars="200"/>
        <w:jc w:val="both"/>
        <w:textAlignment w:val="auto"/>
        <w:rPr>
          <w:rFonts w:hint="eastAsia" w:ascii="仿宋_GB2312" w:hAnsi="Times New Roman" w:eastAsia="仿宋_GB2312" w:cs="Times New Roman"/>
          <w:color w:val="auto"/>
          <w:sz w:val="32"/>
          <w:szCs w:val="32"/>
          <w:lang w:val="en-US" w:eastAsia="zh-CN"/>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原因是：本单位没有组织出国活动。</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，全年因公出国（境）团组共计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个，累计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人次。</w:t>
      </w:r>
      <w:r>
        <w:rPr>
          <w:rFonts w:hint="eastAsia" w:ascii="仿宋_GB2312" w:hAnsi="Times New Roman" w:eastAsia="仿宋_GB2312" w:cs="Times New Roman"/>
          <w:color w:val="auto"/>
          <w:sz w:val="32"/>
          <w:szCs w:val="32"/>
        </w:rPr>
        <w:t>开支内容包括：</w:t>
      </w:r>
      <w:r>
        <w:rPr>
          <w:rFonts w:hint="eastAsia" w:ascii="仿宋_GB2312" w:hAnsi="Times New Roman" w:eastAsia="仿宋_GB2312" w:cs="Times New Roman"/>
          <w:color w:val="auto"/>
          <w:sz w:val="32"/>
          <w:szCs w:val="32"/>
          <w:lang w:val="en-US" w:eastAsia="zh-CN"/>
        </w:rPr>
        <w:t>无。</w:t>
      </w:r>
    </w:p>
    <w:p>
      <w:pPr>
        <w:keepNext w:val="0"/>
        <w:keepLines w:val="0"/>
        <w:pageBreakBefore w:val="0"/>
        <w:widowControl w:val="0"/>
        <w:numPr>
          <w:ilvl w:val="0"/>
          <w:numId w:val="0"/>
        </w:numPr>
        <w:kinsoku/>
        <w:wordWrap/>
        <w:overflowPunct/>
        <w:topLinePunct w:val="0"/>
        <w:bidi w:val="0"/>
        <w:snapToGrid/>
        <w:ind w:firstLine="640" w:firstLineChars="200"/>
        <w:jc w:val="both"/>
        <w:textAlignment w:val="auto"/>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auto"/>
          <w:sz w:val="32"/>
          <w:szCs w:val="32"/>
        </w:rPr>
        <w:t>主要原因是</w:t>
      </w:r>
      <w:bookmarkStart w:id="3" w:name="PO_part3A6B2IncReason1"/>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w:t>
      </w:r>
      <w:r>
        <w:rPr>
          <w:rFonts w:hint="eastAsia" w:ascii="仿宋" w:hAnsi="仿宋" w:eastAsia="仿宋" w:cs="仿宋"/>
          <w:color w:val="auto"/>
          <w:sz w:val="32"/>
          <w:szCs w:val="32"/>
          <w:lang w:val="en-US" w:eastAsia="zh-CN"/>
        </w:rPr>
        <w:t>单位</w:t>
      </w:r>
      <w:r>
        <w:rPr>
          <w:rFonts w:hint="eastAsia" w:ascii="仿宋" w:hAnsi="仿宋" w:eastAsia="仿宋" w:cs="仿宋"/>
          <w:color w:val="auto"/>
          <w:sz w:val="32"/>
          <w:szCs w:val="32"/>
        </w:rPr>
        <w:t>无公务用车购置</w:t>
      </w:r>
      <w:bookmarkEnd w:id="3"/>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ascii="仿宋" w:hAnsi="仿宋" w:eastAsia="仿宋" w:cs="仿宋"/>
          <w:color w:val="auto"/>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bCs/>
          <w:color w:val="000000"/>
          <w:sz w:val="32"/>
          <w:szCs w:val="32"/>
        </w:rPr>
        <w:t>公车改革后本单位不再保留有公务车。</w:t>
      </w:r>
      <w:r>
        <w:rPr>
          <w:rFonts w:hint="eastAsia" w:ascii="仿宋" w:hAnsi="仿宋" w:eastAsia="仿宋" w:cs="仿宋"/>
          <w:color w:val="auto"/>
          <w:sz w:val="32"/>
          <w:szCs w:val="32"/>
          <w:highlight w:val="none"/>
        </w:rPr>
        <w:t>2022年，</w:t>
      </w:r>
      <w:r>
        <w:rPr>
          <w:rFonts w:hint="eastAsia" w:ascii="仿宋" w:hAnsi="仿宋" w:eastAsia="仿宋" w:cs="仿宋"/>
          <w:color w:val="auto"/>
          <w:sz w:val="32"/>
          <w:szCs w:val="32"/>
          <w:highlight w:val="none"/>
          <w:lang w:val="en-US" w:eastAsia="zh-CN"/>
        </w:rPr>
        <w:t>本</w:t>
      </w:r>
      <w:r>
        <w:rPr>
          <w:rFonts w:hint="eastAsia" w:ascii="仿宋" w:hAnsi="仿宋" w:eastAsia="仿宋" w:cs="仿宋"/>
          <w:color w:val="auto"/>
          <w:sz w:val="32"/>
          <w:u w:color="auto"/>
          <w:lang w:eastAsia="zh-CN"/>
        </w:rPr>
        <w:t>单位</w:t>
      </w:r>
      <w:r>
        <w:rPr>
          <w:rFonts w:hint="eastAsia" w:ascii="仿宋" w:hAnsi="仿宋" w:eastAsia="仿宋" w:cs="仿宋"/>
          <w:color w:val="auto"/>
          <w:sz w:val="32"/>
          <w:szCs w:val="32"/>
          <w:highlight w:val="none"/>
        </w:rPr>
        <w:t>及</w:t>
      </w:r>
      <w:r>
        <w:rPr>
          <w:rFonts w:hint="eastAsia" w:ascii="仿宋" w:hAnsi="仿宋" w:eastAsia="仿宋" w:cs="仿宋"/>
          <w:color w:val="auto"/>
          <w:sz w:val="32"/>
          <w:szCs w:val="32"/>
          <w:highlight w:val="none"/>
          <w:u w:val="single"/>
          <w:lang w:val="en-US" w:eastAsia="zh-CN"/>
        </w:rPr>
        <w:t xml:space="preserve">  0 个</w:t>
      </w:r>
      <w:r>
        <w:rPr>
          <w:rFonts w:hint="eastAsia" w:ascii="仿宋" w:hAnsi="仿宋" w:eastAsia="仿宋" w:cs="仿宋"/>
          <w:color w:val="auto"/>
          <w:sz w:val="32"/>
          <w:szCs w:val="32"/>
          <w:highlight w:val="none"/>
        </w:rPr>
        <w:t>所属单位开支财政拨款的公务用车保有量为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keepNext w:val="0"/>
        <w:keepLines w:val="0"/>
        <w:pageBreakBefore w:val="0"/>
        <w:widowControl w:val="0"/>
        <w:suppressLineNumbers w:val="0"/>
        <w:kinsoku/>
        <w:wordWrap/>
        <w:overflowPunct/>
        <w:topLinePunct w:val="0"/>
        <w:bidi w:val="0"/>
        <w:snapToGrid/>
        <w:spacing w:before="0" w:beforeAutospacing="0" w:after="0" w:afterAutospacing="0"/>
        <w:ind w:left="0" w:right="0"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0.22</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hint="eastAsia" w:ascii="仿宋" w:hAnsi="仿宋" w:eastAsia="仿宋" w:cs="仿宋"/>
          <w:sz w:val="32"/>
          <w:szCs w:val="32"/>
          <w:highlight w:val="none"/>
          <w:lang w:val="en-US" w:eastAsia="zh-CN"/>
        </w:rPr>
        <w:t>减少0.03</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_GB2312"/>
          <w:kern w:val="0"/>
          <w:sz w:val="32"/>
          <w:szCs w:val="32"/>
        </w:rPr>
        <w:t>认真贯彻落实中央“八项规定”精神和厉行节约要求，严控</w:t>
      </w:r>
      <w:r>
        <w:rPr>
          <w:rFonts w:hint="eastAsia" w:ascii="仿宋" w:hAnsi="仿宋" w:eastAsia="仿宋" w:cs="仿宋_GB2312"/>
          <w:kern w:val="0"/>
          <w:sz w:val="32"/>
          <w:szCs w:val="32"/>
          <w:lang w:val="en-US" w:eastAsia="zh-CN"/>
        </w:rPr>
        <w:t>接待标准，不铺张浪费。</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4</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21</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keepNext w:val="0"/>
        <w:keepLines w:val="0"/>
        <w:pageBreakBefore w:val="0"/>
        <w:widowControl w:val="0"/>
        <w:kinsoku/>
        <w:wordWrap/>
        <w:overflowPunct/>
        <w:topLinePunct w:val="0"/>
        <w:bidi w:val="0"/>
        <w:snapToGrid/>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keepNext w:val="0"/>
        <w:keepLines w:val="0"/>
        <w:pageBreakBefore w:val="0"/>
        <w:widowControl w:val="0"/>
        <w:kinsoku/>
        <w:wordWrap/>
        <w:overflowPunct/>
        <w:topLinePunct w:val="0"/>
        <w:bidi w:val="0"/>
        <w:snapToGrid/>
        <w:jc w:val="both"/>
        <w:textAlignment w:val="auto"/>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widowControl w:val="0"/>
        <w:kinsoku/>
        <w:wordWrap/>
        <w:overflowPunct/>
        <w:topLinePunct w:val="0"/>
        <w:bidi w:val="0"/>
        <w:snapToGrid/>
        <w:ind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sz w:val="32"/>
          <w:szCs w:val="32"/>
          <w:highlight w:val="none"/>
        </w:rPr>
        <w:t>本部门2022年度机关运行经费支出</w:t>
      </w:r>
      <w:r>
        <w:rPr>
          <w:rFonts w:hint="eastAsia" w:ascii="仿宋" w:hAnsi="仿宋" w:eastAsia="仿宋" w:cs="仿宋"/>
          <w:sz w:val="32"/>
          <w:szCs w:val="32"/>
          <w:highlight w:val="none"/>
          <w:lang w:val="en-US" w:eastAsia="zh-CN"/>
        </w:rPr>
        <w:t>15.95</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1.31</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7.59</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hint="eastAsia" w:ascii="仿宋" w:hAnsi="仿宋" w:eastAsia="仿宋" w:cs="仿宋"/>
          <w:sz w:val="32"/>
          <w:szCs w:val="32"/>
          <w:highlight w:val="none"/>
          <w:lang w:val="en-US" w:eastAsia="zh-CN"/>
        </w:rPr>
        <w:t>减少49.42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下降75.60</w:t>
      </w:r>
      <w:r>
        <w:rPr>
          <w:rFonts w:ascii="仿宋" w:hAnsi="仿宋" w:eastAsia="仿宋" w:cs="仿宋"/>
          <w:sz w:val="32"/>
          <w:szCs w:val="32"/>
          <w:highlight w:val="none"/>
        </w:rPr>
        <w:t>%</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highlight w:val="none"/>
          <w:lang w:val="en-US" w:eastAsia="zh-CN"/>
        </w:rPr>
        <w:t>2021年把政府购买人员列入</w:t>
      </w:r>
      <w:r>
        <w:rPr>
          <w:rFonts w:hint="eastAsia" w:ascii="仿宋" w:hAnsi="仿宋" w:eastAsia="仿宋" w:cs="仿宋"/>
          <w:kern w:val="0"/>
          <w:sz w:val="32"/>
          <w:szCs w:val="32"/>
          <w:lang w:val="en-US" w:eastAsia="zh-CN"/>
        </w:rPr>
        <w:t>商品和服务支出科目中核算，同时也落实过紧日子要求压减会议费等支出。</w:t>
      </w:r>
    </w:p>
    <w:p>
      <w:pPr>
        <w:keepNext w:val="0"/>
        <w:keepLines w:val="0"/>
        <w:pageBreakBefore w:val="0"/>
        <w:widowControl w:val="0"/>
        <w:kinsoku/>
        <w:wordWrap/>
        <w:overflowPunct/>
        <w:topLinePunct w:val="0"/>
        <w:bidi w:val="0"/>
        <w:snapToGrid/>
        <w:jc w:val="both"/>
        <w:textAlignment w:val="auto"/>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keepNext w:val="0"/>
        <w:keepLines w:val="0"/>
        <w:pageBreakBefore w:val="0"/>
        <w:widowControl w:val="0"/>
        <w:kinsoku/>
        <w:wordWrap/>
        <w:overflowPunct/>
        <w:topLinePunct w:val="0"/>
        <w:bidi w:val="0"/>
        <w:snapToGrid/>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bidi w:val="0"/>
        <w:snapToGrid/>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keepNext w:val="0"/>
        <w:keepLines w:val="0"/>
        <w:pageBreakBefore w:val="0"/>
        <w:widowControl w:val="0"/>
        <w:kinsoku/>
        <w:wordWrap/>
        <w:overflowPunct/>
        <w:topLinePunct w:val="0"/>
        <w:bidi w:val="0"/>
        <w:snapToGrid/>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keepNext w:val="0"/>
        <w:keepLines w:val="0"/>
        <w:pageBreakBefore w:val="0"/>
        <w:widowControl w:val="0"/>
        <w:kinsoku/>
        <w:wordWrap/>
        <w:overflowPunct/>
        <w:topLinePunct w:val="0"/>
        <w:bidi w:val="0"/>
        <w:snapToGrid/>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keepNext w:val="0"/>
        <w:keepLines w:val="0"/>
        <w:pageBreakBefore w:val="0"/>
        <w:widowControl w:val="0"/>
        <w:kinsoku/>
        <w:wordWrap/>
        <w:overflowPunct/>
        <w:topLinePunct w:val="0"/>
        <w:bidi w:val="0"/>
        <w:snapToGrid/>
        <w:ind w:firstLine="643" w:firstLineChars="200"/>
        <w:jc w:val="both"/>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1.绩效管理工作开展情况。</w:t>
      </w:r>
    </w:p>
    <w:p>
      <w:pPr>
        <w:keepNext w:val="0"/>
        <w:keepLines w:val="0"/>
        <w:pageBreakBefore w:val="0"/>
        <w:widowControl w:val="0"/>
        <w:kinsoku/>
        <w:wordWrap/>
        <w:overflowPunct/>
        <w:topLinePunct w:val="0"/>
        <w:bidi w:val="0"/>
        <w:snapToGrid/>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17</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4783.44</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87.21</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度2022年第一批小型水库移民扶助基金等</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94.48</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10.19</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ascii="仿宋" w:hAnsi="仿宋" w:eastAsia="仿宋" w:cs="仿宋"/>
          <w:kern w:val="0"/>
          <w:sz w:val="32"/>
          <w:szCs w:val="32"/>
        </w:rPr>
      </w:pPr>
      <w:r>
        <w:rPr>
          <w:rFonts w:hint="eastAsia" w:ascii="仿宋" w:hAnsi="仿宋" w:eastAsia="仿宋" w:cs="仿宋"/>
          <w:color w:val="000000" w:themeColor="text1"/>
          <w:sz w:val="32"/>
          <w:szCs w:val="32"/>
          <w14:textFill>
            <w14:solidFill>
              <w14:schemeClr w14:val="tx1"/>
            </w14:solidFill>
          </w14:textFill>
        </w:rPr>
        <w:t>组织对“桂整合【2021】34号衔接资金易地扶贫搬迁贷款贴息资金”等</w:t>
      </w:r>
      <w:r>
        <w:rPr>
          <w:rFonts w:hint="eastAsia" w:ascii="仿宋" w:hAnsi="仿宋" w:eastAsia="仿宋" w:cs="仿宋"/>
          <w:color w:val="000000" w:themeColor="text1"/>
          <w:sz w:val="32"/>
          <w:szCs w:val="32"/>
          <w:lang w:val="en-US" w:eastAsia="zh-CN"/>
          <w14:textFill>
            <w14:solidFill>
              <w14:schemeClr w14:val="tx1"/>
            </w14:solidFill>
          </w14:textFill>
        </w:rPr>
        <w:t>22</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4783.44</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94.48</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kern w:val="0"/>
          <w:sz w:val="32"/>
          <w:szCs w:val="32"/>
        </w:rPr>
        <w:t>项目支出绩效情况理想，达到项目申请时设定的各项绩效目标。社会公众或服务对象满意度达9</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%以上。</w:t>
      </w:r>
    </w:p>
    <w:p>
      <w:pPr>
        <w:keepNext w:val="0"/>
        <w:keepLines w:val="0"/>
        <w:pageBreakBefore w:val="0"/>
        <w:widowControl w:val="0"/>
        <w:kinsoku/>
        <w:wordWrap/>
        <w:overflowPunct/>
        <w:topLinePunct w:val="0"/>
        <w:bidi w:val="0"/>
        <w:snapToGrid/>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本</w:t>
      </w:r>
      <w:r>
        <w:rPr>
          <w:rFonts w:hint="eastAsia" w:ascii="仿宋" w:hAnsi="仿宋" w:eastAsia="仿宋" w:cs="仿宋"/>
          <w:color w:val="000000" w:themeColor="text1"/>
          <w:sz w:val="32"/>
          <w:szCs w:val="32"/>
          <w14:textFill>
            <w14:solidFill>
              <w14:schemeClr w14:val="tx1"/>
            </w14:solidFill>
          </w14:textFill>
        </w:rPr>
        <w:t>单位开展整体支出绩效评价试点，涉及一般公共预算支出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4783.44</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94.48</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val="en-US" w:eastAsia="zh-CN"/>
          <w14:textFill>
            <w14:solidFill>
              <w14:schemeClr w14:val="tx1"/>
            </w14:solidFill>
          </w14:textFill>
        </w:rPr>
        <w:t>整体项目支出均按年初设定的绩效目标要求开展，各项绩效指标都能达到预期效果，特别是上级下达衔接资金严格按文件要求进行管理，确保专款专用。</w:t>
      </w:r>
    </w:p>
    <w:p>
      <w:pPr>
        <w:keepNext w:val="0"/>
        <w:keepLines w:val="0"/>
        <w:pageBreakBefore w:val="0"/>
        <w:widowControl w:val="0"/>
        <w:kinsoku/>
        <w:wordWrap/>
        <w:overflowPunct/>
        <w:topLinePunct w:val="0"/>
        <w:bidi w:val="0"/>
        <w:snapToGrid/>
        <w:ind w:firstLine="643" w:firstLineChars="200"/>
        <w:jc w:val="both"/>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rPr>
        <w:t>2.部门决算中项目绩效自评结果</w:t>
      </w:r>
      <w:r>
        <w:rPr>
          <w:rFonts w:hint="eastAsia" w:ascii="仿宋" w:hAnsi="仿宋" w:eastAsia="仿宋" w:cs="仿宋"/>
          <w:b/>
          <w:bCs/>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ascii="仿宋" w:hAnsi="仿宋" w:eastAsia="仿宋" w:cs="仿宋"/>
          <w:kern w:val="0"/>
          <w:sz w:val="32"/>
          <w:szCs w:val="32"/>
        </w:rPr>
      </w:pPr>
      <w:r>
        <w:rPr>
          <w:rFonts w:hint="eastAsia" w:ascii="仿宋" w:hAnsi="仿宋" w:eastAsia="仿宋" w:cs="仿宋"/>
          <w:color w:val="000000" w:themeColor="text1"/>
          <w:sz w:val="32"/>
          <w:szCs w:val="32"/>
          <w14:textFill>
            <w14:solidFill>
              <w14:schemeClr w14:val="tx1"/>
            </w14:solidFill>
          </w14:textFill>
        </w:rPr>
        <w:t>我</w:t>
      </w:r>
      <w:r>
        <w:rPr>
          <w:rFonts w:hint="eastAsia" w:ascii="仿宋" w:hAnsi="仿宋" w:eastAsia="仿宋" w:cs="仿宋"/>
          <w:color w:val="000000" w:themeColor="text1"/>
          <w:sz w:val="32"/>
          <w:szCs w:val="32"/>
          <w:lang w:val="en-US" w:eastAsia="zh-CN"/>
          <w14:textFill>
            <w14:solidFill>
              <w14:schemeClr w14:val="tx1"/>
            </w14:solidFill>
          </w14:textFill>
        </w:rPr>
        <w:t>单位</w:t>
      </w:r>
      <w:r>
        <w:rPr>
          <w:rFonts w:hint="eastAsia" w:ascii="仿宋" w:hAnsi="仿宋" w:eastAsia="仿宋" w:cs="仿宋"/>
          <w:color w:val="000000" w:themeColor="text1"/>
          <w:sz w:val="32"/>
          <w:szCs w:val="32"/>
          <w14:textFill>
            <w14:solidFill>
              <w14:schemeClr w14:val="tx1"/>
            </w14:solidFill>
          </w14:textFill>
        </w:rPr>
        <w:t>根据年初设定的绩效目标，</w:t>
      </w:r>
      <w:r>
        <w:rPr>
          <w:rFonts w:hint="eastAsia" w:ascii="仿宋" w:hAnsi="仿宋" w:eastAsia="仿宋" w:cs="仿宋"/>
          <w:kern w:val="0"/>
          <w:sz w:val="32"/>
          <w:szCs w:val="32"/>
        </w:rPr>
        <w:t>“干捞水电站移民安置工作”为绩效管理目标，</w:t>
      </w:r>
      <w:r>
        <w:rPr>
          <w:rFonts w:hint="eastAsia" w:ascii="仿宋" w:hAnsi="仿宋" w:eastAsia="仿宋" w:cs="仿宋"/>
          <w:kern w:val="0"/>
          <w:sz w:val="32"/>
          <w:szCs w:val="32"/>
          <w:lang w:val="en-US" w:eastAsia="zh-CN"/>
        </w:rPr>
        <w:t>该</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kern w:val="0"/>
          <w:sz w:val="32"/>
          <w:szCs w:val="32"/>
        </w:rPr>
        <w:t>该项目年初预算经费</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万元，完成干捞电站环江库区11户40人搬迁</w:t>
      </w:r>
      <w:r>
        <w:rPr>
          <w:rFonts w:hint="eastAsia" w:ascii="仿宋" w:hAnsi="仿宋" w:eastAsia="仿宋" w:cs="仿宋"/>
          <w:kern w:val="0"/>
          <w:sz w:val="32"/>
          <w:szCs w:val="32"/>
          <w:lang w:val="en-US" w:eastAsia="zh-CN"/>
        </w:rPr>
        <w:t>群众的后续管理工作</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通过后续管理</w:t>
      </w:r>
      <w:r>
        <w:rPr>
          <w:rFonts w:hint="eastAsia" w:ascii="仿宋" w:hAnsi="仿宋" w:eastAsia="仿宋" w:cs="仿宋"/>
          <w:kern w:val="0"/>
          <w:sz w:val="32"/>
          <w:szCs w:val="32"/>
        </w:rPr>
        <w:t>，有效推进了库区基础设施建设，使我县库区移民群众生产生活更加便利，做到了社会满意、政府满意、群众满意的效果。</w:t>
      </w:r>
    </w:p>
    <w:p>
      <w:pPr>
        <w:keepNext w:val="0"/>
        <w:keepLines w:val="0"/>
        <w:pageBreakBefore w:val="0"/>
        <w:widowControl w:val="0"/>
        <w:kinsoku/>
        <w:wordWrap/>
        <w:overflowPunct/>
        <w:topLinePunct w:val="0"/>
        <w:bidi w:val="0"/>
        <w:snapToGrid/>
        <w:jc w:val="both"/>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bidi w:val="0"/>
        <w:snapToGrid/>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keepNext w:val="0"/>
        <w:keepLines w:val="0"/>
        <w:pageBreakBefore w:val="0"/>
        <w:widowControl w:val="0"/>
        <w:kinsoku/>
        <w:wordWrap/>
        <w:overflowPunct/>
        <w:topLinePunct w:val="0"/>
        <w:bidi w:val="0"/>
        <w:snapToGrid/>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val="en-US" w:eastAsia="zh-CN"/>
        </w:rPr>
        <w:t>环江县</w:t>
      </w:r>
      <w:r>
        <w:rPr>
          <w:rFonts w:ascii="仿宋" w:hAnsi="仿宋" w:eastAsia="仿宋" w:cs="仿宋"/>
          <w:sz w:val="32"/>
          <w:u w:color="auto"/>
        </w:rPr>
        <w:t>财政部门当年拨付的资金。</w:t>
      </w:r>
    </w:p>
    <w:p>
      <w:pPr>
        <w:keepNext w:val="0"/>
        <w:keepLines w:val="0"/>
        <w:pageBreakBefore w:val="0"/>
        <w:widowControl w:val="0"/>
        <w:kinsoku/>
        <w:wordWrap/>
        <w:overflowPunct/>
        <w:topLinePunct w:val="0"/>
        <w:bidi w:val="0"/>
        <w:snapToGrid/>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keepNext w:val="0"/>
        <w:keepLines w:val="0"/>
        <w:pageBreakBefore w:val="0"/>
        <w:widowControl w:val="0"/>
        <w:kinsoku/>
        <w:wordWrap/>
        <w:overflowPunct/>
        <w:topLinePunct w:val="0"/>
        <w:bidi w:val="0"/>
        <w:snapToGrid/>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keepNext w:val="0"/>
        <w:keepLines w:val="0"/>
        <w:pageBreakBefore w:val="0"/>
        <w:widowControl w:val="0"/>
        <w:kinsoku/>
        <w:wordWrap/>
        <w:overflowPunct/>
        <w:topLinePunct w:val="0"/>
        <w:bidi w:val="0"/>
        <w:snapToGrid/>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keepNext w:val="0"/>
        <w:keepLines w:val="0"/>
        <w:pageBreakBefore w:val="0"/>
        <w:widowControl w:val="0"/>
        <w:kinsoku/>
        <w:wordWrap/>
        <w:overflowPunct/>
        <w:topLinePunct w:val="0"/>
        <w:bidi w:val="0"/>
        <w:snapToGrid/>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keepNext w:val="0"/>
        <w:keepLines w:val="0"/>
        <w:pageBreakBefore w:val="0"/>
        <w:widowControl w:val="0"/>
        <w:kinsoku/>
        <w:wordWrap/>
        <w:overflowPunct/>
        <w:topLinePunct w:val="0"/>
        <w:bidi w:val="0"/>
        <w:snapToGrid/>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bidi w:val="0"/>
        <w:snapToGrid/>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keepNext w:val="0"/>
        <w:keepLines w:val="0"/>
        <w:pageBreakBefore w:val="0"/>
        <w:widowControl w:val="0"/>
        <w:kinsoku/>
        <w:wordWrap/>
        <w:overflowPunct/>
        <w:topLinePunct w:val="0"/>
        <w:bidi w:val="0"/>
        <w:snapToGrid/>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keepNext w:val="0"/>
        <w:keepLines w:val="0"/>
        <w:pageBreakBefore w:val="0"/>
        <w:widowControl w:val="0"/>
        <w:kinsoku/>
        <w:wordWrap/>
        <w:overflowPunct/>
        <w:topLinePunct w:val="0"/>
        <w:bidi w:val="0"/>
        <w:snapToGrid/>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keepNext w:val="0"/>
        <w:keepLines w:val="0"/>
        <w:pageBreakBefore w:val="0"/>
        <w:widowControl w:val="0"/>
        <w:kinsoku/>
        <w:wordWrap/>
        <w:overflowPunct/>
        <w:topLinePunct w:val="0"/>
        <w:bidi w:val="0"/>
        <w:snapToGrid/>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keepNext w:val="0"/>
        <w:keepLines w:val="0"/>
        <w:pageBreakBefore w:val="0"/>
        <w:widowControl w:val="0"/>
        <w:kinsoku/>
        <w:wordWrap/>
        <w:overflowPunct/>
        <w:topLinePunct w:val="0"/>
        <w:bidi w:val="0"/>
        <w:snapToGrid/>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keepNext w:val="0"/>
        <w:keepLines w:val="0"/>
        <w:pageBreakBefore w:val="0"/>
        <w:widowControl w:val="0"/>
        <w:kinsoku/>
        <w:wordWrap/>
        <w:overflowPunct/>
        <w:topLinePunct w:val="0"/>
        <w:bidi w:val="0"/>
        <w:snapToGrid/>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val="en-US" w:eastAsia="zh-CN"/>
        </w:rPr>
        <w:t>环江县</w:t>
      </w:r>
      <w:bookmarkStart w:id="4" w:name="_GoBack"/>
      <w:bookmarkEnd w:id="4"/>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widowControl w:val="0"/>
        <w:kinsoku/>
        <w:wordWrap/>
        <w:overflowPunct/>
        <w:topLinePunct w:val="0"/>
        <w:bidi w:val="0"/>
        <w:snapToGrid/>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909F05"/>
    <w:multiLevelType w:val="singleLevel"/>
    <w:tmpl w:val="ED909F0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1D2C6F"/>
    <w:rsid w:val="01234E98"/>
    <w:rsid w:val="015F1951"/>
    <w:rsid w:val="0164143E"/>
    <w:rsid w:val="01D55046"/>
    <w:rsid w:val="01EF44F0"/>
    <w:rsid w:val="02065B28"/>
    <w:rsid w:val="020C171D"/>
    <w:rsid w:val="0216715F"/>
    <w:rsid w:val="02E0291A"/>
    <w:rsid w:val="03661364"/>
    <w:rsid w:val="04E54546"/>
    <w:rsid w:val="05992762"/>
    <w:rsid w:val="0693767D"/>
    <w:rsid w:val="07B0770E"/>
    <w:rsid w:val="092D2409"/>
    <w:rsid w:val="0942143F"/>
    <w:rsid w:val="0A396DF0"/>
    <w:rsid w:val="0CD0701E"/>
    <w:rsid w:val="0D100297"/>
    <w:rsid w:val="0D202B45"/>
    <w:rsid w:val="0D644A42"/>
    <w:rsid w:val="0EB21D95"/>
    <w:rsid w:val="0F8D4C87"/>
    <w:rsid w:val="10505FAA"/>
    <w:rsid w:val="105F7E7E"/>
    <w:rsid w:val="10A17DA2"/>
    <w:rsid w:val="11957480"/>
    <w:rsid w:val="11AD6045"/>
    <w:rsid w:val="11E56B5B"/>
    <w:rsid w:val="124F5E8E"/>
    <w:rsid w:val="125C77AB"/>
    <w:rsid w:val="13EF25AC"/>
    <w:rsid w:val="14757293"/>
    <w:rsid w:val="14CB726E"/>
    <w:rsid w:val="16932394"/>
    <w:rsid w:val="17460AB1"/>
    <w:rsid w:val="17577875"/>
    <w:rsid w:val="17E92249"/>
    <w:rsid w:val="18451C87"/>
    <w:rsid w:val="18D304F1"/>
    <w:rsid w:val="19D169ED"/>
    <w:rsid w:val="19F32577"/>
    <w:rsid w:val="19F45B80"/>
    <w:rsid w:val="1A680209"/>
    <w:rsid w:val="1B0C078D"/>
    <w:rsid w:val="1B2B31E2"/>
    <w:rsid w:val="1B4C295A"/>
    <w:rsid w:val="1B973C63"/>
    <w:rsid w:val="1BA1001E"/>
    <w:rsid w:val="1D317259"/>
    <w:rsid w:val="1E664F5B"/>
    <w:rsid w:val="1EB34BE1"/>
    <w:rsid w:val="1F723E31"/>
    <w:rsid w:val="215E639F"/>
    <w:rsid w:val="21EC3183"/>
    <w:rsid w:val="224A3512"/>
    <w:rsid w:val="224B6729"/>
    <w:rsid w:val="225E72CD"/>
    <w:rsid w:val="246E2F77"/>
    <w:rsid w:val="24DA5AD3"/>
    <w:rsid w:val="254B4E2B"/>
    <w:rsid w:val="262B553B"/>
    <w:rsid w:val="27B66413"/>
    <w:rsid w:val="283D7C94"/>
    <w:rsid w:val="28590866"/>
    <w:rsid w:val="29480E03"/>
    <w:rsid w:val="2983634D"/>
    <w:rsid w:val="29DB63AF"/>
    <w:rsid w:val="2B521F22"/>
    <w:rsid w:val="2BB02055"/>
    <w:rsid w:val="2C147257"/>
    <w:rsid w:val="2C575A56"/>
    <w:rsid w:val="2F257714"/>
    <w:rsid w:val="2F3275E5"/>
    <w:rsid w:val="300A470E"/>
    <w:rsid w:val="30AA08EF"/>
    <w:rsid w:val="30D23D1C"/>
    <w:rsid w:val="31221CF5"/>
    <w:rsid w:val="31400178"/>
    <w:rsid w:val="31D330F4"/>
    <w:rsid w:val="321E3342"/>
    <w:rsid w:val="32663338"/>
    <w:rsid w:val="32702725"/>
    <w:rsid w:val="327759C8"/>
    <w:rsid w:val="32A114FC"/>
    <w:rsid w:val="32AB3C75"/>
    <w:rsid w:val="33185FE3"/>
    <w:rsid w:val="34EE2E36"/>
    <w:rsid w:val="34F338EC"/>
    <w:rsid w:val="3527434E"/>
    <w:rsid w:val="35E11611"/>
    <w:rsid w:val="36063DA6"/>
    <w:rsid w:val="36777241"/>
    <w:rsid w:val="37D36A3E"/>
    <w:rsid w:val="38A951DB"/>
    <w:rsid w:val="38B31605"/>
    <w:rsid w:val="39003F4F"/>
    <w:rsid w:val="3A2C628C"/>
    <w:rsid w:val="3C07002B"/>
    <w:rsid w:val="3CF7050C"/>
    <w:rsid w:val="3D0D152A"/>
    <w:rsid w:val="3DDB3112"/>
    <w:rsid w:val="3DF62756"/>
    <w:rsid w:val="3EE313D7"/>
    <w:rsid w:val="3F1B7587"/>
    <w:rsid w:val="3F5120BD"/>
    <w:rsid w:val="40DD44E2"/>
    <w:rsid w:val="41633B13"/>
    <w:rsid w:val="41E57B4F"/>
    <w:rsid w:val="420648BA"/>
    <w:rsid w:val="43113C3C"/>
    <w:rsid w:val="432F26F6"/>
    <w:rsid w:val="43863C78"/>
    <w:rsid w:val="43880F63"/>
    <w:rsid w:val="441C5A6F"/>
    <w:rsid w:val="44C44FCC"/>
    <w:rsid w:val="44CC7369"/>
    <w:rsid w:val="457B73E7"/>
    <w:rsid w:val="457F5108"/>
    <w:rsid w:val="46117548"/>
    <w:rsid w:val="465521A2"/>
    <w:rsid w:val="46580EDD"/>
    <w:rsid w:val="46951B6B"/>
    <w:rsid w:val="47FF2109"/>
    <w:rsid w:val="49A34401"/>
    <w:rsid w:val="49AF315A"/>
    <w:rsid w:val="4A3E30AB"/>
    <w:rsid w:val="4A906845"/>
    <w:rsid w:val="4AC14DAC"/>
    <w:rsid w:val="4BCB165D"/>
    <w:rsid w:val="4D154C85"/>
    <w:rsid w:val="4DD12D8D"/>
    <w:rsid w:val="4DD64276"/>
    <w:rsid w:val="4E28566F"/>
    <w:rsid w:val="4E807DDF"/>
    <w:rsid w:val="4EC8553A"/>
    <w:rsid w:val="4F5E1749"/>
    <w:rsid w:val="50184B17"/>
    <w:rsid w:val="508F4E24"/>
    <w:rsid w:val="51461E90"/>
    <w:rsid w:val="51463753"/>
    <w:rsid w:val="519C6553"/>
    <w:rsid w:val="52553A93"/>
    <w:rsid w:val="53357FE9"/>
    <w:rsid w:val="53443E0A"/>
    <w:rsid w:val="53521F8B"/>
    <w:rsid w:val="53E22F47"/>
    <w:rsid w:val="54522FF8"/>
    <w:rsid w:val="5466702F"/>
    <w:rsid w:val="55450629"/>
    <w:rsid w:val="56692963"/>
    <w:rsid w:val="568B0F48"/>
    <w:rsid w:val="573E3398"/>
    <w:rsid w:val="57471779"/>
    <w:rsid w:val="5786217B"/>
    <w:rsid w:val="57B65587"/>
    <w:rsid w:val="57BC64E3"/>
    <w:rsid w:val="59337A15"/>
    <w:rsid w:val="597816C0"/>
    <w:rsid w:val="59810274"/>
    <w:rsid w:val="5A2538AE"/>
    <w:rsid w:val="5A575331"/>
    <w:rsid w:val="5B520F55"/>
    <w:rsid w:val="5CA96A00"/>
    <w:rsid w:val="5CF730BC"/>
    <w:rsid w:val="5D036E2D"/>
    <w:rsid w:val="5E5F0DCE"/>
    <w:rsid w:val="5E634CC2"/>
    <w:rsid w:val="5FA40A7B"/>
    <w:rsid w:val="5FD56D29"/>
    <w:rsid w:val="5FEC7F3F"/>
    <w:rsid w:val="60F74BC3"/>
    <w:rsid w:val="617D3BF8"/>
    <w:rsid w:val="61841F6A"/>
    <w:rsid w:val="623007A9"/>
    <w:rsid w:val="633A0BE2"/>
    <w:rsid w:val="637D7558"/>
    <w:rsid w:val="63B9365B"/>
    <w:rsid w:val="644F19AC"/>
    <w:rsid w:val="65AA4920"/>
    <w:rsid w:val="65B368B6"/>
    <w:rsid w:val="65B72C60"/>
    <w:rsid w:val="67694F1E"/>
    <w:rsid w:val="67E059F2"/>
    <w:rsid w:val="67F32579"/>
    <w:rsid w:val="68C87169"/>
    <w:rsid w:val="69597934"/>
    <w:rsid w:val="695C7F55"/>
    <w:rsid w:val="6ABE7242"/>
    <w:rsid w:val="6B964DDC"/>
    <w:rsid w:val="6BF2342D"/>
    <w:rsid w:val="6C783074"/>
    <w:rsid w:val="6D60660E"/>
    <w:rsid w:val="6D77003F"/>
    <w:rsid w:val="6D9E65C6"/>
    <w:rsid w:val="6DA81947"/>
    <w:rsid w:val="6EB66DE2"/>
    <w:rsid w:val="6ED3075F"/>
    <w:rsid w:val="6F183389"/>
    <w:rsid w:val="6F2A2D4B"/>
    <w:rsid w:val="6F8A0C1E"/>
    <w:rsid w:val="703F45D4"/>
    <w:rsid w:val="715D6546"/>
    <w:rsid w:val="71BE069E"/>
    <w:rsid w:val="73953409"/>
    <w:rsid w:val="73D74523"/>
    <w:rsid w:val="73E069A3"/>
    <w:rsid w:val="74620475"/>
    <w:rsid w:val="74A475A0"/>
    <w:rsid w:val="776D463E"/>
    <w:rsid w:val="78104AA8"/>
    <w:rsid w:val="78E257C5"/>
    <w:rsid w:val="794B35BE"/>
    <w:rsid w:val="7A1F546C"/>
    <w:rsid w:val="7B0A3A31"/>
    <w:rsid w:val="7B3360ED"/>
    <w:rsid w:val="7B5319F3"/>
    <w:rsid w:val="7BC27CD4"/>
    <w:rsid w:val="7BDF037E"/>
    <w:rsid w:val="7BF50948"/>
    <w:rsid w:val="7CE66A78"/>
    <w:rsid w:val="7D23564C"/>
    <w:rsid w:val="7D4C2636"/>
    <w:rsid w:val="7D5E062D"/>
    <w:rsid w:val="7DC14556"/>
    <w:rsid w:val="7DF248F1"/>
    <w:rsid w:val="7DF76CD8"/>
    <w:rsid w:val="7E212869"/>
    <w:rsid w:val="7F025695"/>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Emphasis"/>
    <w:basedOn w:val="7"/>
    <w:qFormat/>
    <w:uiPriority w:val="0"/>
    <w:rPr>
      <w:i/>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9.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5484.69</c:v>
                </c:pt>
                <c:pt idx="1">
                  <c:v>926.9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社会保障和就业支出</c:v>
                </c:pt>
                <c:pt idx="2">
                  <c:v>农林水支出</c:v>
                </c:pt>
                <c:pt idx="3">
                  <c:v>住房保障支出</c:v>
                </c:pt>
                <c:pt idx="4">
                  <c:v>其他支出</c:v>
                </c:pt>
              </c:strCache>
            </c:strRef>
          </c:cat>
          <c:val>
            <c:numRef>
              <c:f>Sheet1!$B$2:$B$6</c:f>
              <c:numCache>
                <c:formatCode>General</c:formatCode>
                <c:ptCount val="5"/>
                <c:pt idx="0">
                  <c:v>0</c:v>
                </c:pt>
                <c:pt idx="1">
                  <c:v>1052.35</c:v>
                </c:pt>
                <c:pt idx="2">
                  <c:v>3899.08</c:v>
                </c:pt>
                <c:pt idx="3">
                  <c:v>17.81</c:v>
                </c:pt>
                <c:pt idx="4">
                  <c:v>35.5</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社会保障和就业支出</c:v>
                </c:pt>
                <c:pt idx="2">
                  <c:v>农林水支出</c:v>
                </c:pt>
                <c:pt idx="3">
                  <c:v>住房保障支出</c:v>
                </c:pt>
                <c:pt idx="4">
                  <c:v>其他支出</c:v>
                </c:pt>
              </c:strCache>
            </c:strRef>
          </c:cat>
          <c:val>
            <c:numRef>
              <c:f>Sheet1!$C$2:$C$6</c:f>
              <c:numCache>
                <c:formatCode>General</c:formatCode>
                <c:ptCount val="5"/>
                <c:pt idx="0">
                  <c:v>3</c:v>
                </c:pt>
                <c:pt idx="1">
                  <c:v>518.34</c:v>
                </c:pt>
                <c:pt idx="2">
                  <c:v>5830.98</c:v>
                </c:pt>
                <c:pt idx="3">
                  <c:v>18.49</c:v>
                </c:pt>
                <c:pt idx="4">
                  <c:v>40.78</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Sheet1!$A$2:$A$10</c:f>
              <c:strCache>
                <c:ptCount val="9"/>
                <c:pt idx="0">
                  <c:v>2012999</c:v>
                </c:pt>
                <c:pt idx="8">
                  <c:v>201x</c:v>
                </c:pt>
              </c:strCache>
            </c:strRef>
          </c:cat>
          <c:val>
            <c:numRef>
              <c:f>Sheet1!$B$2:$B$10</c:f>
              <c:numCache>
                <c:formatCode>General</c:formatCode>
                <c:ptCount val="9"/>
                <c:pt idx="0">
                  <c:v>3</c:v>
                </c:pt>
                <c:pt idx="8">
                  <c:v>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2080505</c:v>
                </c:pt>
                <c:pt idx="3">
                  <c:v>208x</c:v>
                </c:pt>
              </c:strCache>
            </c:strRef>
          </c:cat>
          <c:val>
            <c:numRef>
              <c:f>Sheet1!$B$2:$B$5</c:f>
              <c:numCache>
                <c:formatCode>General</c:formatCode>
                <c:ptCount val="4"/>
                <c:pt idx="0">
                  <c:v>40.08</c:v>
                </c:pt>
                <c:pt idx="3">
                  <c:v>40.08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农林水</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Sheet1!$A$2:$A$8</c:f>
              <c:strCache>
                <c:ptCount val="7"/>
                <c:pt idx="0">
                  <c:v>2130321</c:v>
                </c:pt>
                <c:pt idx="1">
                  <c:v>2130334</c:v>
                </c:pt>
                <c:pt idx="2">
                  <c:v>2130501</c:v>
                </c:pt>
                <c:pt idx="3">
                  <c:v>2130507</c:v>
                </c:pt>
                <c:pt idx="4">
                  <c:v>2130599</c:v>
                </c:pt>
                <c:pt idx="5">
                  <c:v>2139999</c:v>
                </c:pt>
                <c:pt idx="6">
                  <c:v>213x</c:v>
                </c:pt>
              </c:strCache>
            </c:strRef>
          </c:cat>
          <c:val>
            <c:numRef>
              <c:f>Sheet1!$B$2:$B$8</c:f>
              <c:numCache>
                <c:formatCode>General</c:formatCode>
                <c:ptCount val="7"/>
                <c:pt idx="0">
                  <c:v>7.89</c:v>
                </c:pt>
                <c:pt idx="1">
                  <c:v>61.34</c:v>
                </c:pt>
                <c:pt idx="2">
                  <c:v>0.04</c:v>
                </c:pt>
                <c:pt idx="3">
                  <c:v>850</c:v>
                </c:pt>
                <c:pt idx="4">
                  <c:v>3849.68</c:v>
                </c:pt>
                <c:pt idx="5">
                  <c:v>613.39</c:v>
                </c:pt>
                <c:pt idx="6">
                  <c:v>5382.35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18.49</c:v>
                </c:pt>
                <c:pt idx="1">
                  <c:v>18.49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其他</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40.78</c:v>
                </c:pt>
                <c:pt idx="1">
                  <c:v>40.78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67.45</c:v>
                </c:pt>
                <c:pt idx="1">
                  <c:v>24.48</c:v>
                </c:pt>
                <c:pt idx="2">
                  <c:v>63.9</c:v>
                </c:pt>
                <c:pt idx="3">
                  <c:v>2.8</c:v>
                </c:pt>
                <c:pt idx="4">
                  <c:v>11.14</c:v>
                </c:pt>
                <c:pt idx="5">
                  <c:v>40.08</c:v>
                </c:pt>
                <c:pt idx="6">
                  <c:v>0</c:v>
                </c:pt>
                <c:pt idx="7">
                  <c:v>15.92</c:v>
                </c:pt>
                <c:pt idx="8">
                  <c:v>0</c:v>
                </c:pt>
                <c:pt idx="9">
                  <c:v>0.93</c:v>
                </c:pt>
                <c:pt idx="10">
                  <c:v>18.49</c:v>
                </c:pt>
                <c:pt idx="11">
                  <c:v>0</c:v>
                </c:pt>
                <c:pt idx="12">
                  <c:v>57.42</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1.45</c:v>
                </c:pt>
                <c:pt idx="1">
                  <c:v>0</c:v>
                </c:pt>
                <c:pt idx="2">
                  <c:v>0</c:v>
                </c:pt>
                <c:pt idx="3">
                  <c:v>0</c:v>
                </c:pt>
                <c:pt idx="4">
                  <c:v>0.01</c:v>
                </c:pt>
                <c:pt idx="5">
                  <c:v>0.8</c:v>
                </c:pt>
                <c:pt idx="6">
                  <c:v>1.75</c:v>
                </c:pt>
                <c:pt idx="7">
                  <c:v>0</c:v>
                </c:pt>
                <c:pt idx="8">
                  <c:v>0</c:v>
                </c:pt>
                <c:pt idx="9">
                  <c:v>8</c:v>
                </c:pt>
                <c:pt idx="10">
                  <c:v>0</c:v>
                </c:pt>
                <c:pt idx="11">
                  <c:v>0</c:v>
                </c:pt>
                <c:pt idx="12">
                  <c:v>0</c:v>
                </c:pt>
                <c:pt idx="13">
                  <c:v>0</c:v>
                </c:pt>
                <c:pt idx="14">
                  <c:v>0</c:v>
                </c:pt>
                <c:pt idx="15">
                  <c:v>0</c:v>
                </c:pt>
                <c:pt idx="16">
                  <c:v>0</c:v>
                </c:pt>
                <c:pt idx="17">
                  <c:v>0</c:v>
                </c:pt>
                <c:pt idx="18">
                  <c:v>0</c:v>
                </c:pt>
                <c:pt idx="19">
                  <c:v>0</c:v>
                </c:pt>
                <c:pt idx="20">
                  <c:v>0</c:v>
                </c:pt>
                <c:pt idx="21">
                  <c:v>3</c:v>
                </c:pt>
                <c:pt idx="22">
                  <c:v>0</c:v>
                </c:pt>
                <c:pt idx="23">
                  <c:v>0</c:v>
                </c:pt>
                <c:pt idx="24">
                  <c:v>8.94</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0</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2023-11-14T23:51:00Z</cp:lastPrinted>
  <dcterms:modified xsi:type="dcterms:W3CDTF">2023-11-24T01:14:51Z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