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48"/>
          <w:szCs w:val="48"/>
          <w:highlight w:val="none"/>
          <w:lang w:val="en-US" w:eastAsia="zh-CN"/>
        </w:rPr>
        <w:t>环江毛南族自治县华山林场</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jc w:val="center"/>
        <w:rPr>
          <w:rFonts w:hint="eastAsia" w:ascii="黑体" w:hAnsi="黑体" w:eastAsia="黑体" w:cs="黑体"/>
          <w:b/>
          <w:bCs/>
          <w:sz w:val="36"/>
          <w:szCs w:val="36"/>
          <w:highlight w:val="none"/>
        </w:rPr>
        <w:sectPr>
          <w:pgSz w:w="11906" w:h="16838"/>
          <w:pgMar w:top="1440" w:right="1800" w:bottom="1440" w:left="1800" w:header="851" w:footer="992" w:gutter="0"/>
          <w:cols w:space="425" w:num="1"/>
          <w:docGrid w:type="lines" w:linePitch="312" w:charSpace="0"/>
        </w:sect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keepNext w:val="0"/>
        <w:keepLines w:val="0"/>
        <w:pageBreakBefore w:val="0"/>
        <w:widowControl w:val="0"/>
        <w:kinsoku/>
        <w:wordWrap/>
        <w:overflowPunct/>
        <w:topLinePunct w:val="0"/>
        <w:bidi w:val="0"/>
        <w:snapToGrid/>
        <w:spacing w:line="500" w:lineRule="exact"/>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szCs w:val="32"/>
          <w:highlight w:val="none"/>
          <w:lang w:val="en-US" w:eastAsia="zh-CN"/>
        </w:rPr>
        <w:t>环江毛南族自治县</w:t>
      </w:r>
      <w:r>
        <w:rPr>
          <w:rFonts w:hint="eastAsia" w:ascii="黑体" w:hAnsi="黑体" w:eastAsia="黑体" w:cs="黑体"/>
          <w:sz w:val="32"/>
          <w:u w:color="auto"/>
          <w:lang w:val="en-US" w:eastAsia="zh-CN"/>
        </w:rPr>
        <w:t>华山林场</w:t>
      </w:r>
      <w:r>
        <w:rPr>
          <w:rFonts w:hint="eastAsia" w:ascii="黑体" w:hAnsi="黑体" w:eastAsia="黑体" w:cs="黑体"/>
          <w:sz w:val="32"/>
          <w:szCs w:val="32"/>
          <w:highlight w:val="none"/>
        </w:rPr>
        <w:t>概况</w:t>
      </w:r>
    </w:p>
    <w:p>
      <w:pPr>
        <w:keepNext w:val="0"/>
        <w:keepLines w:val="0"/>
        <w:pageBreakBefore w:val="0"/>
        <w:widowControl w:val="0"/>
        <w:kinsoku/>
        <w:wordWrap/>
        <w:overflowPunct/>
        <w:topLinePunct w:val="0"/>
        <w:bidi w:val="0"/>
        <w:snapToGrid/>
        <w:spacing w:line="500" w:lineRule="exact"/>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keepNext w:val="0"/>
        <w:keepLines w:val="0"/>
        <w:pageBreakBefore w:val="0"/>
        <w:widowControl w:val="0"/>
        <w:kinsoku/>
        <w:wordWrap/>
        <w:overflowPunct/>
        <w:topLinePunct w:val="0"/>
        <w:bidi w:val="0"/>
        <w:snapToGrid/>
        <w:spacing w:line="500" w:lineRule="exact"/>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keepNext w:val="0"/>
        <w:keepLines w:val="0"/>
        <w:pageBreakBefore w:val="0"/>
        <w:widowControl w:val="0"/>
        <w:kinsoku/>
        <w:wordWrap/>
        <w:overflowPunct/>
        <w:topLinePunct w:val="0"/>
        <w:bidi w:val="0"/>
        <w:snapToGrid/>
        <w:spacing w:line="500" w:lineRule="exact"/>
        <w:jc w:val="both"/>
        <w:textAlignment w:val="auto"/>
        <w:rPr>
          <w:rFonts w:ascii="黑体" w:hAnsi="黑体" w:eastAsia="黑体" w:cs="黑体"/>
          <w:w w:val="90"/>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w w:val="90"/>
          <w:sz w:val="32"/>
          <w:szCs w:val="32"/>
          <w:highlight w:val="none"/>
          <w:lang w:val="en-US" w:eastAsia="zh-CN"/>
        </w:rPr>
        <w:t>环江毛南族自治县华山林场</w:t>
      </w:r>
      <w:r>
        <w:rPr>
          <w:rFonts w:hint="eastAsia" w:ascii="黑体" w:hAnsi="黑体" w:eastAsia="黑体" w:cs="黑体"/>
          <w:w w:val="90"/>
          <w:sz w:val="32"/>
          <w:szCs w:val="32"/>
          <w:highlight w:val="none"/>
        </w:rPr>
        <w:t>2022年度部门决算报表</w:t>
      </w:r>
    </w:p>
    <w:p>
      <w:pPr>
        <w:keepNext w:val="0"/>
        <w:keepLines w:val="0"/>
        <w:pageBreakBefore w:val="0"/>
        <w:widowControl w:val="0"/>
        <w:kinsoku/>
        <w:wordWrap/>
        <w:overflowPunct/>
        <w:topLinePunct w:val="0"/>
        <w:bidi w:val="0"/>
        <w:snapToGrid/>
        <w:spacing w:line="50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keepNext w:val="0"/>
        <w:keepLines w:val="0"/>
        <w:pageBreakBefore w:val="0"/>
        <w:widowControl w:val="0"/>
        <w:kinsoku/>
        <w:wordWrap/>
        <w:overflowPunct/>
        <w:topLinePunct w:val="0"/>
        <w:bidi w:val="0"/>
        <w:snapToGrid/>
        <w:spacing w:line="50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keepNext w:val="0"/>
        <w:keepLines w:val="0"/>
        <w:pageBreakBefore w:val="0"/>
        <w:widowControl w:val="0"/>
        <w:kinsoku/>
        <w:wordWrap/>
        <w:overflowPunct/>
        <w:topLinePunct w:val="0"/>
        <w:bidi w:val="0"/>
        <w:snapToGrid/>
        <w:spacing w:line="50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keepNext w:val="0"/>
        <w:keepLines w:val="0"/>
        <w:pageBreakBefore w:val="0"/>
        <w:widowControl w:val="0"/>
        <w:kinsoku/>
        <w:wordWrap/>
        <w:overflowPunct/>
        <w:topLinePunct w:val="0"/>
        <w:bidi w:val="0"/>
        <w:snapToGrid/>
        <w:spacing w:line="50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keepNext w:val="0"/>
        <w:keepLines w:val="0"/>
        <w:pageBreakBefore w:val="0"/>
        <w:widowControl w:val="0"/>
        <w:kinsoku/>
        <w:wordWrap/>
        <w:overflowPunct/>
        <w:topLinePunct w:val="0"/>
        <w:bidi w:val="0"/>
        <w:snapToGrid/>
        <w:spacing w:line="50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keepNext w:val="0"/>
        <w:keepLines w:val="0"/>
        <w:pageBreakBefore w:val="0"/>
        <w:widowControl w:val="0"/>
        <w:kinsoku/>
        <w:wordWrap/>
        <w:overflowPunct/>
        <w:topLinePunct w:val="0"/>
        <w:bidi w:val="0"/>
        <w:snapToGrid/>
        <w:spacing w:line="50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keepNext w:val="0"/>
        <w:keepLines w:val="0"/>
        <w:pageBreakBefore w:val="0"/>
        <w:widowControl w:val="0"/>
        <w:kinsoku/>
        <w:wordWrap/>
        <w:overflowPunct/>
        <w:topLinePunct w:val="0"/>
        <w:bidi w:val="0"/>
        <w:snapToGrid/>
        <w:spacing w:line="50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keepNext w:val="0"/>
        <w:keepLines w:val="0"/>
        <w:pageBreakBefore w:val="0"/>
        <w:widowControl w:val="0"/>
        <w:kinsoku/>
        <w:wordWrap/>
        <w:overflowPunct/>
        <w:topLinePunct w:val="0"/>
        <w:bidi w:val="0"/>
        <w:snapToGrid/>
        <w:spacing w:line="50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keepNext w:val="0"/>
        <w:keepLines w:val="0"/>
        <w:pageBreakBefore w:val="0"/>
        <w:widowControl w:val="0"/>
        <w:kinsoku/>
        <w:wordWrap/>
        <w:overflowPunct/>
        <w:topLinePunct w:val="0"/>
        <w:bidi w:val="0"/>
        <w:snapToGrid/>
        <w:spacing w:line="50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keepNext w:val="0"/>
        <w:keepLines w:val="0"/>
        <w:pageBreakBefore w:val="0"/>
        <w:widowControl w:val="0"/>
        <w:kinsoku/>
        <w:wordWrap/>
        <w:overflowPunct/>
        <w:topLinePunct w:val="0"/>
        <w:bidi w:val="0"/>
        <w:snapToGrid/>
        <w:spacing w:line="500" w:lineRule="exact"/>
        <w:jc w:val="left"/>
        <w:textAlignment w:val="auto"/>
        <w:rPr>
          <w:rFonts w:ascii="仿宋" w:hAnsi="仿宋" w:eastAsia="仿宋" w:cs="仿宋"/>
          <w:w w:val="80"/>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w w:val="80"/>
          <w:sz w:val="32"/>
          <w:szCs w:val="32"/>
          <w:highlight w:val="none"/>
          <w:lang w:val="en-US" w:eastAsia="zh-CN"/>
        </w:rPr>
        <w:t>环江毛南族自治县华山林场</w:t>
      </w:r>
      <w:r>
        <w:rPr>
          <w:rFonts w:hint="eastAsia" w:ascii="黑体" w:hAnsi="黑体" w:eastAsia="黑体" w:cs="黑体"/>
          <w:w w:val="80"/>
          <w:sz w:val="32"/>
          <w:szCs w:val="32"/>
          <w:highlight w:val="none"/>
        </w:rPr>
        <w:t>2022年度部门决算情况说明</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keepNext w:val="0"/>
        <w:keepLines w:val="0"/>
        <w:pageBreakBefore w:val="0"/>
        <w:widowControl w:val="0"/>
        <w:kinsoku/>
        <w:wordWrap/>
        <w:overflowPunct/>
        <w:topLinePunct w:val="0"/>
        <w:bidi w:val="0"/>
        <w:snapToGrid/>
        <w:spacing w:line="500" w:lineRule="exact"/>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center"/>
        <w:rPr>
          <w:rFonts w:hint="eastAsia" w:ascii="黑体" w:hAnsi="黑体" w:eastAsia="黑体" w:cs="黑体"/>
          <w:b/>
          <w:bCs/>
          <w:sz w:val="32"/>
          <w:szCs w:val="32"/>
          <w:highlight w:val="none"/>
        </w:rPr>
        <w:sectPr>
          <w:footerReference r:id="rId5" w:type="default"/>
          <w:pgSz w:w="11906" w:h="16838"/>
          <w:pgMar w:top="1440" w:right="1800" w:bottom="1440" w:left="1800" w:header="851" w:footer="992" w:gutter="0"/>
          <w:pgNumType w:start="1"/>
          <w:cols w:space="425" w:num="1"/>
          <w:docGrid w:type="lines" w:linePitch="312" w:charSpace="0"/>
        </w:sectPr>
      </w:pP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bCs/>
          <w:sz w:val="32"/>
          <w:szCs w:val="32"/>
          <w:highlight w:val="none"/>
          <w:lang w:val="en-US" w:eastAsia="zh-CN"/>
        </w:rPr>
        <w:t>环江毛南族自治县</w:t>
      </w:r>
      <w:r>
        <w:rPr>
          <w:rFonts w:hint="eastAsia" w:ascii="黑体" w:hAnsi="黑体" w:eastAsia="黑体" w:cs="黑体"/>
          <w:b/>
          <w:sz w:val="32"/>
          <w:u w:color="auto"/>
          <w:lang w:val="en-US" w:eastAsia="zh-CN"/>
        </w:rPr>
        <w:t>华山林场</w:t>
      </w:r>
      <w:r>
        <w:rPr>
          <w:rFonts w:hint="eastAsia" w:ascii="黑体" w:hAnsi="黑体" w:eastAsia="黑体" w:cs="黑体"/>
          <w:b/>
          <w:bCs/>
          <w:sz w:val="32"/>
          <w:szCs w:val="32"/>
          <w:highlight w:val="none"/>
        </w:rPr>
        <w:t>概况</w:t>
      </w:r>
    </w:p>
    <w:p>
      <w:pPr>
        <w:keepNext w:val="0"/>
        <w:keepLines w:val="0"/>
        <w:pageBreakBefore w:val="0"/>
        <w:kinsoku/>
        <w:wordWrap/>
        <w:overflowPunct/>
        <w:topLinePunct w:val="0"/>
        <w:autoSpaceDN/>
        <w:bidi w:val="0"/>
        <w:adjustRightInd/>
        <w:snapToGrid/>
        <w:spacing w:beforeAutospacing="0" w:afterAutospacing="0" w:line="500" w:lineRule="exact"/>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firstLine="555"/>
        <w:textAlignment w:val="auto"/>
        <w:rPr>
          <w:rFonts w:hint="eastAsia" w:ascii="仿宋" w:hAnsi="仿宋" w:eastAsia="仿宋" w:cs="仿宋"/>
          <w:color w:val="666666"/>
          <w:sz w:val="32"/>
          <w:szCs w:val="32"/>
        </w:rPr>
      </w:pPr>
      <w:r>
        <w:rPr>
          <w:rFonts w:hint="eastAsia" w:ascii="仿宋" w:hAnsi="仿宋" w:eastAsia="仿宋" w:cs="仿宋"/>
          <w:color w:val="333333"/>
          <w:sz w:val="32"/>
          <w:szCs w:val="32"/>
          <w:shd w:val="clear" w:fill="FFFFFF"/>
        </w:rPr>
        <w:t>华山林场以国有林场改革为契机，将全面贯彻落实中央、自治区国有林场改革文件精神，按照“五位一体”和生态建设要求，围绕“保护生态、保障职工生活”两大目标，深入实施生态建设发展战略，推动林场发展新模式，实现管护方式创新和监管体制创新。主要职能有：</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firstLine="555"/>
        <w:textAlignment w:val="auto"/>
        <w:rPr>
          <w:rFonts w:hint="eastAsia" w:ascii="仿宋" w:hAnsi="仿宋" w:eastAsia="仿宋" w:cs="仿宋"/>
          <w:color w:val="666666"/>
          <w:sz w:val="32"/>
          <w:szCs w:val="32"/>
        </w:rPr>
      </w:pPr>
      <w:r>
        <w:rPr>
          <w:rFonts w:hint="eastAsia" w:ascii="仿宋" w:hAnsi="仿宋" w:eastAsia="仿宋" w:cs="仿宋"/>
          <w:color w:val="333333"/>
          <w:sz w:val="32"/>
          <w:szCs w:val="32"/>
          <w:shd w:val="clear" w:fill="FFFFFF"/>
        </w:rPr>
        <w:t>1、负责贯彻执行国家有关林业方针政策和法律法规，保护培育森林资源，维护国家生态安全。</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firstLine="555"/>
        <w:textAlignment w:val="auto"/>
        <w:rPr>
          <w:rFonts w:hint="eastAsia" w:ascii="仿宋" w:hAnsi="仿宋" w:eastAsia="仿宋" w:cs="仿宋"/>
          <w:color w:val="666666"/>
          <w:sz w:val="32"/>
          <w:szCs w:val="32"/>
        </w:rPr>
      </w:pPr>
      <w:r>
        <w:rPr>
          <w:rFonts w:hint="eastAsia" w:ascii="仿宋" w:hAnsi="仿宋" w:eastAsia="仿宋" w:cs="仿宋"/>
          <w:color w:val="333333"/>
          <w:sz w:val="32"/>
          <w:szCs w:val="32"/>
          <w:shd w:val="clear" w:fill="FFFFFF"/>
        </w:rPr>
        <w:t>2、负责制定林场中长期发展规划和年度计划并组织实施。开展资源调查、林业统计、林业资产核算和森林资源档案管理工作。</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firstLine="555"/>
        <w:textAlignment w:val="auto"/>
        <w:rPr>
          <w:rFonts w:hint="eastAsia" w:ascii="仿宋" w:hAnsi="仿宋" w:eastAsia="仿宋" w:cs="仿宋"/>
          <w:color w:val="666666"/>
          <w:sz w:val="32"/>
          <w:szCs w:val="32"/>
        </w:rPr>
      </w:pPr>
      <w:r>
        <w:rPr>
          <w:rFonts w:hint="eastAsia" w:ascii="仿宋" w:hAnsi="仿宋" w:eastAsia="仿宋" w:cs="仿宋"/>
          <w:color w:val="333333"/>
          <w:sz w:val="32"/>
          <w:szCs w:val="32"/>
          <w:shd w:val="clear" w:fill="FFFFFF"/>
        </w:rPr>
        <w:t>3、负责管护区域内的森林资源培育保护、野生动植物资源保护、林业有害生物防治工作。</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firstLine="555"/>
        <w:textAlignment w:val="auto"/>
        <w:rPr>
          <w:rFonts w:hint="eastAsia" w:ascii="仿宋" w:hAnsi="仿宋" w:eastAsia="仿宋" w:cs="仿宋"/>
          <w:color w:val="666666"/>
          <w:sz w:val="32"/>
          <w:szCs w:val="32"/>
        </w:rPr>
      </w:pPr>
      <w:r>
        <w:rPr>
          <w:rFonts w:hint="eastAsia" w:ascii="仿宋" w:hAnsi="仿宋" w:eastAsia="仿宋" w:cs="仿宋"/>
          <w:color w:val="333333"/>
          <w:sz w:val="32"/>
          <w:szCs w:val="32"/>
          <w:shd w:val="clear" w:fill="FFFFFF"/>
        </w:rPr>
        <w:t>4、负责管护区域内的森林防火宣传及森林火灾扑救工作，确保国有森林资源不受损失。</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firstLine="555"/>
        <w:textAlignment w:val="auto"/>
        <w:rPr>
          <w:rFonts w:hint="eastAsia" w:ascii="仿宋" w:hAnsi="仿宋" w:eastAsia="仿宋" w:cs="仿宋"/>
          <w:color w:val="666666"/>
          <w:sz w:val="32"/>
          <w:szCs w:val="32"/>
        </w:rPr>
      </w:pPr>
      <w:r>
        <w:rPr>
          <w:rFonts w:hint="eastAsia" w:ascii="仿宋" w:hAnsi="仿宋" w:eastAsia="仿宋" w:cs="仿宋"/>
          <w:color w:val="333333"/>
          <w:sz w:val="32"/>
          <w:szCs w:val="32"/>
          <w:shd w:val="clear" w:fill="FFFFFF"/>
        </w:rPr>
        <w:t>5、依据国家和自治区相关管理规定，做好辖区内重点公益林管理工作。</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firstLine="555"/>
        <w:textAlignment w:val="auto"/>
        <w:rPr>
          <w:rFonts w:hint="eastAsia" w:ascii="仿宋" w:hAnsi="仿宋" w:eastAsia="仿宋" w:cs="仿宋"/>
          <w:color w:val="666666"/>
          <w:sz w:val="32"/>
          <w:szCs w:val="32"/>
        </w:rPr>
      </w:pPr>
      <w:r>
        <w:rPr>
          <w:rFonts w:hint="eastAsia" w:ascii="仿宋" w:hAnsi="仿宋" w:eastAsia="仿宋" w:cs="仿宋"/>
          <w:color w:val="333333"/>
          <w:sz w:val="32"/>
          <w:szCs w:val="32"/>
          <w:shd w:val="clear" w:fill="FFFFFF"/>
        </w:rPr>
        <w:t>6、负责本林场森林资源保护管理情况的考核。负责林场社会事务管理工作，确保林区社会安全稳定。</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firstLine="555"/>
        <w:textAlignment w:val="auto"/>
        <w:rPr>
          <w:rFonts w:hint="eastAsia" w:ascii="仿宋" w:hAnsi="仿宋" w:eastAsia="仿宋" w:cs="仿宋"/>
          <w:color w:val="666666"/>
          <w:sz w:val="32"/>
          <w:szCs w:val="32"/>
        </w:rPr>
      </w:pPr>
      <w:r>
        <w:rPr>
          <w:rFonts w:hint="eastAsia" w:ascii="仿宋" w:hAnsi="仿宋" w:eastAsia="仿宋" w:cs="仿宋"/>
          <w:color w:val="333333"/>
          <w:sz w:val="32"/>
          <w:szCs w:val="32"/>
          <w:shd w:val="clear" w:fill="FFFFFF"/>
        </w:rPr>
        <w:t>7、承办县委、县政府及上级主管部门交办的其他事项。</w:t>
      </w:r>
    </w:p>
    <w:p>
      <w:pPr>
        <w:keepNext w:val="0"/>
        <w:keepLines w:val="0"/>
        <w:pageBreakBefore w:val="0"/>
        <w:kinsoku/>
        <w:wordWrap/>
        <w:overflowPunct/>
        <w:topLinePunct w:val="0"/>
        <w:autoSpaceDN/>
        <w:bidi w:val="0"/>
        <w:adjustRightInd/>
        <w:snapToGrid/>
        <w:spacing w:beforeAutospacing="0" w:afterAutospacing="0" w:line="500" w:lineRule="exact"/>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二、</w:t>
      </w:r>
      <w:r>
        <w:rPr>
          <w:rFonts w:hint="eastAsia" w:ascii="黑体" w:hAnsi="黑体" w:eastAsia="黑体" w:cs="黑体"/>
          <w:b w:val="0"/>
          <w:bCs w:val="0"/>
          <w:sz w:val="32"/>
          <w:szCs w:val="32"/>
          <w:highlight w:val="none"/>
          <w:lang w:val="en-US" w:eastAsia="zh-CN"/>
        </w:rPr>
        <w:t>环江毛南族自治县</w:t>
      </w:r>
      <w:r>
        <w:rPr>
          <w:rFonts w:hint="eastAsia" w:ascii="黑体" w:hAnsi="黑体" w:eastAsia="黑体" w:cs="黑体"/>
          <w:sz w:val="32"/>
          <w:szCs w:val="32"/>
          <w:highlight w:val="none"/>
          <w:lang w:val="en-US" w:eastAsia="zh-CN"/>
        </w:rPr>
        <w:t>华山林场</w:t>
      </w:r>
      <w:r>
        <w:rPr>
          <w:rFonts w:hint="eastAsia" w:ascii="黑体" w:hAnsi="黑体" w:eastAsia="黑体" w:cs="黑体"/>
          <w:sz w:val="32"/>
          <w:szCs w:val="32"/>
          <w:highlight w:val="none"/>
        </w:rPr>
        <w:t>决算单位构成</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firstLine="645"/>
        <w:textAlignment w:val="auto"/>
        <w:rPr>
          <w:rFonts w:ascii="仿宋_GB2312" w:hAnsi="微软雅黑" w:eastAsia="仿宋_GB2312" w:cs="仿宋_GB2312"/>
          <w:color w:val="333333"/>
          <w:sz w:val="32"/>
          <w:szCs w:val="32"/>
          <w:shd w:val="clear" w:fill="FFFFFF"/>
        </w:rPr>
      </w:pPr>
      <w:r>
        <w:rPr>
          <w:rFonts w:ascii="仿宋_GB2312" w:hAnsi="微软雅黑" w:eastAsia="仿宋_GB2312" w:cs="仿宋_GB2312"/>
          <w:color w:val="333333"/>
          <w:sz w:val="32"/>
          <w:szCs w:val="32"/>
          <w:shd w:val="clear" w:fill="FFFFFF"/>
        </w:rPr>
        <w:t>华山林场内设机构有办公室、营林生产股、森</w:t>
      </w:r>
      <w:r>
        <w:rPr>
          <w:rFonts w:hint="eastAsia" w:ascii="仿宋_GB2312" w:hAnsi="微软雅黑" w:eastAsia="仿宋_GB2312" w:cs="仿宋_GB2312"/>
          <w:color w:val="333333"/>
          <w:sz w:val="32"/>
          <w:szCs w:val="32"/>
          <w:shd w:val="clear" w:fill="FFFFFF"/>
          <w:lang w:val="en-US" w:eastAsia="zh-CN"/>
        </w:rPr>
        <w:t>林病虫害防治管理</w:t>
      </w:r>
      <w:r>
        <w:rPr>
          <w:rFonts w:ascii="仿宋_GB2312" w:hAnsi="微软雅黑" w:eastAsia="仿宋_GB2312" w:cs="仿宋_GB2312"/>
          <w:color w:val="333333"/>
          <w:sz w:val="32"/>
          <w:szCs w:val="32"/>
          <w:shd w:val="clear" w:fill="FFFFFF"/>
        </w:rPr>
        <w:t>股、林政管理股、生态公益林管理股、</w:t>
      </w:r>
      <w:r>
        <w:rPr>
          <w:rFonts w:hint="eastAsia" w:ascii="仿宋_GB2312" w:hAnsi="微软雅黑" w:eastAsia="仿宋_GB2312" w:cs="仿宋_GB2312"/>
          <w:color w:val="333333"/>
          <w:sz w:val="32"/>
          <w:szCs w:val="32"/>
          <w:shd w:val="clear" w:fill="FFFFFF"/>
          <w:lang w:val="en-US" w:eastAsia="zh-CN"/>
        </w:rPr>
        <w:t>林下经济</w:t>
      </w:r>
      <w:r>
        <w:rPr>
          <w:rFonts w:ascii="仿宋_GB2312" w:hAnsi="微软雅黑" w:eastAsia="仿宋_GB2312" w:cs="仿宋_GB2312"/>
          <w:color w:val="333333"/>
          <w:sz w:val="32"/>
          <w:szCs w:val="32"/>
          <w:shd w:val="clear" w:fill="FFFFFF"/>
        </w:rPr>
        <w:t>科技应用与推广管理股、防火办公室、华山分场、廖洞分场、北山分场、大沙坡分场、雅龙分场、久仁分场、城皇分场、后洞分场。</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firstLine="645"/>
        <w:textAlignment w:val="auto"/>
        <w:rPr>
          <w:rFonts w:ascii="仿宋_GB2312" w:hAnsi="微软雅黑" w:eastAsia="仿宋_GB2312" w:cs="仿宋_GB2312"/>
          <w:color w:val="333333"/>
          <w:sz w:val="32"/>
          <w:szCs w:val="32"/>
          <w:shd w:val="clear" w:fill="FFFFFF"/>
        </w:rPr>
      </w:pP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firstLine="645"/>
        <w:textAlignment w:val="auto"/>
        <w:rPr>
          <w:rFonts w:ascii="仿宋_GB2312" w:hAnsi="微软雅黑" w:eastAsia="仿宋_GB2312" w:cs="仿宋_GB2312"/>
          <w:color w:val="333333"/>
          <w:sz w:val="31"/>
          <w:szCs w:val="31"/>
          <w:shd w:val="clear" w:fill="FFFFFF"/>
        </w:rPr>
      </w:pPr>
    </w:p>
    <w:tbl>
      <w:tblPr>
        <w:tblStyle w:val="6"/>
        <w:tblW w:w="83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631"/>
        <w:gridCol w:w="1737"/>
        <w:gridCol w:w="1782"/>
        <w:gridCol w:w="1528"/>
        <w:gridCol w:w="1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 w:hRule="atLeast"/>
        </w:trPr>
        <w:tc>
          <w:tcPr>
            <w:tcW w:w="1635" w:type="dxa"/>
            <w:tcBorders>
              <w:top w:val="nil"/>
              <w:left w:val="nil"/>
              <w:bottom w:val="single" w:color="auto" w:sz="4" w:space="0"/>
              <w:right w:val="nil"/>
            </w:tcBorders>
            <w:shd w:val="clear" w:color="auto" w:fill="auto"/>
            <w:tcMar>
              <w:bottom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8"/>
                <w:szCs w:val="18"/>
              </w:rPr>
            </w:pPr>
          </w:p>
        </w:tc>
        <w:tc>
          <w:tcPr>
            <w:tcW w:w="1740" w:type="dxa"/>
            <w:tcBorders>
              <w:top w:val="nil"/>
              <w:left w:val="nil"/>
              <w:bottom w:val="single" w:color="auto" w:sz="4" w:space="0"/>
              <w:right w:val="nil"/>
            </w:tcBorders>
            <w:shd w:val="clear" w:color="auto" w:fill="auto"/>
            <w:tcMar>
              <w:bottom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8"/>
                <w:szCs w:val="18"/>
              </w:rPr>
            </w:pPr>
          </w:p>
        </w:tc>
        <w:tc>
          <w:tcPr>
            <w:tcW w:w="1785" w:type="dxa"/>
            <w:tcBorders>
              <w:top w:val="nil"/>
              <w:left w:val="nil"/>
              <w:bottom w:val="single" w:color="auto" w:sz="4" w:space="0"/>
              <w:right w:val="nil"/>
            </w:tcBorders>
            <w:shd w:val="clear" w:color="auto" w:fill="auto"/>
            <w:tcMar>
              <w:bottom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8"/>
                <w:szCs w:val="18"/>
              </w:rPr>
            </w:pPr>
          </w:p>
        </w:tc>
        <w:tc>
          <w:tcPr>
            <w:tcW w:w="1530" w:type="dxa"/>
            <w:tcBorders>
              <w:top w:val="nil"/>
              <w:left w:val="nil"/>
              <w:bottom w:val="single" w:color="auto" w:sz="4" w:space="0"/>
              <w:right w:val="nil"/>
            </w:tcBorders>
            <w:shd w:val="clear" w:color="auto" w:fill="auto"/>
            <w:tcMar>
              <w:bottom w:w="0" w:type="dxa"/>
            </w:tcMar>
            <w:vAlign w:val="center"/>
          </w:tcPr>
          <w:p>
            <w:pPr>
              <w:pStyle w:val="5"/>
              <w:keepNext w:val="0"/>
              <w:keepLines w:val="0"/>
              <w:widowControl/>
              <w:suppressLineNumbers w:val="0"/>
              <w:spacing w:before="0" w:after="0"/>
              <w:ind w:left="0" w:right="0"/>
              <w:textAlignment w:val="center"/>
              <w:rPr>
                <w:rFonts w:hint="default"/>
                <w:color w:val="666666"/>
              </w:rPr>
            </w:pPr>
            <w:r>
              <w:rPr>
                <w:rFonts w:hint="eastAsia" w:ascii="宋体" w:hAnsi="宋体" w:eastAsia="宋体" w:cs="宋体"/>
                <w:color w:val="333333"/>
                <w:sz w:val="22"/>
                <w:szCs w:val="22"/>
              </w:rPr>
              <w:t>单位：人</w:t>
            </w:r>
          </w:p>
        </w:tc>
        <w:tc>
          <w:tcPr>
            <w:tcW w:w="1695" w:type="dxa"/>
            <w:tcBorders>
              <w:top w:val="nil"/>
              <w:left w:val="nil"/>
              <w:bottom w:val="single" w:color="auto" w:sz="4" w:space="0"/>
              <w:right w:val="nil"/>
            </w:tcBorders>
            <w:shd w:val="clear" w:color="auto" w:fill="auto"/>
            <w:tcMar>
              <w:bottom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635" w:type="dxa"/>
            <w:vMerge w:val="restart"/>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5"/>
              <w:keepNext w:val="0"/>
              <w:keepLines w:val="0"/>
              <w:widowControl/>
              <w:suppressLineNumbers w:val="0"/>
              <w:spacing w:before="0" w:after="0"/>
              <w:ind w:left="0" w:right="0"/>
              <w:jc w:val="center"/>
              <w:textAlignment w:val="center"/>
              <w:rPr>
                <w:rFonts w:hint="default"/>
                <w:color w:val="666666"/>
              </w:rPr>
            </w:pPr>
            <w:r>
              <w:rPr>
                <w:rFonts w:hint="eastAsia" w:ascii="宋体" w:hAnsi="宋体" w:eastAsia="宋体" w:cs="宋体"/>
                <w:color w:val="333333"/>
                <w:sz w:val="22"/>
                <w:szCs w:val="22"/>
              </w:rPr>
              <w:t>项目</w:t>
            </w:r>
          </w:p>
        </w:tc>
        <w:tc>
          <w:tcPr>
            <w:tcW w:w="1740" w:type="dxa"/>
            <w:vMerge w:val="restart"/>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5"/>
              <w:keepNext w:val="0"/>
              <w:keepLines w:val="0"/>
              <w:widowControl/>
              <w:suppressLineNumbers w:val="0"/>
              <w:spacing w:before="0" w:after="0"/>
              <w:ind w:left="0" w:right="0"/>
              <w:jc w:val="center"/>
              <w:textAlignment w:val="center"/>
              <w:rPr>
                <w:rFonts w:hint="default"/>
                <w:color w:val="666666"/>
              </w:rPr>
            </w:pPr>
            <w:r>
              <w:rPr>
                <w:rFonts w:hint="eastAsia" w:ascii="宋体" w:hAnsi="宋体" w:eastAsia="宋体" w:cs="宋体"/>
                <w:color w:val="333333"/>
                <w:sz w:val="22"/>
                <w:szCs w:val="22"/>
              </w:rPr>
              <w:t>合计</w:t>
            </w:r>
          </w:p>
        </w:tc>
        <w:tc>
          <w:tcPr>
            <w:tcW w:w="4995" w:type="dxa"/>
            <w:gridSpan w:val="3"/>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5"/>
              <w:keepNext w:val="0"/>
              <w:keepLines w:val="0"/>
              <w:widowControl/>
              <w:suppressLineNumbers w:val="0"/>
              <w:spacing w:before="0" w:after="0"/>
              <w:ind w:left="0" w:right="0"/>
              <w:jc w:val="center"/>
              <w:textAlignment w:val="center"/>
              <w:rPr>
                <w:rFonts w:hint="default"/>
                <w:color w:val="666666"/>
              </w:rPr>
            </w:pPr>
            <w:r>
              <w:rPr>
                <w:rFonts w:hint="eastAsia" w:ascii="宋体" w:hAnsi="宋体" w:eastAsia="宋体" w:cs="宋体"/>
                <w:color w:val="333333"/>
                <w:sz w:val="22"/>
                <w:szCs w:val="22"/>
              </w:rPr>
              <w:t>财政拨款事业单位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635" w:type="dxa"/>
            <w:vMerge w:val="continue"/>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18"/>
                <w:szCs w:val="18"/>
              </w:rPr>
            </w:pPr>
          </w:p>
        </w:tc>
        <w:tc>
          <w:tcPr>
            <w:tcW w:w="1740" w:type="dxa"/>
            <w:vMerge w:val="continue"/>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18"/>
                <w:szCs w:val="18"/>
              </w:rPr>
            </w:pPr>
          </w:p>
        </w:tc>
        <w:tc>
          <w:tcPr>
            <w:tcW w:w="1785"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5"/>
              <w:keepNext w:val="0"/>
              <w:keepLines w:val="0"/>
              <w:widowControl/>
              <w:suppressLineNumbers w:val="0"/>
              <w:spacing w:before="0" w:after="0"/>
              <w:ind w:left="0" w:right="0"/>
              <w:jc w:val="center"/>
              <w:textAlignment w:val="center"/>
              <w:rPr>
                <w:rFonts w:hint="default"/>
                <w:color w:val="666666"/>
              </w:rPr>
            </w:pPr>
            <w:r>
              <w:rPr>
                <w:rFonts w:hint="eastAsia" w:ascii="宋体" w:hAnsi="宋体" w:eastAsia="宋体" w:cs="宋体"/>
                <w:color w:val="333333"/>
                <w:sz w:val="22"/>
                <w:szCs w:val="22"/>
              </w:rPr>
              <w:t>事业专技</w:t>
            </w:r>
          </w:p>
        </w:tc>
        <w:tc>
          <w:tcPr>
            <w:tcW w:w="1530"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5"/>
              <w:keepNext w:val="0"/>
              <w:keepLines w:val="0"/>
              <w:widowControl/>
              <w:suppressLineNumbers w:val="0"/>
              <w:spacing w:before="0" w:after="0"/>
              <w:ind w:left="0" w:right="0"/>
              <w:jc w:val="center"/>
              <w:textAlignment w:val="center"/>
              <w:rPr>
                <w:rFonts w:hint="default"/>
                <w:color w:val="666666"/>
              </w:rPr>
            </w:pPr>
            <w:r>
              <w:rPr>
                <w:rFonts w:hint="eastAsia" w:ascii="宋体" w:hAnsi="宋体" w:eastAsia="宋体" w:cs="宋体"/>
                <w:color w:val="333333"/>
                <w:sz w:val="22"/>
                <w:szCs w:val="22"/>
              </w:rPr>
              <w:t>事业工勤</w:t>
            </w:r>
          </w:p>
        </w:tc>
        <w:tc>
          <w:tcPr>
            <w:tcW w:w="1695"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5"/>
              <w:keepNext w:val="0"/>
              <w:keepLines w:val="0"/>
              <w:widowControl/>
              <w:suppressLineNumbers w:val="0"/>
              <w:spacing w:before="0" w:after="0"/>
              <w:ind w:left="0" w:right="0"/>
              <w:jc w:val="center"/>
              <w:textAlignment w:val="center"/>
              <w:rPr>
                <w:rFonts w:hint="default"/>
                <w:color w:val="666666"/>
              </w:rPr>
            </w:pPr>
            <w:r>
              <w:rPr>
                <w:rFonts w:hint="eastAsia" w:ascii="宋体" w:hAnsi="宋体" w:eastAsia="宋体" w:cs="宋体"/>
                <w:color w:val="333333"/>
                <w:sz w:val="22"/>
                <w:szCs w:val="22"/>
              </w:rPr>
              <w:t>事业管理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635"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5"/>
              <w:keepNext w:val="0"/>
              <w:keepLines w:val="0"/>
              <w:widowControl/>
              <w:suppressLineNumbers w:val="0"/>
              <w:spacing w:before="0" w:after="0"/>
              <w:ind w:left="0" w:right="0"/>
              <w:jc w:val="center"/>
              <w:textAlignment w:val="center"/>
              <w:rPr>
                <w:rFonts w:hint="default"/>
                <w:color w:val="666666"/>
              </w:rPr>
            </w:pPr>
            <w:r>
              <w:rPr>
                <w:rFonts w:hint="eastAsia" w:ascii="宋体" w:hAnsi="宋体" w:eastAsia="宋体" w:cs="宋体"/>
                <w:color w:val="333333"/>
                <w:sz w:val="22"/>
                <w:szCs w:val="22"/>
              </w:rPr>
              <w:t>编制数</w:t>
            </w:r>
          </w:p>
        </w:tc>
        <w:tc>
          <w:tcPr>
            <w:tcW w:w="1740"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5"/>
              <w:keepNext w:val="0"/>
              <w:keepLines w:val="0"/>
              <w:widowControl/>
              <w:suppressLineNumbers w:val="0"/>
              <w:spacing w:before="0" w:after="0"/>
              <w:ind w:left="0" w:right="0"/>
              <w:jc w:val="center"/>
              <w:textAlignment w:val="center"/>
              <w:rPr>
                <w:rFonts w:hint="eastAsia" w:eastAsia="宋体"/>
                <w:color w:val="666666"/>
                <w:lang w:eastAsia="zh-CN"/>
              </w:rPr>
            </w:pPr>
            <w:r>
              <w:rPr>
                <w:rFonts w:hint="eastAsia" w:ascii="宋体" w:hAnsi="宋体" w:eastAsia="宋体" w:cs="宋体"/>
                <w:color w:val="333333"/>
                <w:sz w:val="22"/>
                <w:szCs w:val="22"/>
              </w:rPr>
              <w:t>11</w:t>
            </w:r>
            <w:r>
              <w:rPr>
                <w:rFonts w:hint="eastAsia" w:ascii="宋体" w:hAnsi="宋体" w:eastAsia="宋体" w:cs="宋体"/>
                <w:color w:val="333333"/>
                <w:sz w:val="22"/>
                <w:szCs w:val="22"/>
                <w:lang w:val="en-US" w:eastAsia="zh-CN"/>
              </w:rPr>
              <w:t>1</w:t>
            </w:r>
          </w:p>
        </w:tc>
        <w:tc>
          <w:tcPr>
            <w:tcW w:w="1785"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5"/>
              <w:keepNext w:val="0"/>
              <w:keepLines w:val="0"/>
              <w:widowControl/>
              <w:suppressLineNumbers w:val="0"/>
              <w:spacing w:before="0" w:after="0"/>
              <w:ind w:left="0" w:right="0"/>
              <w:jc w:val="center"/>
              <w:textAlignment w:val="center"/>
              <w:rPr>
                <w:rFonts w:hint="default" w:eastAsiaTheme="minorEastAsia"/>
                <w:color w:val="666666"/>
                <w:lang w:val="en-US" w:eastAsia="zh-CN"/>
              </w:rPr>
            </w:pPr>
            <w:r>
              <w:rPr>
                <w:rFonts w:hint="eastAsia" w:ascii="宋体" w:hAnsi="宋体" w:eastAsia="宋体" w:cs="宋体"/>
                <w:color w:val="333333"/>
                <w:sz w:val="22"/>
                <w:szCs w:val="22"/>
                <w:lang w:val="en-US" w:eastAsia="zh-CN"/>
              </w:rPr>
              <w:t>70</w:t>
            </w:r>
          </w:p>
        </w:tc>
        <w:tc>
          <w:tcPr>
            <w:tcW w:w="1530"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5"/>
              <w:keepNext w:val="0"/>
              <w:keepLines w:val="0"/>
              <w:widowControl/>
              <w:suppressLineNumbers w:val="0"/>
              <w:spacing w:before="0" w:after="0"/>
              <w:ind w:left="0" w:right="0"/>
              <w:jc w:val="center"/>
              <w:textAlignment w:val="center"/>
              <w:rPr>
                <w:rFonts w:hint="default" w:eastAsiaTheme="minorEastAsia"/>
                <w:color w:val="666666"/>
                <w:lang w:val="en-US" w:eastAsia="zh-CN"/>
              </w:rPr>
            </w:pPr>
            <w:r>
              <w:rPr>
                <w:rFonts w:hint="eastAsia" w:ascii="宋体" w:hAnsi="宋体" w:eastAsia="宋体" w:cs="宋体"/>
                <w:color w:val="333333"/>
                <w:sz w:val="22"/>
                <w:szCs w:val="22"/>
                <w:lang w:val="en-US" w:eastAsia="zh-CN"/>
              </w:rPr>
              <w:t>35</w:t>
            </w:r>
          </w:p>
        </w:tc>
        <w:tc>
          <w:tcPr>
            <w:tcW w:w="1695"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5"/>
              <w:keepNext w:val="0"/>
              <w:keepLines w:val="0"/>
              <w:widowControl/>
              <w:suppressLineNumbers w:val="0"/>
              <w:spacing w:before="0" w:after="0"/>
              <w:ind w:left="0" w:right="0"/>
              <w:jc w:val="center"/>
              <w:textAlignment w:val="center"/>
              <w:rPr>
                <w:rFonts w:hint="eastAsia" w:eastAsiaTheme="minorEastAsia"/>
                <w:color w:val="666666"/>
                <w:lang w:eastAsia="zh-CN"/>
              </w:rPr>
            </w:pPr>
            <w:r>
              <w:rPr>
                <w:rFonts w:hint="eastAsia" w:ascii="宋体" w:hAnsi="宋体" w:eastAsia="宋体" w:cs="宋体"/>
                <w:color w:val="333333"/>
                <w:sz w:val="22"/>
                <w:szCs w:val="22"/>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635"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5"/>
              <w:keepNext w:val="0"/>
              <w:keepLines w:val="0"/>
              <w:widowControl/>
              <w:suppressLineNumbers w:val="0"/>
              <w:spacing w:before="0" w:after="0"/>
              <w:ind w:left="0" w:right="0"/>
              <w:jc w:val="center"/>
              <w:textAlignment w:val="center"/>
              <w:rPr>
                <w:rFonts w:hint="default"/>
                <w:color w:val="666666"/>
              </w:rPr>
            </w:pPr>
            <w:r>
              <w:rPr>
                <w:rFonts w:hint="eastAsia" w:ascii="宋体" w:hAnsi="宋体" w:eastAsia="宋体" w:cs="宋体"/>
                <w:color w:val="333333"/>
                <w:sz w:val="22"/>
                <w:szCs w:val="22"/>
              </w:rPr>
              <w:t>在职人数</w:t>
            </w:r>
          </w:p>
        </w:tc>
        <w:tc>
          <w:tcPr>
            <w:tcW w:w="1740"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5"/>
              <w:keepNext w:val="0"/>
              <w:keepLines w:val="0"/>
              <w:widowControl/>
              <w:suppressLineNumbers w:val="0"/>
              <w:spacing w:before="0" w:after="0"/>
              <w:ind w:left="0" w:right="0"/>
              <w:jc w:val="center"/>
              <w:textAlignment w:val="center"/>
              <w:rPr>
                <w:rFonts w:hint="eastAsia" w:eastAsia="宋体"/>
                <w:color w:val="666666"/>
                <w:lang w:eastAsia="zh-CN"/>
              </w:rPr>
            </w:pPr>
            <w:r>
              <w:rPr>
                <w:rFonts w:hint="eastAsia" w:ascii="宋体" w:hAnsi="宋体" w:eastAsia="宋体" w:cs="宋体"/>
                <w:color w:val="333333"/>
                <w:sz w:val="22"/>
                <w:szCs w:val="22"/>
              </w:rPr>
              <w:t>11</w:t>
            </w:r>
            <w:r>
              <w:rPr>
                <w:rFonts w:hint="eastAsia" w:ascii="宋体" w:hAnsi="宋体" w:eastAsia="宋体" w:cs="宋体"/>
                <w:color w:val="333333"/>
                <w:sz w:val="22"/>
                <w:szCs w:val="22"/>
                <w:lang w:val="en-US" w:eastAsia="zh-CN"/>
              </w:rPr>
              <w:t>1</w:t>
            </w:r>
          </w:p>
        </w:tc>
        <w:tc>
          <w:tcPr>
            <w:tcW w:w="1785"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5"/>
              <w:keepNext w:val="0"/>
              <w:keepLines w:val="0"/>
              <w:widowControl/>
              <w:suppressLineNumbers w:val="0"/>
              <w:spacing w:before="0" w:after="0"/>
              <w:ind w:left="0" w:right="0"/>
              <w:jc w:val="center"/>
              <w:textAlignment w:val="center"/>
              <w:rPr>
                <w:rFonts w:hint="default" w:eastAsiaTheme="minorEastAsia"/>
                <w:color w:val="666666"/>
                <w:lang w:val="en-US" w:eastAsia="zh-CN"/>
              </w:rPr>
            </w:pPr>
            <w:r>
              <w:rPr>
                <w:rFonts w:hint="eastAsia" w:ascii="宋体" w:hAnsi="宋体" w:eastAsia="宋体" w:cs="宋体"/>
                <w:color w:val="333333"/>
                <w:sz w:val="22"/>
                <w:szCs w:val="22"/>
                <w:lang w:val="en-US" w:eastAsia="zh-CN"/>
              </w:rPr>
              <w:t>70</w:t>
            </w:r>
          </w:p>
        </w:tc>
        <w:tc>
          <w:tcPr>
            <w:tcW w:w="1530"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5"/>
              <w:keepNext w:val="0"/>
              <w:keepLines w:val="0"/>
              <w:widowControl/>
              <w:suppressLineNumbers w:val="0"/>
              <w:spacing w:before="0" w:after="0"/>
              <w:ind w:left="0" w:right="0"/>
              <w:jc w:val="center"/>
              <w:textAlignment w:val="center"/>
              <w:rPr>
                <w:rFonts w:hint="default" w:eastAsiaTheme="minorEastAsia"/>
                <w:color w:val="666666"/>
                <w:lang w:val="en-US" w:eastAsia="zh-CN"/>
              </w:rPr>
            </w:pPr>
            <w:r>
              <w:rPr>
                <w:rFonts w:hint="eastAsia" w:ascii="宋体" w:hAnsi="宋体" w:eastAsia="宋体" w:cs="宋体"/>
                <w:color w:val="333333"/>
                <w:sz w:val="22"/>
                <w:szCs w:val="22"/>
                <w:lang w:val="en-US" w:eastAsia="zh-CN"/>
              </w:rPr>
              <w:t>35</w:t>
            </w:r>
          </w:p>
        </w:tc>
        <w:tc>
          <w:tcPr>
            <w:tcW w:w="1695"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5"/>
              <w:keepNext w:val="0"/>
              <w:keepLines w:val="0"/>
              <w:widowControl/>
              <w:suppressLineNumbers w:val="0"/>
              <w:spacing w:before="0" w:after="0"/>
              <w:ind w:left="0" w:right="0"/>
              <w:jc w:val="center"/>
              <w:textAlignment w:val="center"/>
              <w:rPr>
                <w:rFonts w:hint="eastAsia" w:eastAsiaTheme="minorEastAsia"/>
                <w:color w:val="666666"/>
                <w:lang w:eastAsia="zh-CN"/>
              </w:rPr>
            </w:pPr>
            <w:r>
              <w:rPr>
                <w:rFonts w:hint="eastAsia" w:ascii="宋体" w:hAnsi="宋体" w:eastAsia="宋体" w:cs="宋体"/>
                <w:color w:val="333333"/>
                <w:sz w:val="22"/>
                <w:szCs w:val="22"/>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635"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5"/>
              <w:keepNext w:val="0"/>
              <w:keepLines w:val="0"/>
              <w:widowControl/>
              <w:suppressLineNumbers w:val="0"/>
              <w:spacing w:before="0" w:after="0"/>
              <w:ind w:left="0" w:right="0"/>
              <w:jc w:val="center"/>
              <w:textAlignment w:val="center"/>
              <w:rPr>
                <w:rFonts w:hint="default"/>
                <w:color w:val="666666"/>
              </w:rPr>
            </w:pPr>
            <w:r>
              <w:rPr>
                <w:rFonts w:hint="eastAsia" w:ascii="宋体" w:hAnsi="宋体" w:eastAsia="宋体" w:cs="宋体"/>
                <w:color w:val="333333"/>
                <w:sz w:val="22"/>
                <w:szCs w:val="22"/>
              </w:rPr>
              <w:t>退休人员</w:t>
            </w:r>
          </w:p>
        </w:tc>
        <w:tc>
          <w:tcPr>
            <w:tcW w:w="1740"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5"/>
              <w:keepNext w:val="0"/>
              <w:keepLines w:val="0"/>
              <w:widowControl/>
              <w:suppressLineNumbers w:val="0"/>
              <w:spacing w:before="0" w:after="0"/>
              <w:ind w:left="0" w:right="0"/>
              <w:jc w:val="center"/>
              <w:textAlignment w:val="center"/>
              <w:rPr>
                <w:rFonts w:hint="default" w:eastAsia="宋体"/>
                <w:color w:val="666666"/>
                <w:lang w:val="en-US" w:eastAsia="zh-CN"/>
              </w:rPr>
            </w:pPr>
            <w:r>
              <w:rPr>
                <w:rFonts w:hint="eastAsia" w:ascii="宋体" w:hAnsi="宋体" w:eastAsia="宋体" w:cs="宋体"/>
                <w:color w:val="333333"/>
                <w:sz w:val="22"/>
                <w:szCs w:val="22"/>
              </w:rPr>
              <w:t>1</w:t>
            </w:r>
            <w:r>
              <w:rPr>
                <w:rFonts w:hint="eastAsia" w:ascii="宋体" w:hAnsi="宋体" w:eastAsia="宋体" w:cs="宋体"/>
                <w:color w:val="333333"/>
                <w:sz w:val="22"/>
                <w:szCs w:val="22"/>
                <w:lang w:val="en-US" w:eastAsia="zh-CN"/>
              </w:rPr>
              <w:t>56</w:t>
            </w:r>
          </w:p>
        </w:tc>
        <w:tc>
          <w:tcPr>
            <w:tcW w:w="1785"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8"/>
                <w:szCs w:val="18"/>
              </w:rPr>
            </w:pPr>
          </w:p>
        </w:tc>
        <w:tc>
          <w:tcPr>
            <w:tcW w:w="1530"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8"/>
                <w:szCs w:val="18"/>
              </w:rPr>
            </w:pPr>
          </w:p>
        </w:tc>
        <w:tc>
          <w:tcPr>
            <w:tcW w:w="1695"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8"/>
                <w:szCs w:val="18"/>
              </w:rPr>
            </w:pPr>
          </w:p>
        </w:tc>
      </w:tr>
    </w:tbl>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footerReference r:id="rId6" w:type="default"/>
          <w:pgSz w:w="11906" w:h="16838"/>
          <w:pgMar w:top="1440" w:right="1800" w:bottom="1440" w:left="1800" w:header="851" w:footer="992" w:gutter="0"/>
          <w:pgNumType w:start="1"/>
          <w:cols w:space="425" w:num="1"/>
          <w:docGrid w:type="lines" w:linePitch="312" w:charSpace="0"/>
        </w:sectPr>
      </w:pPr>
    </w:p>
    <w:p>
      <w:pPr>
        <w:jc w:val="center"/>
        <w:rPr>
          <w:rFonts w:hint="eastAsia" w:ascii="仿宋" w:hAnsi="仿宋" w:eastAsia="仿宋" w:cs="仿宋"/>
          <w:sz w:val="24"/>
          <w:highlight w:val="none"/>
        </w:rPr>
      </w:pPr>
      <w:r>
        <w:rPr>
          <w:rFonts w:hint="eastAsia" w:ascii="黑体" w:hAnsi="黑体" w:eastAsia="黑体" w:cs="黑体"/>
          <w:sz w:val="32"/>
          <w:szCs w:val="32"/>
          <w:highlight w:val="none"/>
        </w:rPr>
        <w:t>第二部分：</w:t>
      </w:r>
      <w:r>
        <w:rPr>
          <w:rFonts w:hint="eastAsia" w:ascii="黑体" w:hAnsi="黑体" w:eastAsia="黑体" w:cs="黑体"/>
          <w:b w:val="0"/>
          <w:bCs w:val="0"/>
          <w:sz w:val="32"/>
          <w:szCs w:val="32"/>
          <w:highlight w:val="none"/>
          <w:lang w:val="en-US" w:eastAsia="zh-CN"/>
        </w:rPr>
        <w:t>环江毛南族自治县</w:t>
      </w:r>
      <w:r>
        <w:rPr>
          <w:rFonts w:hint="eastAsia" w:ascii="黑体" w:hAnsi="黑体" w:eastAsia="黑体" w:cs="黑体"/>
          <w:sz w:val="32"/>
          <w:u w:color="auto"/>
          <w:lang w:val="en-US" w:eastAsia="zh-CN"/>
        </w:rPr>
        <w:t>华山林场</w:t>
      </w:r>
      <w:r>
        <w:rPr>
          <w:rFonts w:hint="eastAsia" w:ascii="黑体" w:hAnsi="黑体" w:eastAsia="黑体" w:cs="黑体"/>
          <w:sz w:val="32"/>
          <w:szCs w:val="32"/>
          <w:highlight w:val="none"/>
        </w:rPr>
        <w:t xml:space="preserve"> 2022年度部门决算报表</w:t>
      </w: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object>
          <v:shape id="_x0000_i1025" o:spt="75" type="#_x0000_t75" style="height:474.7pt;width:697.25pt;" o:ole="t" filled="f" o:preferrelative="t" stroked="f" coordsize="21600,21600">
            <v:path/>
            <v:fill on="f" focussize="0,0"/>
            <v:stroke on="f"/>
            <v:imagedata r:id="rId9" o:title=""/>
            <o:lock v:ext="edit" aspectratio="f"/>
            <w10:wrap type="none"/>
            <w10:anchorlock/>
          </v:shape>
          <o:OLEObject Type="Embed" ProgID="Excel.Sheet.8" ShapeID="_x0000_i1025" DrawAspect="Content" ObjectID="_1468075725" r:id="rId8">
            <o:LockedField>false</o:LockedField>
          </o:OLEObject>
        </w:object>
      </w:r>
    </w:p>
    <w:p>
      <w:pPr>
        <w:jc w:val="both"/>
        <w:rPr>
          <w:rFonts w:hint="eastAsia" w:ascii="仿宋" w:hAnsi="仿宋" w:eastAsia="仿宋" w:cs="仿宋"/>
          <w:sz w:val="24"/>
          <w:highlight w:val="none"/>
        </w:rPr>
      </w:pPr>
    </w:p>
    <w:p>
      <w:pPr>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object>
          <v:shape id="_x0000_i1026" o:spt="75" type="#_x0000_t75" style="height:441.8pt;width:697.9pt;" o:ole="t" filled="f" o:preferrelative="t" stroked="f" coordsize="21600,21600">
            <v:path/>
            <v:fill on="f" focussize="0,0"/>
            <v:stroke on="f"/>
            <v:imagedata r:id="rId11" o:title=""/>
            <o:lock v:ext="edit" aspectratio="f"/>
            <w10:wrap type="none"/>
            <w10:anchorlock/>
          </v:shape>
          <o:OLEObject Type="Embed" ProgID="Excel.Sheet.8" ShapeID="_x0000_i1026" DrawAspect="Content" ObjectID="_1468075726" r:id="rId10">
            <o:LockedField>false</o:LockedField>
          </o:OLEObject>
        </w:object>
      </w: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ascii="仿宋" w:hAnsi="仿宋" w:eastAsia="仿宋" w:cs="仿宋"/>
          <w:sz w:val="24"/>
          <w:highlight w:val="none"/>
        </w:rPr>
      </w:pPr>
      <w:r>
        <w:rPr>
          <w:rFonts w:ascii="仿宋" w:hAnsi="仿宋" w:eastAsia="仿宋" w:cs="仿宋"/>
          <w:sz w:val="24"/>
          <w:highlight w:val="none"/>
        </w:rPr>
        <w:object>
          <v:shape id="_x0000_i1027" o:spt="75" type="#_x0000_t75" style="height:492.3pt;width:697.85pt;" o:ole="t" filled="f" o:preferrelative="t" stroked="f" coordsize="21600,21600">
            <v:path/>
            <v:fill on="f" focussize="0,0"/>
            <v:stroke on="f"/>
            <v:imagedata r:id="rId13" o:title=""/>
            <o:lock v:ext="edit" aspectratio="f"/>
            <w10:wrap type="none"/>
            <w10:anchorlock/>
          </v:shape>
          <o:OLEObject Type="Embed" ProgID="Excel.Sheet.8" ShapeID="_x0000_i1027" DrawAspect="Content" ObjectID="_1468075727" r:id="rId12">
            <o:LockedField>false</o:LockedField>
          </o:OLEObject>
        </w:object>
      </w:r>
    </w:p>
    <w:p>
      <w:pPr>
        <w:jc w:val="left"/>
        <w:rPr>
          <w:rFonts w:ascii="仿宋" w:hAnsi="仿宋" w:eastAsia="仿宋" w:cs="仿宋"/>
          <w:sz w:val="24"/>
          <w:highlight w:val="none"/>
        </w:rPr>
      </w:pPr>
      <w:r>
        <w:rPr>
          <w:rFonts w:ascii="仿宋" w:hAnsi="仿宋" w:eastAsia="仿宋" w:cs="仿宋"/>
          <w:sz w:val="24"/>
          <w:highlight w:val="none"/>
        </w:rPr>
        <w:object>
          <v:shape id="_x0000_i1028" o:spt="75" type="#_x0000_t75" style="height:516.6pt;width:697.2pt;" o:ole="t" filled="f" o:preferrelative="t" stroked="f" coordsize="21600,21600">
            <v:path/>
            <v:fill on="f" focussize="0,0"/>
            <v:stroke on="f"/>
            <v:imagedata r:id="rId15" o:title=""/>
            <o:lock v:ext="edit" aspectratio="f"/>
            <w10:wrap type="none"/>
            <w10:anchorlock/>
          </v:shape>
          <o:OLEObject Type="Embed" ProgID="Excel.Sheet.8" ShapeID="_x0000_i1028" DrawAspect="Content" ObjectID="_1468075728" r:id="rId14">
            <o:LockedField>false</o:LockedField>
          </o:OLEObject>
        </w:object>
      </w: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object>
          <v:shape id="_x0000_i1029" o:spt="75" type="#_x0000_t75" style="height:485.4pt;width:513.05pt;" o:ole="t" filled="f" o:preferrelative="t" stroked="f" coordsize="21600,21600">
            <v:path/>
            <v:fill on="f" focussize="0,0"/>
            <v:stroke on="f"/>
            <v:imagedata r:id="rId17" o:title=""/>
            <o:lock v:ext="edit" aspectratio="f"/>
            <w10:wrap type="none"/>
            <w10:anchorlock/>
          </v:shape>
          <o:OLEObject Type="Embed" ProgID="Excel.Sheet.8" ShapeID="_x0000_i1029" DrawAspect="Content" ObjectID="_1468075729" r:id="rId16">
            <o:LockedField>false</o:LockedField>
          </o:OLEObject>
        </w:object>
      </w: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object>
          <v:shape id="_x0000_i1030" o:spt="75" type="#_x0000_t75" style="height:408.25pt;width:697.4pt;" o:ole="t" filled="f" o:preferrelative="t" stroked="f" coordsize="21600,21600">
            <v:path/>
            <v:fill on="f" focussize="0,0"/>
            <v:stroke on="f"/>
            <v:imagedata r:id="rId19" o:title=""/>
            <o:lock v:ext="edit" aspectratio="f"/>
            <w10:wrap type="none"/>
            <w10:anchorlock/>
          </v:shape>
          <o:OLEObject Type="Embed" ProgID="Excel.Sheet.8" ShapeID="_x0000_i1030" DrawAspect="Content" ObjectID="_1468075730" r:id="rId18">
            <o:LockedField>false</o:LockedField>
          </o:OLEObject>
        </w:object>
      </w:r>
    </w:p>
    <w:p>
      <w:pPr>
        <w:jc w:val="center"/>
        <w:rPr>
          <w:rFonts w:hint="eastAsia" w:ascii="黑体" w:hAnsi="黑体" w:eastAsia="黑体" w:cs="黑体"/>
          <w:sz w:val="32"/>
          <w:szCs w:val="32"/>
          <w:highlight w:val="none"/>
        </w:rPr>
      </w:pPr>
    </w:p>
    <w:p>
      <w:pPr>
        <w:jc w:val="center"/>
        <w:rPr>
          <w:rFonts w:hint="eastAsia" w:ascii="黑体" w:hAnsi="黑体" w:eastAsia="黑体" w:cs="黑体"/>
          <w:sz w:val="32"/>
          <w:szCs w:val="32"/>
          <w:highlight w:val="none"/>
        </w:rPr>
      </w:pPr>
    </w:p>
    <w:p>
      <w:pPr>
        <w:jc w:val="right"/>
        <w:rPr>
          <w:rFonts w:hint="eastAsia" w:ascii="黑体" w:hAnsi="黑体" w:eastAsia="黑体" w:cs="黑体"/>
          <w:sz w:val="32"/>
          <w:szCs w:val="32"/>
          <w:highlight w:val="none"/>
        </w:rPr>
      </w:pPr>
    </w:p>
    <w:p>
      <w:pPr>
        <w:jc w:val="right"/>
        <w:rPr>
          <w:rFonts w:hint="eastAsia" w:ascii="黑体" w:hAnsi="黑体" w:eastAsia="黑体" w:cs="黑体"/>
          <w:sz w:val="32"/>
          <w:szCs w:val="32"/>
          <w:highlight w:val="none"/>
        </w:rPr>
      </w:pPr>
    </w:p>
    <w:tbl>
      <w:tblPr>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79"/>
        <w:gridCol w:w="479"/>
        <w:gridCol w:w="479"/>
        <w:gridCol w:w="2289"/>
        <w:gridCol w:w="1563"/>
        <w:gridCol w:w="1563"/>
        <w:gridCol w:w="1185"/>
        <w:gridCol w:w="1385"/>
        <w:gridCol w:w="1564"/>
        <w:gridCol w:w="3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shd w:val="clear"/>
            <w:noWrap/>
            <w:vAlign w:val="bottom"/>
          </w:tcPr>
          <w:p>
            <w:pPr>
              <w:keepNext w:val="0"/>
              <w:keepLines w:val="0"/>
              <w:widowControl/>
              <w:suppressLineNumbers w:val="0"/>
              <w:jc w:val="center"/>
              <w:textAlignment w:val="bottom"/>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bdr w:val="none" w:color="auto" w:sz="0" w:space="0"/>
                <w:lang w:val="en-US" w:eastAsia="zh-CN" w:bidi="ar"/>
              </w:rPr>
              <w:t>部门：广西河池市环江毛族自治县华</w:t>
            </w:r>
            <w:bookmarkStart w:id="3" w:name="_GoBack"/>
            <w:bookmarkEnd w:id="3"/>
            <w:r>
              <w:rPr>
                <w:rFonts w:hint="eastAsia" w:ascii="宋体" w:hAnsi="宋体" w:eastAsia="宋体" w:cs="宋体"/>
                <w:i w:val="0"/>
                <w:iCs w:val="0"/>
                <w:color w:val="000000"/>
                <w:kern w:val="0"/>
                <w:sz w:val="20"/>
                <w:szCs w:val="20"/>
                <w:u w:val="none"/>
                <w:bdr w:val="none" w:color="auto" w:sz="0" w:space="0"/>
                <w:lang w:val="en-US" w:eastAsia="zh-CN" w:bidi="ar"/>
              </w:rPr>
              <w:t>山林场</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689"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1689"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w:t>
            </w:r>
          </w:p>
        </w:tc>
        <w:tc>
          <w:tcPr>
            <w:tcW w:w="4297"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c>
          <w:tcPr>
            <w:tcW w:w="2622"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55" w:type="dxa"/>
            <w:gridSpan w:val="3"/>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689" w:type="dxa"/>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167"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441"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68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2622" w:type="dxa"/>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5" w:type="dxa"/>
            <w:gridSpan w:val="3"/>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167"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41"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622" w:type="dxa"/>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5" w:type="dxa"/>
            <w:gridSpan w:val="3"/>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167"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41"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89"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622" w:type="dxa"/>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0"/>
                <w:sz w:val="22"/>
                <w:szCs w:val="22"/>
                <w:u w:val="none"/>
                <w:bdr w:val="none" w:color="auto" w:sz="0" w:space="0"/>
                <w:lang w:val="en-US" w:eastAsia="zh-CN" w:bidi="ar"/>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bl>
    <w:p>
      <w:pPr>
        <w:jc w:val="both"/>
        <w:rPr>
          <w:rFonts w:hint="eastAsia" w:ascii="黑体" w:hAnsi="黑体" w:eastAsia="黑体" w:cs="黑体"/>
          <w:sz w:val="32"/>
          <w:szCs w:val="32"/>
          <w:highlight w:val="none"/>
        </w:rPr>
      </w:pPr>
    </w:p>
    <w:p>
      <w:pPr>
        <w:jc w:val="both"/>
        <w:rPr>
          <w:rFonts w:hint="eastAsia" w:ascii="黑体" w:hAnsi="黑体" w:eastAsia="黑体" w:cs="黑体"/>
          <w:sz w:val="32"/>
          <w:szCs w:val="32"/>
          <w:highlight w:val="none"/>
        </w:rPr>
      </w:pPr>
    </w:p>
    <w:p>
      <w:pPr>
        <w:jc w:val="both"/>
        <w:rPr>
          <w:rFonts w:hint="eastAsia" w:ascii="黑体" w:hAnsi="黑体" w:eastAsia="黑体" w:cs="黑体"/>
          <w:sz w:val="32"/>
          <w:szCs w:val="32"/>
          <w:highlight w:val="none"/>
        </w:rPr>
      </w:pPr>
    </w:p>
    <w:p>
      <w:pPr>
        <w:jc w:val="both"/>
        <w:rPr>
          <w:rFonts w:hint="eastAsia" w:ascii="黑体" w:hAnsi="黑体" w:eastAsia="黑体" w:cs="黑体"/>
          <w:sz w:val="32"/>
          <w:szCs w:val="32"/>
          <w:highlight w:val="none"/>
        </w:rPr>
      </w:pPr>
    </w:p>
    <w:p>
      <w:pPr>
        <w:jc w:val="both"/>
        <w:rPr>
          <w:rFonts w:hint="eastAsia" w:ascii="黑体" w:hAnsi="黑体" w:eastAsia="黑体" w:cs="黑体"/>
          <w:sz w:val="32"/>
          <w:szCs w:val="32"/>
          <w:highlight w:val="none"/>
        </w:rPr>
      </w:pPr>
    </w:p>
    <w:p>
      <w:pPr>
        <w:jc w:val="both"/>
        <w:rPr>
          <w:rFonts w:hint="eastAsia" w:ascii="黑体" w:hAnsi="黑体" w:eastAsia="黑体" w:cs="黑体"/>
          <w:sz w:val="32"/>
          <w:szCs w:val="32"/>
          <w:highlight w:val="none"/>
        </w:rPr>
      </w:pPr>
    </w:p>
    <w:p>
      <w:pPr>
        <w:jc w:val="both"/>
        <w:rPr>
          <w:rFonts w:hint="eastAsia" w:ascii="黑体" w:hAnsi="黑体" w:eastAsia="黑体" w:cs="黑体"/>
          <w:sz w:val="32"/>
          <w:szCs w:val="32"/>
          <w:highlight w:val="none"/>
        </w:rPr>
      </w:pPr>
    </w:p>
    <w:p>
      <w:pPr>
        <w:jc w:val="right"/>
        <w:rPr>
          <w:rFonts w:hint="eastAsia" w:ascii="黑体" w:hAnsi="黑体" w:eastAsia="黑体" w:cs="黑体"/>
          <w:sz w:val="32"/>
          <w:szCs w:val="32"/>
          <w:highlight w:val="none"/>
        </w:rPr>
      </w:pPr>
    </w:p>
    <w:tbl>
      <w:tblPr>
        <w:tblW w:w="9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595"/>
        <w:gridCol w:w="352"/>
        <w:gridCol w:w="352"/>
        <w:gridCol w:w="1560"/>
        <w:gridCol w:w="2062"/>
        <w:gridCol w:w="1793"/>
        <w:gridCol w:w="2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960"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bdr w:val="none" w:color="auto" w:sz="0" w:space="0"/>
                <w:lang w:val="en-US" w:eastAsia="zh-CN" w:bidi="ar"/>
              </w:rPr>
              <w:t>部门：广西河池市环江毛族自治县华山林场</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440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4460" w:type="dxa"/>
            <w:gridSpan w:val="3"/>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45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2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680"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60" w:type="dxa"/>
            <w:gridSpan w:val="3"/>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459"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265"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60" w:type="dxa"/>
            <w:gridSpan w:val="3"/>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459"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265"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注：本表反映部门本年度国有资本经营预算财政拨款支出情况。</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bdr w:val="none" w:color="auto" w:sz="0" w:space="0"/>
                <w:lang w:val="en-US" w:eastAsia="zh-CN" w:bidi="ar"/>
              </w:rPr>
              <w:t>故本表无数据。</w:t>
            </w:r>
          </w:p>
        </w:tc>
      </w:tr>
    </w:tbl>
    <w:p>
      <w:pPr>
        <w:jc w:val="center"/>
        <w:rPr>
          <w:rFonts w:hint="eastAsia" w:ascii="黑体" w:hAnsi="黑体" w:eastAsia="黑体" w:cs="黑体"/>
          <w:sz w:val="32"/>
          <w:szCs w:val="32"/>
          <w:highlight w:val="none"/>
        </w:rPr>
      </w:pPr>
    </w:p>
    <w:p>
      <w:pPr>
        <w:jc w:val="center"/>
        <w:rPr>
          <w:rFonts w:hint="eastAsia" w:ascii="黑体" w:hAnsi="黑体" w:eastAsia="黑体" w:cs="黑体"/>
          <w:sz w:val="32"/>
          <w:szCs w:val="32"/>
          <w:highlight w:val="none"/>
        </w:rPr>
      </w:pP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object>
          <v:shape id="_x0000_i1033" o:spt="75" type="#_x0000_t75" style="height:144pt;width:697.7pt;" o:ole="t" filled="f" o:preferrelative="t" stroked="f" coordsize="21600,21600">
            <v:path/>
            <v:fill on="f" focussize="0,0"/>
            <v:stroke on="f"/>
            <v:imagedata r:id="rId21" o:title=""/>
            <o:lock v:ext="edit" aspectratio="f"/>
            <w10:wrap type="none"/>
            <w10:anchorlock/>
          </v:shape>
          <o:OLEObject Type="Embed" ProgID="Excel.Sheet.8" ShapeID="_x0000_i1033" DrawAspect="Content" ObjectID="_1468075731" r:id="rId20">
            <o:LockedField>false</o:LockedField>
          </o:OLEObject>
        </w:object>
      </w:r>
    </w:p>
    <w:p>
      <w:pPr>
        <w:jc w:val="center"/>
        <w:rPr>
          <w:rFonts w:hint="eastAsia" w:ascii="黑体" w:hAnsi="黑体" w:eastAsia="黑体" w:cs="黑体"/>
          <w:sz w:val="32"/>
          <w:szCs w:val="32"/>
          <w:highlight w:val="none"/>
          <w:lang w:val="en-US" w:eastAsia="zh-CN"/>
        </w:rPr>
      </w:pPr>
    </w:p>
    <w:p>
      <w:pPr>
        <w:rPr>
          <w:rFonts w:hint="eastAsia" w:ascii="黑体" w:hAnsi="黑体" w:eastAsia="黑体" w:cs="黑体"/>
          <w:sz w:val="32"/>
          <w:szCs w:val="32"/>
          <w:highlight w:val="none"/>
        </w:rPr>
        <w:sectPr>
          <w:pgSz w:w="16838" w:h="11906" w:orient="landscape"/>
          <w:pgMar w:top="442" w:right="1440" w:bottom="329" w:left="1440" w:header="851" w:footer="992" w:gutter="0"/>
          <w:cols w:space="0" w:num="1"/>
          <w:docGrid w:type="lines" w:linePitch="312" w:charSpace="0"/>
        </w:sectPr>
      </w:pP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val="en-US" w:eastAsia="zh-CN"/>
        </w:rPr>
        <w:t>华山林场</w:t>
      </w:r>
      <w:r>
        <w:rPr>
          <w:rFonts w:hint="eastAsia" w:ascii="黑体" w:hAnsi="黑体" w:eastAsia="黑体" w:cs="黑体"/>
          <w:sz w:val="32"/>
          <w:szCs w:val="32"/>
          <w:highlight w:val="none"/>
        </w:rPr>
        <w:t>2022年度部门决算情况说明</w:t>
      </w:r>
    </w:p>
    <w:p>
      <w:pPr>
        <w:keepNext w:val="0"/>
        <w:keepLines w:val="0"/>
        <w:pageBreakBefore w:val="0"/>
        <w:kinsoku/>
        <w:wordWrap/>
        <w:overflowPunct/>
        <w:topLinePunct w:val="0"/>
        <w:autoSpaceDN/>
        <w:bidi w:val="0"/>
        <w:adjustRightInd/>
        <w:snapToGrid/>
        <w:spacing w:beforeAutospacing="0" w:afterAutospacing="0" w:line="500" w:lineRule="exac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一、2022年度收入支出决算总体情况</w:t>
      </w:r>
    </w:p>
    <w:p>
      <w:pPr>
        <w:keepNext w:val="0"/>
        <w:keepLines w:val="0"/>
        <w:pageBreakBefore w:val="0"/>
        <w:kinsoku/>
        <w:wordWrap/>
        <w:overflowPunct/>
        <w:topLinePunct w:val="0"/>
        <w:autoSpaceDN/>
        <w:bidi w:val="0"/>
        <w:adjustRightInd/>
        <w:snapToGrid/>
        <w:spacing w:beforeAutospacing="0" w:afterAutospacing="0" w:line="50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（一）本部门2022年度总收入</w:t>
      </w:r>
      <w:r>
        <w:rPr>
          <w:rFonts w:hint="eastAsia" w:ascii="仿宋" w:hAnsi="仿宋" w:eastAsia="仿宋" w:cs="仿宋"/>
          <w:color w:val="auto"/>
          <w:sz w:val="32"/>
          <w:szCs w:val="32"/>
          <w:highlight w:val="none"/>
          <w:u w:color="auto"/>
          <w:lang w:val="en-US" w:eastAsia="zh-CN"/>
        </w:rPr>
        <w:t>1997.29</w:t>
      </w:r>
      <w:r>
        <w:rPr>
          <w:rFonts w:hint="eastAsia" w:ascii="仿宋" w:hAnsi="仿宋" w:eastAsia="仿宋" w:cs="仿宋"/>
          <w:color w:val="auto"/>
          <w:sz w:val="32"/>
          <w:szCs w:val="32"/>
          <w:highlight w:val="none"/>
        </w:rPr>
        <w:t>万元，较2021年度决算数</w:t>
      </w:r>
      <w:r>
        <w:rPr>
          <w:rFonts w:hint="eastAsia" w:ascii="仿宋" w:hAnsi="仿宋" w:eastAsia="仿宋" w:cs="仿宋"/>
          <w:color w:val="auto"/>
          <w:sz w:val="32"/>
          <w:szCs w:val="32"/>
          <w:highlight w:val="none"/>
          <w:u w:color="auto"/>
        </w:rPr>
        <w:t>减少</w:t>
      </w:r>
      <w:r>
        <w:rPr>
          <w:rFonts w:hint="eastAsia" w:ascii="仿宋" w:hAnsi="仿宋" w:eastAsia="仿宋" w:cs="仿宋"/>
          <w:color w:val="auto"/>
          <w:sz w:val="32"/>
          <w:szCs w:val="32"/>
          <w:highlight w:val="none"/>
          <w:u w:color="auto"/>
          <w:lang w:val="en-US" w:eastAsia="zh-CN"/>
        </w:rPr>
        <w:t>187.42</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u w:color="auto"/>
        </w:rPr>
        <w:t>下降</w:t>
      </w:r>
      <w:r>
        <w:rPr>
          <w:rFonts w:hint="eastAsia" w:ascii="仿宋" w:hAnsi="仿宋" w:eastAsia="仿宋" w:cs="仿宋"/>
          <w:color w:val="auto"/>
          <w:sz w:val="32"/>
          <w:szCs w:val="32"/>
          <w:highlight w:val="none"/>
          <w:u w:color="auto"/>
          <w:lang w:val="en-US" w:eastAsia="zh-CN"/>
        </w:rPr>
        <w:t>8.58</w:t>
      </w:r>
      <w:r>
        <w:rPr>
          <w:rFonts w:hint="eastAsia" w:ascii="仿宋" w:hAnsi="仿宋" w:eastAsia="仿宋" w:cs="仿宋"/>
          <w:color w:val="auto"/>
          <w:sz w:val="32"/>
          <w:szCs w:val="32"/>
          <w:highlight w:val="none"/>
          <w:u w:color="auto"/>
        </w:rPr>
        <w:t>%</w:t>
      </w:r>
      <w:r>
        <w:rPr>
          <w:rFonts w:hint="eastAsia" w:ascii="仿宋" w:hAnsi="仿宋" w:eastAsia="仿宋" w:cs="仿宋"/>
          <w:color w:val="auto"/>
          <w:sz w:val="32"/>
          <w:szCs w:val="32"/>
          <w:highlight w:val="none"/>
        </w:rPr>
        <w:t>，其中本年收入</w:t>
      </w:r>
      <w:r>
        <w:rPr>
          <w:rFonts w:hint="eastAsia" w:ascii="仿宋" w:hAnsi="仿宋" w:eastAsia="仿宋" w:cs="仿宋"/>
          <w:color w:val="auto"/>
          <w:sz w:val="32"/>
          <w:szCs w:val="32"/>
          <w:highlight w:val="none"/>
          <w:u w:color="auto"/>
          <w:lang w:val="en-US" w:eastAsia="zh-CN"/>
        </w:rPr>
        <w:t>1997.29</w:t>
      </w:r>
      <w:r>
        <w:rPr>
          <w:rFonts w:hint="eastAsia" w:ascii="仿宋" w:hAnsi="仿宋" w:eastAsia="仿宋" w:cs="仿宋"/>
          <w:color w:val="auto"/>
          <w:sz w:val="32"/>
          <w:szCs w:val="32"/>
          <w:highlight w:val="none"/>
        </w:rPr>
        <w:t>万元。收入具体情况如下。</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00" w:lineRule="exact"/>
        <w:ind w:left="0" w:right="0" w:firstLine="640" w:firstLineChars="200"/>
        <w:jc w:val="left"/>
        <w:textAlignment w:val="auto"/>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1.一般公共预算财政拨款收入</w:t>
      </w:r>
      <w:r>
        <w:rPr>
          <w:rFonts w:hint="eastAsia" w:ascii="仿宋" w:hAnsi="仿宋" w:eastAsia="仿宋" w:cs="仿宋"/>
          <w:color w:val="auto"/>
          <w:sz w:val="32"/>
          <w:szCs w:val="32"/>
          <w:highlight w:val="none"/>
          <w:u w:color="auto"/>
          <w:lang w:val="en-US" w:eastAsia="zh-CN"/>
        </w:rPr>
        <w:t>1997.29</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lang w:val="en-US" w:eastAsia="zh-CN"/>
        </w:rPr>
        <w:t>环江县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hint="eastAsia" w:ascii="仿宋" w:hAnsi="仿宋" w:eastAsia="仿宋" w:cs="仿宋"/>
          <w:color w:val="auto"/>
          <w:sz w:val="32"/>
          <w:szCs w:val="32"/>
          <w:highlight w:val="none"/>
          <w:u w:color="auto"/>
        </w:rPr>
        <w:t>减少</w:t>
      </w:r>
      <w:r>
        <w:rPr>
          <w:rFonts w:hint="eastAsia" w:ascii="仿宋" w:hAnsi="仿宋" w:eastAsia="仿宋" w:cs="仿宋"/>
          <w:color w:val="auto"/>
          <w:sz w:val="32"/>
          <w:szCs w:val="32"/>
          <w:highlight w:val="none"/>
          <w:u w:color="auto"/>
          <w:lang w:val="en-US" w:eastAsia="zh-CN"/>
        </w:rPr>
        <w:t>187.42</w:t>
      </w:r>
      <w:r>
        <w:rPr>
          <w:rFonts w:hint="eastAsia" w:ascii="仿宋" w:hAnsi="仿宋" w:eastAsia="仿宋" w:cs="仿宋"/>
          <w:color w:val="auto"/>
          <w:kern w:val="2"/>
          <w:sz w:val="32"/>
          <w:szCs w:val="32"/>
          <w:highlight w:val="none"/>
          <w:lang w:val="en-US" w:eastAsia="zh-CN" w:bidi="ar"/>
        </w:rPr>
        <w:t>万元，</w:t>
      </w:r>
      <w:r>
        <w:rPr>
          <w:rFonts w:hint="eastAsia" w:ascii="仿宋" w:hAnsi="仿宋" w:eastAsia="仿宋" w:cs="仿宋"/>
          <w:color w:val="auto"/>
          <w:sz w:val="32"/>
          <w:szCs w:val="32"/>
          <w:highlight w:val="none"/>
          <w:u w:color="auto"/>
        </w:rPr>
        <w:t>下降</w:t>
      </w:r>
      <w:r>
        <w:rPr>
          <w:rFonts w:hint="eastAsia" w:ascii="仿宋" w:hAnsi="仿宋" w:eastAsia="仿宋" w:cs="仿宋"/>
          <w:color w:val="auto"/>
          <w:sz w:val="32"/>
          <w:szCs w:val="32"/>
          <w:highlight w:val="none"/>
          <w:u w:color="auto"/>
          <w:lang w:val="en-US" w:eastAsia="zh-CN"/>
        </w:rPr>
        <w:t>8.58</w:t>
      </w:r>
      <w:r>
        <w:rPr>
          <w:rFonts w:hint="eastAsia" w:ascii="仿宋" w:hAnsi="仿宋" w:eastAsia="仿宋" w:cs="仿宋"/>
          <w:color w:val="auto"/>
          <w:sz w:val="32"/>
          <w:szCs w:val="32"/>
          <w:highlight w:val="none"/>
          <w:u w:color="auto"/>
        </w:rPr>
        <w:t>%</w:t>
      </w:r>
      <w:r>
        <w:rPr>
          <w:rFonts w:hint="eastAsia" w:ascii="仿宋" w:hAnsi="仿宋" w:eastAsia="仿宋" w:cs="仿宋"/>
          <w:color w:val="auto"/>
          <w:kern w:val="2"/>
          <w:sz w:val="32"/>
          <w:szCs w:val="32"/>
          <w:highlight w:val="none"/>
          <w:lang w:val="en-US" w:eastAsia="zh-CN" w:bidi="ar"/>
        </w:rPr>
        <w:t>，主要原因：人员减少，项目经费减少。</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00" w:lineRule="exact"/>
        <w:ind w:left="0" w:right="0" w:firstLine="640" w:firstLineChars="200"/>
        <w:jc w:val="left"/>
        <w:textAlignment w:val="auto"/>
        <w:rPr>
          <w:rFonts w:hint="eastAsia" w:ascii="仿宋" w:hAnsi="仿宋" w:eastAsia="仿宋" w:cs="仿宋"/>
          <w:color w:val="auto"/>
          <w:sz w:val="32"/>
          <w:szCs w:val="32"/>
          <w:u w:color="auto"/>
        </w:rPr>
      </w:pPr>
      <w:r>
        <w:rPr>
          <w:rFonts w:hint="eastAsia" w:ascii="仿宋" w:hAnsi="仿宋" w:eastAsia="仿宋" w:cs="仿宋"/>
          <w:color w:val="auto"/>
          <w:kern w:val="2"/>
          <w:sz w:val="32"/>
          <w:szCs w:val="32"/>
          <w:highlight w:val="none"/>
          <w:lang w:val="en-US" w:eastAsia="zh-CN" w:bidi="ar"/>
        </w:rPr>
        <w:t>2.政府性基金预算财政拨款收入</w:t>
      </w:r>
      <w:r>
        <w:rPr>
          <w:rFonts w:hint="eastAsia" w:ascii="仿宋" w:hAnsi="仿宋" w:eastAsia="仿宋" w:cs="仿宋"/>
          <w:color w:val="auto"/>
          <w:sz w:val="32"/>
          <w:szCs w:val="32"/>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lang w:val="en-US" w:eastAsia="zh-CN"/>
        </w:rPr>
        <w:t>环江县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hint="eastAsia" w:ascii="仿宋" w:hAnsi="仿宋" w:eastAsia="仿宋" w:cs="仿宋"/>
          <w:color w:val="auto"/>
          <w:sz w:val="32"/>
          <w:szCs w:val="32"/>
          <w:u w:color="auto"/>
        </w:rPr>
        <w:t>增加0.00</w:t>
      </w:r>
      <w:r>
        <w:rPr>
          <w:rFonts w:hint="eastAsia" w:ascii="仿宋" w:hAnsi="仿宋" w:eastAsia="仿宋" w:cs="仿宋"/>
          <w:color w:val="auto"/>
          <w:kern w:val="2"/>
          <w:sz w:val="32"/>
          <w:szCs w:val="32"/>
          <w:highlight w:val="none"/>
          <w:lang w:val="en-US" w:eastAsia="zh-CN" w:bidi="ar"/>
        </w:rPr>
        <w:t>万元，</w:t>
      </w:r>
      <w:r>
        <w:rPr>
          <w:rFonts w:hint="eastAsia" w:ascii="仿宋" w:hAnsi="仿宋" w:eastAsia="仿宋" w:cs="仿宋"/>
          <w:color w:val="auto"/>
          <w:sz w:val="32"/>
          <w:szCs w:val="32"/>
          <w:u w:color="auto"/>
        </w:rPr>
        <w:t>增长0%</w:t>
      </w:r>
      <w:r>
        <w:rPr>
          <w:rFonts w:hint="eastAsia" w:ascii="仿宋" w:hAnsi="仿宋" w:eastAsia="仿宋" w:cs="仿宋"/>
          <w:color w:val="auto"/>
          <w:kern w:val="2"/>
          <w:sz w:val="32"/>
          <w:szCs w:val="32"/>
          <w:highlight w:val="none"/>
          <w:lang w:val="en-US" w:eastAsia="zh-CN" w:bidi="ar"/>
        </w:rPr>
        <w:t>。</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00" w:lineRule="exact"/>
        <w:ind w:left="0" w:right="0" w:firstLine="640" w:firstLineChars="200"/>
        <w:jc w:val="left"/>
        <w:textAlignment w:val="auto"/>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3.国有资本经营预算财政拨款收入</w:t>
      </w:r>
      <w:r>
        <w:rPr>
          <w:rFonts w:hint="eastAsia" w:ascii="仿宋" w:hAnsi="仿宋" w:eastAsia="仿宋" w:cs="仿宋"/>
          <w:color w:val="auto"/>
          <w:sz w:val="32"/>
          <w:szCs w:val="32"/>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河池市</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hint="eastAsia" w:ascii="仿宋" w:hAnsi="仿宋" w:eastAsia="仿宋" w:cs="仿宋"/>
          <w:color w:val="auto"/>
          <w:sz w:val="32"/>
          <w:szCs w:val="32"/>
          <w:u w:color="auto"/>
        </w:rPr>
        <w:t>增加0.00</w:t>
      </w:r>
      <w:r>
        <w:rPr>
          <w:rFonts w:hint="eastAsia" w:ascii="仿宋" w:hAnsi="仿宋" w:eastAsia="仿宋" w:cs="仿宋"/>
          <w:color w:val="auto"/>
          <w:kern w:val="2"/>
          <w:sz w:val="32"/>
          <w:szCs w:val="32"/>
          <w:highlight w:val="none"/>
          <w:lang w:val="en-US" w:eastAsia="zh-CN" w:bidi="ar"/>
        </w:rPr>
        <w:t>万元,</w:t>
      </w:r>
      <w:r>
        <w:rPr>
          <w:rFonts w:hint="eastAsia" w:ascii="仿宋" w:hAnsi="仿宋" w:eastAsia="仿宋" w:cs="仿宋"/>
          <w:color w:val="auto"/>
          <w:sz w:val="32"/>
          <w:szCs w:val="32"/>
          <w:u w:color="auto"/>
        </w:rPr>
        <w:t>增长0%</w:t>
      </w:r>
      <w:r>
        <w:rPr>
          <w:rFonts w:hint="eastAsia" w:ascii="仿宋" w:hAnsi="仿宋" w:eastAsia="仿宋" w:cs="仿宋"/>
          <w:color w:val="auto"/>
          <w:kern w:val="2"/>
          <w:sz w:val="32"/>
          <w:szCs w:val="32"/>
          <w:highlight w:val="none"/>
          <w:lang w:val="en-US" w:eastAsia="zh-CN" w:bidi="ar"/>
        </w:rPr>
        <w:t>。</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00" w:lineRule="exact"/>
        <w:ind w:left="0" w:right="0" w:firstLine="640" w:firstLineChars="200"/>
        <w:jc w:val="left"/>
        <w:textAlignment w:val="auto"/>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4.上级补助收入</w:t>
      </w:r>
      <w:r>
        <w:rPr>
          <w:rFonts w:hint="eastAsia" w:ascii="仿宋" w:hAnsi="仿宋" w:eastAsia="仿宋" w:cs="仿宋"/>
          <w:color w:val="auto"/>
          <w:sz w:val="32"/>
          <w:szCs w:val="32"/>
          <w:highlight w:val="none"/>
          <w:u w:color="auto"/>
          <w:lang w:val="en-US" w:eastAsia="zh-CN"/>
        </w:rPr>
        <w:t>0</w:t>
      </w:r>
      <w:r>
        <w:rPr>
          <w:rFonts w:hint="eastAsia" w:ascii="仿宋" w:hAnsi="仿宋" w:eastAsia="仿宋" w:cs="仿宋"/>
          <w:color w:val="auto"/>
          <w:kern w:val="2"/>
          <w:sz w:val="32"/>
          <w:szCs w:val="32"/>
          <w:highlight w:val="none"/>
          <w:lang w:val="en-US" w:eastAsia="zh-CN" w:bidi="ar"/>
        </w:rPr>
        <w:t>万元，为上级部门当年拨付的资金。较2021年度决算数</w:t>
      </w:r>
      <w:r>
        <w:rPr>
          <w:rFonts w:hint="eastAsia" w:ascii="仿宋" w:hAnsi="仿宋" w:eastAsia="仿宋" w:cs="仿宋"/>
          <w:color w:val="auto"/>
          <w:sz w:val="32"/>
          <w:szCs w:val="32"/>
          <w:u w:color="auto"/>
        </w:rPr>
        <w:t>增加</w:t>
      </w:r>
      <w:r>
        <w:rPr>
          <w:rFonts w:hint="eastAsia" w:ascii="仿宋" w:hAnsi="仿宋" w:eastAsia="仿宋" w:cs="仿宋"/>
          <w:color w:val="auto"/>
          <w:sz w:val="32"/>
          <w:szCs w:val="32"/>
          <w:u w:color="auto"/>
          <w:lang w:val="en-US" w:eastAsia="zh-CN"/>
        </w:rPr>
        <w:t>0</w:t>
      </w:r>
      <w:r>
        <w:rPr>
          <w:rFonts w:hint="eastAsia" w:ascii="仿宋" w:hAnsi="仿宋" w:eastAsia="仿宋" w:cs="仿宋"/>
          <w:color w:val="auto"/>
          <w:kern w:val="2"/>
          <w:sz w:val="32"/>
          <w:szCs w:val="32"/>
          <w:highlight w:val="none"/>
          <w:lang w:val="en-US" w:eastAsia="zh-CN" w:bidi="ar"/>
        </w:rPr>
        <w:t>万元,</w:t>
      </w:r>
      <w:r>
        <w:rPr>
          <w:rFonts w:hint="eastAsia" w:ascii="仿宋" w:hAnsi="仿宋" w:eastAsia="仿宋" w:cs="仿宋"/>
          <w:color w:val="auto"/>
          <w:sz w:val="32"/>
          <w:szCs w:val="32"/>
          <w:u w:color="auto"/>
        </w:rPr>
        <w:t>增长</w:t>
      </w:r>
      <w:r>
        <w:rPr>
          <w:rFonts w:hint="eastAsia" w:ascii="仿宋" w:hAnsi="仿宋" w:eastAsia="仿宋" w:cs="仿宋"/>
          <w:color w:val="auto"/>
          <w:sz w:val="32"/>
          <w:szCs w:val="32"/>
          <w:u w:color="auto"/>
          <w:lang w:val="en-US" w:eastAsia="zh-CN"/>
        </w:rPr>
        <w:t>0</w:t>
      </w:r>
      <w:r>
        <w:rPr>
          <w:rFonts w:hint="eastAsia" w:ascii="仿宋" w:hAnsi="仿宋" w:eastAsia="仿宋" w:cs="仿宋"/>
          <w:color w:val="auto"/>
          <w:sz w:val="32"/>
          <w:szCs w:val="32"/>
          <w:u w:color="auto"/>
        </w:rPr>
        <w:t>%</w:t>
      </w:r>
      <w:r>
        <w:rPr>
          <w:rFonts w:hint="eastAsia" w:ascii="仿宋" w:hAnsi="仿宋" w:eastAsia="仿宋" w:cs="仿宋"/>
          <w:color w:val="auto"/>
          <w:kern w:val="2"/>
          <w:sz w:val="32"/>
          <w:szCs w:val="32"/>
          <w:highlight w:val="none"/>
          <w:lang w:val="en-US" w:eastAsia="zh-CN" w:bidi="ar"/>
        </w:rPr>
        <w:t>，主要原因是：本单位没有上级补助收入。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firstLine="630"/>
        <w:textAlignment w:val="auto"/>
        <w:rPr>
          <w:rFonts w:hint="eastAsia" w:ascii="仿宋" w:hAnsi="仿宋" w:eastAsia="仿宋" w:cs="仿宋"/>
          <w:color w:val="auto"/>
          <w:sz w:val="32"/>
          <w:szCs w:val="32"/>
          <w:shd w:val="clear" w:fill="FFFFFF"/>
        </w:rPr>
      </w:pPr>
      <w:r>
        <w:rPr>
          <w:rFonts w:hint="eastAsia" w:ascii="仿宋" w:hAnsi="仿宋" w:eastAsia="仿宋" w:cs="仿宋"/>
          <w:color w:val="auto"/>
          <w:kern w:val="2"/>
          <w:sz w:val="32"/>
          <w:szCs w:val="32"/>
          <w:highlight w:val="none"/>
          <w:lang w:val="en-US" w:eastAsia="zh-CN" w:bidi="ar"/>
        </w:rPr>
        <w:t>5.事业收入</w:t>
      </w:r>
      <w:r>
        <w:rPr>
          <w:rFonts w:hint="eastAsia" w:ascii="仿宋" w:hAnsi="仿宋" w:eastAsia="仿宋" w:cs="仿宋"/>
          <w:color w:val="auto"/>
          <w:sz w:val="32"/>
          <w:szCs w:val="32"/>
          <w:u w:color="auto"/>
        </w:rPr>
        <w:t>0.00</w:t>
      </w:r>
      <w:r>
        <w:rPr>
          <w:rFonts w:hint="eastAsia" w:ascii="仿宋" w:hAnsi="仿宋" w:eastAsia="仿宋" w:cs="仿宋"/>
          <w:color w:val="auto"/>
          <w:kern w:val="2"/>
          <w:sz w:val="32"/>
          <w:szCs w:val="32"/>
          <w:highlight w:val="none"/>
          <w:lang w:val="en-US" w:eastAsia="zh-CN" w:bidi="ar"/>
        </w:rPr>
        <w:t>万元，为事业单位开展业务活动取得的收入。较2021年度决算数</w:t>
      </w:r>
      <w:r>
        <w:rPr>
          <w:rFonts w:hint="eastAsia" w:ascii="仿宋" w:hAnsi="仿宋" w:eastAsia="仿宋" w:cs="仿宋"/>
          <w:color w:val="auto"/>
          <w:sz w:val="32"/>
          <w:szCs w:val="32"/>
          <w:u w:color="auto"/>
        </w:rPr>
        <w:t>增加0.00</w:t>
      </w:r>
      <w:r>
        <w:rPr>
          <w:rFonts w:hint="eastAsia" w:ascii="仿宋" w:hAnsi="仿宋" w:eastAsia="仿宋" w:cs="仿宋"/>
          <w:color w:val="auto"/>
          <w:kern w:val="2"/>
          <w:sz w:val="32"/>
          <w:szCs w:val="32"/>
          <w:highlight w:val="none"/>
          <w:lang w:val="en-US" w:eastAsia="zh-CN" w:bidi="ar"/>
        </w:rPr>
        <w:t>万元,</w:t>
      </w:r>
      <w:r>
        <w:rPr>
          <w:rFonts w:hint="eastAsia" w:ascii="仿宋" w:hAnsi="仿宋" w:eastAsia="仿宋" w:cs="仿宋"/>
          <w:color w:val="auto"/>
          <w:sz w:val="32"/>
          <w:szCs w:val="32"/>
          <w:u w:color="auto"/>
        </w:rPr>
        <w:t>增长0%</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shd w:val="clear" w:fill="FFFFFF"/>
        </w:rPr>
        <w:t>2017年林场改革为公益性一类事业单位后无业务开展未取得活动收入。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firstLine="630"/>
        <w:textAlignment w:val="auto"/>
        <w:rPr>
          <w:rFonts w:hint="eastAsia" w:ascii="仿宋" w:hAnsi="仿宋" w:eastAsia="仿宋" w:cs="仿宋"/>
          <w:color w:val="auto"/>
          <w:sz w:val="32"/>
          <w:szCs w:val="32"/>
        </w:rPr>
      </w:pPr>
      <w:r>
        <w:rPr>
          <w:rFonts w:hint="eastAsia" w:ascii="仿宋" w:hAnsi="仿宋" w:eastAsia="仿宋" w:cs="仿宋"/>
          <w:color w:val="auto"/>
          <w:kern w:val="2"/>
          <w:sz w:val="32"/>
          <w:szCs w:val="32"/>
          <w:highlight w:val="none"/>
          <w:lang w:val="en-US" w:eastAsia="zh-CN" w:bidi="ar"/>
        </w:rPr>
        <w:t>6.经营收入0.00万,为事业单位在业务活动之外开展非独立核算经营活动取得的收入。较2021年度决算数</w:t>
      </w:r>
      <w:r>
        <w:rPr>
          <w:rFonts w:hint="eastAsia" w:ascii="仿宋" w:hAnsi="仿宋" w:eastAsia="仿宋" w:cs="仿宋"/>
          <w:color w:val="auto"/>
          <w:sz w:val="32"/>
          <w:szCs w:val="32"/>
          <w:u w:color="auto"/>
        </w:rPr>
        <w:t>增加0.00</w:t>
      </w:r>
      <w:r>
        <w:rPr>
          <w:rFonts w:hint="eastAsia" w:ascii="仿宋" w:hAnsi="仿宋" w:eastAsia="仿宋" w:cs="仿宋"/>
          <w:color w:val="auto"/>
          <w:kern w:val="2"/>
          <w:sz w:val="32"/>
          <w:szCs w:val="32"/>
          <w:highlight w:val="none"/>
          <w:lang w:val="en-US" w:eastAsia="zh-CN" w:bidi="ar"/>
        </w:rPr>
        <w:t>万元，</w:t>
      </w:r>
      <w:r>
        <w:rPr>
          <w:rFonts w:hint="eastAsia" w:ascii="仿宋" w:hAnsi="仿宋" w:eastAsia="仿宋" w:cs="仿宋"/>
          <w:color w:val="auto"/>
          <w:sz w:val="32"/>
          <w:szCs w:val="32"/>
          <w:u w:color="auto"/>
        </w:rPr>
        <w:t>增长0%</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shd w:val="clear" w:fill="FFFFFF"/>
        </w:rPr>
        <w:t>本单位无经营性业务，所以无经营性收入。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7.附属单位上缴收入</w:t>
      </w:r>
      <w:r>
        <w:rPr>
          <w:rFonts w:hint="eastAsia" w:ascii="仿宋" w:hAnsi="仿宋" w:eastAsia="仿宋" w:cs="仿宋"/>
          <w:color w:val="auto"/>
          <w:sz w:val="32"/>
          <w:szCs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hint="eastAsia" w:ascii="仿宋" w:hAnsi="仿宋" w:eastAsia="仿宋" w:cs="仿宋"/>
          <w:color w:val="auto"/>
          <w:sz w:val="32"/>
          <w:szCs w:val="32"/>
          <w:u w:color="auto"/>
        </w:rPr>
        <w:t>增加0.00</w:t>
      </w:r>
      <w:r>
        <w:rPr>
          <w:rFonts w:hint="eastAsia" w:ascii="仿宋" w:hAnsi="仿宋" w:eastAsia="仿宋" w:cs="仿宋"/>
          <w:color w:val="auto"/>
          <w:kern w:val="2"/>
          <w:sz w:val="32"/>
          <w:szCs w:val="32"/>
          <w:highlight w:val="none"/>
          <w:lang w:val="en-US" w:eastAsia="zh-CN" w:bidi="ar"/>
        </w:rPr>
        <w:t>万元，</w:t>
      </w:r>
      <w:r>
        <w:rPr>
          <w:rFonts w:hint="eastAsia" w:ascii="仿宋" w:hAnsi="仿宋" w:eastAsia="仿宋" w:cs="仿宋"/>
          <w:color w:val="auto"/>
          <w:sz w:val="32"/>
          <w:szCs w:val="32"/>
          <w:u w:color="auto"/>
        </w:rPr>
        <w:t>增长0%</w:t>
      </w:r>
      <w:r>
        <w:rPr>
          <w:rFonts w:hint="eastAsia" w:ascii="仿宋" w:hAnsi="仿宋" w:eastAsia="仿宋" w:cs="仿宋"/>
          <w:color w:val="auto"/>
          <w:kern w:val="2"/>
          <w:sz w:val="32"/>
          <w:szCs w:val="32"/>
          <w:highlight w:val="none"/>
          <w:lang w:val="en-US" w:eastAsia="zh-CN" w:bidi="ar"/>
        </w:rPr>
        <w:t>，主要原因是：本单位无附属单位上缴收入。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8.其他收入</w:t>
      </w:r>
      <w:r>
        <w:rPr>
          <w:rFonts w:hint="eastAsia" w:ascii="仿宋" w:hAnsi="仿宋" w:eastAsia="仿宋" w:cs="仿宋"/>
          <w:color w:val="auto"/>
          <w:sz w:val="32"/>
          <w:szCs w:val="32"/>
          <w:u w:color="auto"/>
          <w:lang w:val="en-US" w:eastAsia="zh-CN"/>
        </w:rPr>
        <w:t>0</w:t>
      </w:r>
      <w:r>
        <w:rPr>
          <w:rFonts w:hint="eastAsia" w:ascii="仿宋" w:hAnsi="仿宋" w:eastAsia="仿宋" w:cs="仿宋"/>
          <w:color w:val="auto"/>
          <w:kern w:val="2"/>
          <w:sz w:val="32"/>
          <w:szCs w:val="32"/>
          <w:highlight w:val="none"/>
          <w:lang w:val="en-US" w:eastAsia="zh-CN" w:bidi="ar"/>
        </w:rPr>
        <w:t>万元,为预算单位在“财政拨款收入”“事业收入”“经营收入”之外取得的收入。较2021年度决算数</w:t>
      </w:r>
      <w:r>
        <w:rPr>
          <w:rFonts w:hint="eastAsia" w:ascii="仿宋" w:hAnsi="仿宋" w:eastAsia="仿宋" w:cs="仿宋"/>
          <w:color w:val="auto"/>
          <w:sz w:val="32"/>
          <w:szCs w:val="32"/>
          <w:u w:color="auto"/>
        </w:rPr>
        <w:t>减少</w:t>
      </w:r>
      <w:r>
        <w:rPr>
          <w:rFonts w:hint="eastAsia" w:ascii="仿宋" w:hAnsi="仿宋" w:eastAsia="仿宋" w:cs="仿宋"/>
          <w:color w:val="auto"/>
          <w:sz w:val="32"/>
          <w:szCs w:val="32"/>
          <w:u w:color="auto"/>
          <w:lang w:val="en-US" w:eastAsia="zh-CN"/>
        </w:rPr>
        <w:t>0</w:t>
      </w:r>
      <w:r>
        <w:rPr>
          <w:rFonts w:hint="eastAsia" w:ascii="仿宋" w:hAnsi="仿宋" w:eastAsia="仿宋" w:cs="仿宋"/>
          <w:color w:val="auto"/>
          <w:kern w:val="2"/>
          <w:sz w:val="32"/>
          <w:szCs w:val="32"/>
          <w:highlight w:val="none"/>
          <w:lang w:val="en-US" w:eastAsia="zh-CN" w:bidi="ar"/>
        </w:rPr>
        <w:t>万元，</w:t>
      </w:r>
      <w:r>
        <w:rPr>
          <w:rFonts w:hint="eastAsia" w:ascii="仿宋" w:hAnsi="仿宋" w:eastAsia="仿宋" w:cs="仿宋"/>
          <w:color w:val="auto"/>
          <w:sz w:val="32"/>
          <w:szCs w:val="32"/>
          <w:u w:color="auto"/>
        </w:rPr>
        <w:t>下降</w:t>
      </w:r>
      <w:r>
        <w:rPr>
          <w:rFonts w:hint="eastAsia" w:ascii="仿宋" w:hAnsi="仿宋" w:eastAsia="仿宋" w:cs="仿宋"/>
          <w:color w:val="auto"/>
          <w:sz w:val="32"/>
          <w:szCs w:val="32"/>
          <w:u w:color="auto"/>
          <w:lang w:val="en-US" w:eastAsia="zh-CN"/>
        </w:rPr>
        <w:t>0</w:t>
      </w:r>
      <w:r>
        <w:rPr>
          <w:rFonts w:hint="eastAsia" w:ascii="仿宋" w:hAnsi="仿宋" w:eastAsia="仿宋" w:cs="仿宋"/>
          <w:color w:val="auto"/>
          <w:sz w:val="32"/>
          <w:szCs w:val="32"/>
          <w:u w:color="auto"/>
        </w:rPr>
        <w:t>%</w:t>
      </w:r>
      <w:r>
        <w:rPr>
          <w:rFonts w:hint="eastAsia" w:ascii="仿宋" w:hAnsi="仿宋" w:eastAsia="仿宋" w:cs="仿宋"/>
          <w:color w:val="auto"/>
          <w:kern w:val="2"/>
          <w:sz w:val="32"/>
          <w:szCs w:val="32"/>
          <w:highlight w:val="none"/>
          <w:lang w:val="en-US" w:eastAsia="zh-CN" w:bidi="ar"/>
        </w:rPr>
        <w:t>，主要原因是：本单位没有其他收入。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9.使用非财政拨款结余</w:t>
      </w:r>
      <w:r>
        <w:rPr>
          <w:rFonts w:hint="eastAsia" w:ascii="仿宋" w:hAnsi="仿宋" w:eastAsia="仿宋" w:cs="仿宋"/>
          <w:color w:val="auto"/>
          <w:sz w:val="32"/>
          <w:szCs w:val="32"/>
          <w:u w:color="auto"/>
        </w:rPr>
        <w:t>0.00</w:t>
      </w:r>
      <w:r>
        <w:rPr>
          <w:rFonts w:hint="eastAsia" w:ascii="仿宋" w:hAnsi="仿宋" w:eastAsia="仿宋" w:cs="仿宋"/>
          <w:color w:val="auto"/>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hint="eastAsia" w:ascii="仿宋" w:hAnsi="仿宋" w:eastAsia="仿宋" w:cs="仿宋"/>
          <w:color w:val="auto"/>
          <w:sz w:val="32"/>
          <w:szCs w:val="32"/>
          <w:u w:color="auto"/>
        </w:rPr>
        <w:t>增加0.00</w:t>
      </w:r>
      <w:r>
        <w:rPr>
          <w:rFonts w:hint="eastAsia" w:ascii="仿宋" w:hAnsi="仿宋" w:eastAsia="仿宋" w:cs="仿宋"/>
          <w:color w:val="auto"/>
          <w:kern w:val="2"/>
          <w:sz w:val="32"/>
          <w:szCs w:val="32"/>
          <w:highlight w:val="none"/>
          <w:lang w:val="en-US" w:eastAsia="zh-CN" w:bidi="ar"/>
        </w:rPr>
        <w:t>万元，</w:t>
      </w:r>
      <w:r>
        <w:rPr>
          <w:rFonts w:hint="eastAsia" w:ascii="仿宋" w:hAnsi="仿宋" w:eastAsia="仿宋" w:cs="仿宋"/>
          <w:color w:val="auto"/>
          <w:sz w:val="32"/>
          <w:szCs w:val="32"/>
          <w:u w:color="auto"/>
        </w:rPr>
        <w:t>增长0%</w:t>
      </w:r>
      <w:r>
        <w:rPr>
          <w:rFonts w:hint="eastAsia" w:ascii="仿宋" w:hAnsi="仿宋" w:eastAsia="仿宋" w:cs="仿宋"/>
          <w:color w:val="auto"/>
          <w:kern w:val="2"/>
          <w:sz w:val="32"/>
          <w:szCs w:val="32"/>
          <w:highlight w:val="none"/>
          <w:lang w:val="en-US" w:eastAsia="zh-CN" w:bidi="ar"/>
        </w:rPr>
        <w:t>，主要原因是：本单位没有非财政拨款结余。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10.上年结转和结余</w:t>
      </w:r>
      <w:r>
        <w:rPr>
          <w:rFonts w:hint="eastAsia" w:ascii="仿宋" w:hAnsi="仿宋" w:eastAsia="仿宋" w:cs="仿宋"/>
          <w:color w:val="auto"/>
          <w:sz w:val="32"/>
          <w:szCs w:val="32"/>
          <w:u w:color="auto"/>
          <w:lang w:val="en-US" w:eastAsia="zh-CN"/>
        </w:rPr>
        <w:t>0</w:t>
      </w:r>
      <w:r>
        <w:rPr>
          <w:rFonts w:hint="eastAsia" w:ascii="仿宋" w:hAnsi="仿宋" w:eastAsia="仿宋" w:cs="仿宋"/>
          <w:color w:val="auto"/>
          <w:kern w:val="2"/>
          <w:sz w:val="32"/>
          <w:szCs w:val="32"/>
          <w:highlight w:val="none"/>
          <w:lang w:val="en-US" w:eastAsia="zh-CN" w:bidi="ar"/>
        </w:rPr>
        <w:t>万元，为以前年度支出预算因客观条件变化未执行完毕、结转到本年度按有关规定继续使用的资金。较2021年度决算数</w:t>
      </w:r>
      <w:r>
        <w:rPr>
          <w:rFonts w:hint="eastAsia" w:ascii="仿宋" w:hAnsi="仿宋" w:eastAsia="仿宋" w:cs="仿宋"/>
          <w:color w:val="auto"/>
          <w:sz w:val="32"/>
          <w:szCs w:val="32"/>
          <w:u w:color="auto"/>
        </w:rPr>
        <w:t>减少</w:t>
      </w:r>
      <w:r>
        <w:rPr>
          <w:rFonts w:hint="eastAsia" w:ascii="仿宋" w:hAnsi="仿宋" w:eastAsia="仿宋" w:cs="仿宋"/>
          <w:color w:val="auto"/>
          <w:sz w:val="32"/>
          <w:szCs w:val="32"/>
          <w:u w:color="auto"/>
          <w:lang w:val="en-US" w:eastAsia="zh-CN"/>
        </w:rPr>
        <w:t>0</w:t>
      </w:r>
      <w:r>
        <w:rPr>
          <w:rFonts w:hint="eastAsia" w:ascii="仿宋" w:hAnsi="仿宋" w:eastAsia="仿宋" w:cs="仿宋"/>
          <w:color w:val="auto"/>
          <w:kern w:val="2"/>
          <w:sz w:val="32"/>
          <w:szCs w:val="32"/>
          <w:highlight w:val="none"/>
          <w:lang w:val="en-US" w:eastAsia="zh-CN" w:bidi="ar"/>
        </w:rPr>
        <w:t>万元，</w:t>
      </w:r>
      <w:r>
        <w:rPr>
          <w:rFonts w:hint="eastAsia" w:ascii="仿宋" w:hAnsi="仿宋" w:eastAsia="仿宋" w:cs="仿宋"/>
          <w:color w:val="auto"/>
          <w:sz w:val="32"/>
          <w:szCs w:val="32"/>
          <w:u w:color="auto"/>
        </w:rPr>
        <w:t>下降</w:t>
      </w:r>
      <w:r>
        <w:rPr>
          <w:rFonts w:hint="eastAsia" w:ascii="仿宋" w:hAnsi="仿宋" w:eastAsia="仿宋" w:cs="仿宋"/>
          <w:color w:val="auto"/>
          <w:sz w:val="32"/>
          <w:szCs w:val="32"/>
          <w:u w:color="auto"/>
          <w:lang w:val="en-US" w:eastAsia="zh-CN"/>
        </w:rPr>
        <w:t>0</w:t>
      </w:r>
      <w:r>
        <w:rPr>
          <w:rFonts w:hint="eastAsia" w:ascii="仿宋" w:hAnsi="仿宋" w:eastAsia="仿宋" w:cs="仿宋"/>
          <w:color w:val="auto"/>
          <w:sz w:val="32"/>
          <w:szCs w:val="32"/>
          <w:u w:color="auto"/>
        </w:rPr>
        <w:t>%</w:t>
      </w:r>
      <w:r>
        <w:rPr>
          <w:rFonts w:hint="eastAsia" w:ascii="仿宋" w:hAnsi="仿宋" w:eastAsia="仿宋" w:cs="仿宋"/>
          <w:color w:val="auto"/>
          <w:kern w:val="2"/>
          <w:sz w:val="32"/>
          <w:szCs w:val="32"/>
          <w:highlight w:val="none"/>
          <w:lang w:val="en-US" w:eastAsia="zh-CN" w:bidi="ar"/>
        </w:rPr>
        <w:t>，主要原因：部分项目已在本年执行完毕，不需要结转至下年继续执行。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810000"/>
            <wp:effectExtent l="4445" t="4445" r="5715"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keepNext w:val="0"/>
        <w:keepLines w:val="0"/>
        <w:pageBreakBefore w:val="0"/>
        <w:kinsoku/>
        <w:wordWrap/>
        <w:overflowPunct/>
        <w:topLinePunct w:val="0"/>
        <w:autoSpaceDN/>
        <w:bidi w:val="0"/>
        <w:adjustRightInd/>
        <w:snapToGrid/>
        <w:spacing w:beforeAutospacing="0" w:afterAutospacing="0" w:line="50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（二）本部门2022年度总支出</w:t>
      </w:r>
      <w:r>
        <w:rPr>
          <w:rFonts w:hint="eastAsia" w:ascii="仿宋" w:hAnsi="仿宋" w:eastAsia="仿宋" w:cs="仿宋"/>
          <w:color w:val="auto"/>
          <w:sz w:val="32"/>
          <w:u w:color="auto"/>
          <w:lang w:val="en-US" w:eastAsia="zh-CN"/>
        </w:rPr>
        <w:t>1997.29</w:t>
      </w:r>
      <w:r>
        <w:rPr>
          <w:rFonts w:hint="eastAsia" w:ascii="仿宋" w:hAnsi="仿宋" w:eastAsia="仿宋" w:cs="仿宋"/>
          <w:color w:val="auto"/>
          <w:sz w:val="32"/>
          <w:szCs w:val="32"/>
          <w:highlight w:val="none"/>
        </w:rPr>
        <w:t>万元，其中本年支</w:t>
      </w:r>
      <w:r>
        <w:rPr>
          <w:rFonts w:hint="eastAsia" w:ascii="仿宋" w:hAnsi="仿宋" w:eastAsia="仿宋" w:cs="仿宋"/>
          <w:color w:val="auto"/>
          <w:sz w:val="32"/>
          <w:szCs w:val="32"/>
          <w:highlight w:val="none"/>
          <w:lang w:val="en-US" w:eastAsia="zh-CN"/>
        </w:rPr>
        <w:t>出</w:t>
      </w:r>
      <w:r>
        <w:rPr>
          <w:rFonts w:hint="eastAsia" w:ascii="仿宋" w:hAnsi="仿宋" w:eastAsia="仿宋" w:cs="仿宋"/>
          <w:color w:val="auto"/>
          <w:sz w:val="32"/>
          <w:u w:color="auto"/>
          <w:lang w:val="en-US" w:eastAsia="zh-CN"/>
        </w:rPr>
        <w:t>1997.29</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u w:color="auto"/>
        </w:rPr>
        <w:t>减少</w:t>
      </w:r>
      <w:r>
        <w:rPr>
          <w:rFonts w:hint="eastAsia" w:ascii="仿宋" w:hAnsi="仿宋" w:eastAsia="仿宋" w:cs="仿宋"/>
          <w:color w:val="auto"/>
          <w:sz w:val="32"/>
          <w:highlight w:val="none"/>
          <w:u w:color="auto"/>
          <w:lang w:val="en-US" w:eastAsia="zh-CN"/>
        </w:rPr>
        <w:t>187.42</w:t>
      </w:r>
      <w:r>
        <w:rPr>
          <w:rFonts w:hint="eastAsia" w:ascii="仿宋" w:hAnsi="仿宋" w:eastAsia="仿宋" w:cs="仿宋"/>
          <w:color w:val="auto"/>
          <w:sz w:val="32"/>
          <w:szCs w:val="32"/>
          <w:highlight w:val="none"/>
        </w:rPr>
        <w:t>万元，</w:t>
      </w:r>
      <w:r>
        <w:rPr>
          <w:rFonts w:ascii="仿宋" w:hAnsi="仿宋" w:eastAsia="仿宋" w:cs="仿宋"/>
          <w:color w:val="auto"/>
          <w:sz w:val="32"/>
          <w:highlight w:val="none"/>
          <w:u w:color="auto"/>
        </w:rPr>
        <w:t>下降</w:t>
      </w:r>
      <w:r>
        <w:rPr>
          <w:rFonts w:hint="eastAsia" w:ascii="仿宋" w:hAnsi="仿宋" w:eastAsia="仿宋" w:cs="仿宋"/>
          <w:color w:val="auto"/>
          <w:sz w:val="32"/>
          <w:highlight w:val="none"/>
          <w:u w:color="auto"/>
          <w:lang w:val="en-US" w:eastAsia="zh-CN"/>
        </w:rPr>
        <w:t>8.58</w:t>
      </w:r>
      <w:r>
        <w:rPr>
          <w:rFonts w:ascii="仿宋" w:hAnsi="仿宋" w:eastAsia="仿宋" w:cs="仿宋"/>
          <w:color w:val="auto"/>
          <w:sz w:val="32"/>
          <w:highlight w:val="none"/>
          <w:u w:color="auto"/>
        </w:rPr>
        <w:t>%</w:t>
      </w:r>
      <w:r>
        <w:rPr>
          <w:rFonts w:hint="eastAsia" w:ascii="仿宋" w:hAnsi="仿宋" w:eastAsia="仿宋" w:cs="仿宋"/>
          <w:color w:val="auto"/>
          <w:sz w:val="32"/>
          <w:szCs w:val="32"/>
          <w:highlight w:val="none"/>
        </w:rPr>
        <w:t>。支出具体情况如下：</w:t>
      </w:r>
    </w:p>
    <w:p>
      <w:pPr>
        <w:keepNext w:val="0"/>
        <w:keepLines w:val="0"/>
        <w:pageBreakBefore w:val="0"/>
        <w:kinsoku/>
        <w:wordWrap/>
        <w:overflowPunct/>
        <w:topLinePunct w:val="0"/>
        <w:autoSpaceDN/>
        <w:bidi w:val="0"/>
        <w:adjustRightInd/>
        <w:snapToGrid/>
        <w:spacing w:beforeAutospacing="0" w:afterAutospacing="0" w:line="500" w:lineRule="exact"/>
        <w:ind w:firstLine="640" w:firstLineChars="200"/>
        <w:jc w:val="left"/>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1、一般公共服务支出（201类）：21.25万元。主要用于：工会经费支出，较2021年</w:t>
      </w:r>
      <w:r>
        <w:rPr>
          <w:rFonts w:hint="eastAsia" w:ascii="仿宋" w:hAnsi="仿宋" w:eastAsia="仿宋" w:cs="仿宋"/>
          <w:color w:val="auto"/>
          <w:sz w:val="32"/>
          <w:szCs w:val="32"/>
          <w:highlight w:val="none"/>
        </w:rPr>
        <w:t>决算数</w:t>
      </w:r>
      <w:r>
        <w:rPr>
          <w:rFonts w:hint="eastAsia" w:ascii="仿宋" w:hAnsi="仿宋" w:eastAsia="仿宋" w:cs="仿宋"/>
          <w:color w:val="auto"/>
          <w:sz w:val="32"/>
          <w:szCs w:val="32"/>
          <w:highlight w:val="none"/>
          <w:lang w:val="en-US" w:eastAsia="zh-CN"/>
        </w:rPr>
        <w:t>减少3.2万元，下降13.09%，主要原因是：人员减少。</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firstLine="645"/>
        <w:textAlignment w:val="auto"/>
        <w:rPr>
          <w:rFonts w:hint="default"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lang w:val="en-US" w:eastAsia="zh-CN"/>
        </w:rPr>
        <w:t>2</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社会保障和就业支出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208</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rPr>
        <w:t>161.74</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ascii="仿宋" w:hAnsi="仿宋" w:eastAsia="仿宋" w:cs="仿宋"/>
          <w:color w:val="auto"/>
          <w:sz w:val="31"/>
          <w:szCs w:val="31"/>
          <w:shd w:val="clear" w:fill="FFFFFF"/>
        </w:rPr>
        <w:t>机关事业单位基本养老保险支出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w:t>
      </w:r>
      <w:r>
        <w:rPr>
          <w:rFonts w:hint="eastAsia" w:ascii="仿宋" w:hAnsi="仿宋" w:eastAsia="仿宋" w:cs="仿宋"/>
          <w:color w:val="auto"/>
          <w:sz w:val="32"/>
          <w:szCs w:val="32"/>
          <w:highlight w:val="none"/>
          <w:lang w:val="en-US" w:eastAsia="zh-CN" w:bidi="ar"/>
        </w:rPr>
        <w:t>16.35</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w:t>
      </w:r>
      <w:r>
        <w:rPr>
          <w:rFonts w:hint="eastAsia" w:ascii="仿宋" w:hAnsi="仿宋" w:eastAsia="仿宋" w:cs="仿宋"/>
          <w:color w:val="auto"/>
          <w:sz w:val="32"/>
          <w:szCs w:val="32"/>
          <w:highlight w:val="none"/>
          <w:lang w:val="en-US" w:eastAsia="zh-CN" w:bidi="ar"/>
        </w:rPr>
        <w:t>9.18</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主要原因是：人员减少。</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firstLine="645"/>
        <w:textAlignment w:val="auto"/>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lang w:val="en-US" w:eastAsia="zh-CN"/>
        </w:rPr>
        <w:t>3</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农林水支出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213</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bidi="ar"/>
        </w:rPr>
        <w:t>1412.28</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ascii="仿宋" w:hAnsi="仿宋" w:eastAsia="仿宋" w:cs="仿宋"/>
          <w:color w:val="auto"/>
          <w:sz w:val="31"/>
          <w:szCs w:val="31"/>
          <w:shd w:val="clear" w:fill="FFFFFF"/>
        </w:rPr>
        <w:t>农业、事业机构运行、行业业务管理运行、其他林业和草原支出。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w:t>
      </w:r>
      <w:r>
        <w:rPr>
          <w:rFonts w:hint="eastAsia" w:ascii="仿宋" w:hAnsi="仿宋" w:eastAsia="仿宋" w:cs="仿宋"/>
          <w:color w:val="auto"/>
          <w:sz w:val="32"/>
          <w:szCs w:val="32"/>
          <w:highlight w:val="none"/>
          <w:lang w:val="en-US" w:eastAsia="zh-CN" w:bidi="ar"/>
        </w:rPr>
        <w:t>36.28</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w:t>
      </w:r>
      <w:r>
        <w:rPr>
          <w:rFonts w:hint="eastAsia" w:ascii="仿宋" w:hAnsi="仿宋" w:eastAsia="仿宋" w:cs="仿宋"/>
          <w:color w:val="auto"/>
          <w:sz w:val="32"/>
          <w:szCs w:val="32"/>
          <w:highlight w:val="none"/>
          <w:lang w:val="en-US" w:eastAsia="zh-CN" w:bidi="ar"/>
        </w:rPr>
        <w:t>2.5</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主要原因是：人员减少。</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firstLine="645"/>
        <w:textAlignment w:val="auto"/>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lang w:val="en-US" w:eastAsia="zh-CN"/>
        </w:rPr>
        <w:t>4</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住房保障支出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bidi="ar"/>
        </w:rPr>
        <w:t>122.36</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ascii="仿宋" w:hAnsi="仿宋" w:eastAsia="仿宋" w:cs="仿宋"/>
          <w:color w:val="auto"/>
          <w:sz w:val="31"/>
          <w:szCs w:val="31"/>
          <w:shd w:val="clear" w:fill="FFFFFF"/>
        </w:rPr>
        <w:t>按照国家政策规定为职工缴纳的住房公积金支出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w:t>
      </w:r>
      <w:r>
        <w:rPr>
          <w:rFonts w:hint="eastAsia" w:ascii="仿宋" w:hAnsi="仿宋" w:eastAsia="仿宋" w:cs="仿宋"/>
          <w:color w:val="auto"/>
          <w:sz w:val="32"/>
          <w:szCs w:val="32"/>
          <w:highlight w:val="none"/>
          <w:lang w:val="en-US" w:eastAsia="zh-CN" w:bidi="ar"/>
        </w:rPr>
        <w:t>7.93</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w:t>
      </w:r>
      <w:r>
        <w:rPr>
          <w:rFonts w:hint="eastAsia" w:ascii="仿宋" w:hAnsi="仿宋" w:eastAsia="仿宋" w:cs="仿宋"/>
          <w:color w:val="auto"/>
          <w:sz w:val="32"/>
          <w:szCs w:val="32"/>
          <w:highlight w:val="none"/>
          <w:lang w:val="en-US" w:eastAsia="zh-CN" w:bidi="ar"/>
        </w:rPr>
        <w:t>6.09</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主要原因是：人员减少。</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firstLine="645"/>
        <w:textAlignment w:val="auto"/>
        <w:rPr>
          <w:rFonts w:hint="default"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5、灾害防治及应急管理支出（224类）30.00万元，主要用于久仁分场管护用房建设项目，</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val="en-US" w:eastAsia="zh-CN"/>
        </w:rPr>
        <w:t>增加30.00万元，增长100%。主要原因：年中下达中央生态保护和修复支撑体系专项资金。</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firstLine="645"/>
        <w:textAlignment w:val="auto"/>
        <w:rPr>
          <w:rFonts w:hint="default"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6、其他支出（229类）249.68万元，主要用于津贴补贴、奖金、伙食补助，</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w:t>
      </w:r>
      <w:r>
        <w:rPr>
          <w:rFonts w:hint="eastAsia" w:ascii="仿宋" w:hAnsi="仿宋" w:eastAsia="仿宋" w:cs="仿宋"/>
          <w:color w:val="auto"/>
          <w:sz w:val="32"/>
          <w:szCs w:val="32"/>
          <w:highlight w:val="none"/>
          <w:lang w:val="en-US" w:eastAsia="zh-CN" w:bidi="ar"/>
        </w:rPr>
        <w:t>150.72万元，下降37.64%，</w:t>
      </w:r>
      <w:r>
        <w:rPr>
          <w:rFonts w:hint="eastAsia" w:ascii="仿宋" w:hAnsi="仿宋" w:eastAsia="仿宋" w:cs="仿宋"/>
          <w:color w:val="auto"/>
          <w:kern w:val="2"/>
          <w:sz w:val="32"/>
          <w:szCs w:val="32"/>
          <w:highlight w:val="none"/>
          <w:lang w:val="en-US" w:eastAsia="zh-CN" w:bidi="ar"/>
        </w:rPr>
        <w:t>人员减少。</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00" w:lineRule="exact"/>
        <w:ind w:left="0" w:right="0" w:firstLine="620" w:firstLineChars="200"/>
        <w:jc w:val="left"/>
        <w:textAlignment w:val="auto"/>
        <w:rPr>
          <w:rFonts w:hint="eastAsia" w:ascii="仿宋" w:hAnsi="仿宋" w:eastAsia="仿宋_GB2312" w:cs="仿宋"/>
          <w:color w:val="auto"/>
          <w:sz w:val="32"/>
          <w:szCs w:val="32"/>
          <w:highlight w:val="none"/>
          <w:lang w:eastAsia="zh-CN" w:bidi="ar"/>
        </w:rPr>
      </w:pPr>
      <w:r>
        <w:rPr>
          <w:rFonts w:hint="default" w:ascii="仿宋_GB2312" w:hAnsi="微软雅黑" w:eastAsia="仿宋_GB2312" w:cs="仿宋_GB2312"/>
          <w:i w:val="0"/>
          <w:iCs w:val="0"/>
          <w:caps w:val="0"/>
          <w:color w:val="auto"/>
          <w:spacing w:val="0"/>
          <w:sz w:val="31"/>
          <w:szCs w:val="31"/>
          <w:highlight w:val="none"/>
          <w:shd w:val="clear" w:color="auto" w:fill="FFFFFF"/>
        </w:rPr>
        <w:t>结余分配</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auto"/>
          <w:spacing w:val="0"/>
          <w:sz w:val="31"/>
          <w:szCs w:val="31"/>
          <w:highlight w:val="none"/>
          <w:shd w:val="clear" w:color="auto" w:fill="FFFFFF"/>
        </w:rPr>
        <w:t>年决算</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w:t>
      </w:r>
      <w:r>
        <w:rPr>
          <w:rFonts w:hint="eastAsia" w:ascii="仿宋_GB2312" w:hAnsi="微软雅黑" w:eastAsia="仿宋_GB2312" w:cs="仿宋_GB2312"/>
          <w:color w:val="auto"/>
          <w:sz w:val="31"/>
          <w:szCs w:val="31"/>
          <w:highlight w:val="none"/>
          <w:shd w:val="clear" w:color="auto" w:fill="FFFFFF"/>
        </w:rPr>
        <w:t>增加0.00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color w:val="auto"/>
          <w:sz w:val="31"/>
          <w:szCs w:val="31"/>
          <w:highlight w:val="none"/>
          <w:shd w:val="clear" w:color="auto" w:fill="FFFFFF"/>
        </w:rPr>
        <w:t>增长0%</w:t>
      </w:r>
      <w:r>
        <w:rPr>
          <w:rFonts w:hint="eastAsia" w:ascii="仿宋_GB2312" w:hAnsi="微软雅黑" w:eastAsia="仿宋_GB2312" w:cs="仿宋_GB2312"/>
          <w:i w:val="0"/>
          <w:iCs w:val="0"/>
          <w:caps w:val="0"/>
          <w:color w:val="auto"/>
          <w:spacing w:val="0"/>
          <w:sz w:val="31"/>
          <w:szCs w:val="31"/>
          <w:highlight w:val="none"/>
          <w:shd w:val="clear" w:color="auto" w:fill="FFFFFF"/>
          <w:lang w:eastAsia="zh-CN"/>
        </w:rPr>
        <w:t>。</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00" w:lineRule="exact"/>
        <w:ind w:left="0" w:right="0"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年末结转和结余</w:t>
      </w:r>
      <w:r>
        <w:rPr>
          <w:rFonts w:hint="eastAsia" w:ascii="仿宋" w:hAnsi="仿宋" w:eastAsia="仿宋" w:cs="仿宋"/>
          <w:color w:val="auto"/>
          <w:sz w:val="32"/>
          <w:u w:color="auto"/>
          <w:lang w:val="en-US" w:eastAsia="zh-CN"/>
        </w:rPr>
        <w:t>0</w:t>
      </w:r>
      <w:r>
        <w:rPr>
          <w:rFonts w:hint="eastAsia" w:ascii="仿宋" w:hAnsi="仿宋" w:eastAsia="仿宋" w:cs="仿宋"/>
          <w:color w:val="auto"/>
          <w:sz w:val="32"/>
          <w:szCs w:val="32"/>
          <w:highlight w:val="none"/>
        </w:rPr>
        <w:t>万元，为本年度或以前年度预算安排、因客观条件发生变化无法按原计划实施，需要延迟到以后年度按有关规定继续使用的资金。较2021年度决算数</w:t>
      </w:r>
      <w:r>
        <w:rPr>
          <w:rFonts w:ascii="仿宋" w:hAnsi="仿宋" w:eastAsia="仿宋" w:cs="仿宋"/>
          <w:color w:val="auto"/>
          <w:sz w:val="32"/>
          <w:u w:color="auto"/>
        </w:rPr>
        <w:t>增加</w:t>
      </w:r>
      <w:r>
        <w:rPr>
          <w:rFonts w:hint="eastAsia" w:ascii="仿宋" w:hAnsi="仿宋" w:eastAsia="仿宋" w:cs="仿宋"/>
          <w:color w:val="auto"/>
          <w:sz w:val="32"/>
          <w:u w:color="auto"/>
          <w:lang w:val="en-US" w:eastAsia="zh-CN"/>
        </w:rPr>
        <w:t>0</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增长</w:t>
      </w:r>
      <w:r>
        <w:rPr>
          <w:rFonts w:hint="eastAsia" w:ascii="仿宋" w:hAnsi="仿宋" w:eastAsia="仿宋" w:cs="仿宋"/>
          <w:color w:val="auto"/>
          <w:sz w:val="32"/>
          <w:u w:color="auto"/>
          <w:lang w:val="en-US" w:eastAsia="zh-CN"/>
        </w:rPr>
        <w:t>0</w:t>
      </w:r>
      <w:r>
        <w:rPr>
          <w:rFonts w:ascii="仿宋" w:hAnsi="仿宋" w:eastAsia="仿宋" w:cs="仿宋"/>
          <w:color w:val="auto"/>
          <w:sz w:val="32"/>
          <w:u w:color="auto"/>
        </w:rPr>
        <w:t>%</w:t>
      </w:r>
      <w:r>
        <w:rPr>
          <w:rFonts w:hint="eastAsia" w:ascii="仿宋" w:hAnsi="仿宋" w:eastAsia="仿宋" w:cs="仿宋"/>
          <w:color w:val="auto"/>
          <w:sz w:val="32"/>
          <w:szCs w:val="32"/>
          <w:highlight w:val="none"/>
          <w:lang w:eastAsia="zh-CN"/>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0" w:name="OLE_LINK1"/>
      <w:r>
        <w:rPr>
          <w:rFonts w:hint="eastAsia" w:ascii="黑体" w:hAnsi="黑体" w:eastAsia="黑体" w:cs="黑体"/>
          <w:sz w:val="32"/>
          <w:szCs w:val="32"/>
          <w:highlight w:val="none"/>
        </w:rPr>
        <w:t>一般公共预算财政拨款支出决算情况</w:t>
      </w:r>
      <w:bookmarkEnd w:id="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华山林场</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szCs w:val="32"/>
          <w:u w:color="auto"/>
          <w:lang w:val="en-US" w:eastAsia="zh-CN"/>
        </w:rPr>
        <w:t>1997.29</w:t>
      </w:r>
      <w:r>
        <w:rPr>
          <w:rFonts w:hint="eastAsia" w:ascii="仿宋" w:hAnsi="仿宋" w:eastAsia="仿宋" w:cs="仿宋"/>
          <w:sz w:val="32"/>
          <w:szCs w:val="32"/>
          <w:highlight w:val="none"/>
        </w:rPr>
        <w:t>万元，较2021年度决算数</w:t>
      </w:r>
      <w:r>
        <w:rPr>
          <w:rFonts w:ascii="仿宋" w:hAnsi="仿宋" w:eastAsia="仿宋" w:cs="仿宋"/>
          <w:sz w:val="32"/>
          <w:szCs w:val="32"/>
          <w:u w:color="auto"/>
        </w:rPr>
        <w:t>减少</w:t>
      </w:r>
      <w:r>
        <w:rPr>
          <w:rFonts w:hint="eastAsia" w:ascii="仿宋" w:hAnsi="仿宋" w:eastAsia="仿宋" w:cs="仿宋"/>
          <w:color w:val="auto"/>
          <w:sz w:val="32"/>
          <w:szCs w:val="32"/>
          <w:highlight w:val="none"/>
          <w:u w:color="auto"/>
          <w:lang w:val="en-US" w:eastAsia="zh-CN"/>
        </w:rPr>
        <w:t>187.42</w:t>
      </w:r>
      <w:r>
        <w:rPr>
          <w:rFonts w:hint="eastAsia" w:ascii="仿宋" w:hAnsi="仿宋" w:eastAsia="仿宋" w:cs="仿宋"/>
          <w:sz w:val="32"/>
          <w:szCs w:val="32"/>
          <w:highlight w:val="none"/>
        </w:rPr>
        <w:t>万元，</w:t>
      </w:r>
      <w:r>
        <w:rPr>
          <w:rFonts w:ascii="仿宋" w:hAnsi="仿宋" w:eastAsia="仿宋" w:cs="仿宋"/>
          <w:sz w:val="32"/>
          <w:szCs w:val="32"/>
          <w:u w:color="auto"/>
        </w:rPr>
        <w:t>下降</w:t>
      </w:r>
      <w:r>
        <w:rPr>
          <w:rFonts w:hint="eastAsia" w:ascii="仿宋" w:hAnsi="仿宋" w:eastAsia="仿宋" w:cs="仿宋"/>
          <w:sz w:val="32"/>
          <w:szCs w:val="32"/>
          <w:u w:color="auto"/>
          <w:lang w:val="en-US" w:eastAsia="zh-CN"/>
        </w:rPr>
        <w:t>8.58</w:t>
      </w:r>
      <w:r>
        <w:rPr>
          <w:rFonts w:ascii="仿宋" w:hAnsi="仿宋" w:eastAsia="仿宋" w:cs="仿宋"/>
          <w:sz w:val="32"/>
          <w:szCs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szCs w:val="32"/>
          <w:u w:color="auto"/>
          <w:lang w:val="en-US" w:eastAsia="zh-CN"/>
        </w:rPr>
        <w:t>1642.82</w:t>
      </w:r>
      <w:r>
        <w:rPr>
          <w:rFonts w:hint="eastAsia" w:ascii="仿宋" w:hAnsi="仿宋" w:eastAsia="仿宋" w:cs="仿宋"/>
          <w:sz w:val="32"/>
          <w:szCs w:val="32"/>
          <w:highlight w:val="none"/>
        </w:rPr>
        <w:t>万元，项目支出</w:t>
      </w:r>
      <w:r>
        <w:rPr>
          <w:rFonts w:hint="eastAsia" w:ascii="仿宋" w:hAnsi="仿宋" w:eastAsia="仿宋" w:cs="仿宋"/>
          <w:sz w:val="32"/>
          <w:szCs w:val="32"/>
          <w:u w:color="auto"/>
          <w:lang w:val="en-US" w:eastAsia="zh-CN"/>
        </w:rPr>
        <w:t>354.47</w:t>
      </w:r>
      <w:r>
        <w:rPr>
          <w:rFonts w:hint="eastAsia" w:ascii="仿宋" w:hAnsi="仿宋" w:eastAsia="仿宋" w:cs="仿宋"/>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sz w:val="32"/>
          <w:szCs w:val="32"/>
          <w:highlight w:val="none"/>
        </w:rPr>
      </w:pPr>
      <w:r>
        <w:rPr>
          <w:rFonts w:hint="eastAsia" w:ascii="仿宋" w:hAnsi="仿宋" w:eastAsia="仿宋" w:cs="仿宋"/>
          <w:sz w:val="32"/>
          <w:szCs w:val="32"/>
          <w:highlight w:val="none"/>
          <w:lang w:val="en-US" w:eastAsia="zh-CN"/>
        </w:rPr>
        <w:t>华山林场</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color w:val="auto"/>
          <w:sz w:val="32"/>
          <w:szCs w:val="32"/>
          <w:highlight w:val="none"/>
          <w:u w:color="auto"/>
          <w:lang w:val="en-US" w:eastAsia="zh-CN"/>
        </w:rPr>
        <w:t>1459.06</w:t>
      </w:r>
      <w:r>
        <w:rPr>
          <w:rFonts w:hint="eastAsia" w:ascii="仿宋" w:hAnsi="仿宋" w:eastAsia="仿宋" w:cs="仿宋"/>
          <w:sz w:val="32"/>
          <w:szCs w:val="32"/>
          <w:highlight w:val="none"/>
        </w:rPr>
        <w:t>万元，支出决算为</w:t>
      </w:r>
      <w:r>
        <w:rPr>
          <w:rFonts w:hint="eastAsia" w:ascii="仿宋" w:hAnsi="仿宋" w:eastAsia="仿宋" w:cs="仿宋"/>
          <w:sz w:val="32"/>
          <w:szCs w:val="32"/>
          <w:u w:color="auto"/>
          <w:lang w:val="en-US" w:eastAsia="zh-CN"/>
        </w:rPr>
        <w:t>1997.29</w:t>
      </w:r>
      <w:r>
        <w:rPr>
          <w:rFonts w:hint="eastAsia" w:ascii="仿宋" w:hAnsi="仿宋" w:eastAsia="仿宋" w:cs="仿宋"/>
          <w:sz w:val="32"/>
          <w:szCs w:val="32"/>
          <w:highlight w:val="none"/>
        </w:rPr>
        <w:t>万元，完成年初预算的</w:t>
      </w:r>
      <w:r>
        <w:rPr>
          <w:rFonts w:hint="eastAsia" w:ascii="仿宋" w:hAnsi="仿宋" w:eastAsia="仿宋" w:cs="仿宋"/>
          <w:sz w:val="32"/>
          <w:szCs w:val="32"/>
          <w:u w:color="auto"/>
          <w:lang w:val="en-US" w:eastAsia="zh-CN"/>
        </w:rPr>
        <w:t>136.89</w:t>
      </w:r>
      <w:r>
        <w:rPr>
          <w:rFonts w:ascii="仿宋" w:hAnsi="仿宋" w:eastAsia="仿宋" w:cs="仿宋"/>
          <w:sz w:val="32"/>
          <w:szCs w:val="32"/>
          <w:u w:color="auto"/>
        </w:rPr>
        <w:t>%</w:t>
      </w:r>
      <w:r>
        <w:rPr>
          <w:rFonts w:hint="eastAsia" w:ascii="仿宋" w:hAnsi="仿宋" w:eastAsia="仿宋" w:cs="仿宋"/>
          <w:sz w:val="32"/>
          <w:szCs w:val="32"/>
          <w:highlight w:val="none"/>
        </w:rPr>
        <w:t>。</w:t>
      </w:r>
      <w:bookmarkStart w:id="1" w:name="OLE_LINK2"/>
      <w:bookmarkEnd w:id="1"/>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420" w:firstLineChars="0"/>
        <w:jc w:val="left"/>
        <w:textAlignment w:val="auto"/>
        <w:rPr>
          <w:rFonts w:hint="eastAsia" w:eastAsia="仿宋"/>
          <w:color w:val="FF0000"/>
          <w:sz w:val="32"/>
          <w:szCs w:val="32"/>
          <w:highlight w:val="none"/>
          <w:lang w:val="en-US" w:eastAsia="zh-CN"/>
        </w:rPr>
      </w:pPr>
      <w:r>
        <w:rPr>
          <w:rFonts w:hint="eastAsia" w:ascii="仿宋" w:hAnsi="仿宋" w:eastAsia="仿宋" w:cs="仿宋"/>
          <w:sz w:val="32"/>
          <w:szCs w:val="32"/>
          <w:highlight w:val="none"/>
          <w:lang w:val="en-US" w:eastAsia="zh-CN"/>
        </w:rPr>
        <w:t>一般公共服务支出</w:t>
      </w:r>
      <w:r>
        <w:rPr>
          <w:rFonts w:ascii="仿宋" w:hAnsi="仿宋" w:eastAsia="仿宋"/>
          <w:sz w:val="32"/>
          <w:szCs w:val="32"/>
          <w:u w:color="auto"/>
        </w:rPr>
        <w:t>（20</w:t>
      </w:r>
      <w:r>
        <w:rPr>
          <w:rFonts w:hint="eastAsia" w:ascii="仿宋" w:hAnsi="仿宋" w:eastAsia="仿宋"/>
          <w:sz w:val="32"/>
          <w:szCs w:val="32"/>
          <w:u w:color="auto"/>
          <w:lang w:val="en-US" w:eastAsia="zh-CN"/>
        </w:rPr>
        <w:t>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21.25</w:t>
      </w:r>
      <w:r>
        <w:rPr>
          <w:rFonts w:hint="eastAsia" w:ascii="仿宋" w:hAnsi="仿宋" w:eastAsia="仿宋"/>
          <w:sz w:val="32"/>
          <w:szCs w:val="32"/>
          <w:highlight w:val="none"/>
        </w:rPr>
        <w:t>万元，支出决算为</w:t>
      </w:r>
      <w:r>
        <w:rPr>
          <w:rFonts w:hint="eastAsia" w:ascii="仿宋" w:hAnsi="仿宋" w:eastAsia="仿宋" w:cs="仿宋"/>
          <w:sz w:val="32"/>
          <w:szCs w:val="32"/>
          <w:highlight w:val="none"/>
          <w:lang w:val="en-US" w:eastAsia="zh-CN"/>
        </w:rPr>
        <w:t>21.25</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 xml:space="preserve"> 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21.25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21.25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21.25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bl>
    <w:p>
      <w:pPr>
        <w:jc w:val="center"/>
        <w:rPr>
          <w:rFonts w:hint="eastAsia" w:ascii="仿宋" w:hAnsi="仿宋" w:eastAsia="仿宋"/>
          <w:sz w:val="32"/>
          <w:szCs w:val="32"/>
          <w:highlight w:val="none"/>
        </w:rPr>
      </w:pPr>
    </w:p>
    <w:p>
      <w:pPr>
        <w:jc w:val="left"/>
        <w:rPr>
          <w:rFonts w:ascii="仿宋" w:hAnsi="仿宋" w:eastAsia="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drawing>
          <wp:inline distT="0" distB="0" distL="114300" distR="114300">
            <wp:extent cx="4474845" cy="3215640"/>
            <wp:effectExtent l="4445" t="4445" r="16510" b="18415"/>
            <wp:docPr id="5"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169.97</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161.74</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 xml:space="preserve"> 95.16 </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人员减少。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4" w:hRule="atLeas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8" w:hRule="atLeas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169.97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161.74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95.16%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单位基本养老保险缴费支出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auto"/>
                <w:sz w:val="20"/>
                <w:szCs w:val="20"/>
                <w:highlight w:val="none"/>
                <w:lang w:val="en-US" w:eastAsia="zh-CN"/>
              </w:rPr>
              <w:t>人员减少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161.74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bl>
    <w:p>
      <w:pPr>
        <w:jc w:val="left"/>
        <w:rPr>
          <w:rFonts w:ascii="仿宋" w:hAnsi="仿宋" w:eastAsia="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drawing>
          <wp:inline distT="0" distB="0" distL="114300" distR="114300">
            <wp:extent cx="3065780" cy="1969135"/>
            <wp:effectExtent l="4445" t="4445" r="15875" b="7620"/>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cs="仿宋"/>
          <w:sz w:val="32"/>
          <w:szCs w:val="32"/>
          <w:highlight w:val="none"/>
          <w:lang w:bidi="ar"/>
        </w:rPr>
        <w:t>农林水支出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213</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sz w:val="32"/>
          <w:szCs w:val="32"/>
          <w:highlight w:val="none"/>
        </w:rPr>
        <w:t>年初预算为</w:t>
      </w:r>
      <w:r>
        <w:rPr>
          <w:rFonts w:hint="eastAsia" w:ascii="仿宋" w:hAnsi="仿宋" w:eastAsia="仿宋"/>
          <w:sz w:val="32"/>
          <w:szCs w:val="32"/>
          <w:highlight w:val="none"/>
          <w:lang w:val="en-US" w:eastAsia="zh-CN"/>
        </w:rPr>
        <w:t>1140.37</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1412.28</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 xml:space="preserve">123.84 </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人员经费增加，年中追加项目。</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929"/>
        <w:gridCol w:w="974"/>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exac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92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9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exac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事业运行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92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3.79</w:t>
            </w:r>
          </w:p>
        </w:tc>
        <w:tc>
          <w:tcPr>
            <w:tcW w:w="9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退休人员生活补助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年中追加项目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exac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2130112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行业业务管理</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92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0.03</w:t>
            </w:r>
          </w:p>
        </w:tc>
        <w:tc>
          <w:tcPr>
            <w:tcW w:w="9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各分场、场部基础建设（2021年底收回指标）</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追加2021年度收回指标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exac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2130204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事业机构</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1101.99</w:t>
            </w:r>
          </w:p>
        </w:tc>
        <w:tc>
          <w:tcPr>
            <w:tcW w:w="92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1301.59</w:t>
            </w:r>
          </w:p>
        </w:tc>
        <w:tc>
          <w:tcPr>
            <w:tcW w:w="9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118.11%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工资上调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exac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2130205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森林资源培育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1.85</w:t>
            </w:r>
          </w:p>
        </w:tc>
        <w:tc>
          <w:tcPr>
            <w:tcW w:w="92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50.55</w:t>
            </w:r>
          </w:p>
        </w:tc>
        <w:tc>
          <w:tcPr>
            <w:tcW w:w="9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自治区财政林业改革发展资金(林木良种补助2022)、营林防火生产费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年中下达项目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exac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2130206</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技术推广与转化</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w:t>
            </w:r>
          </w:p>
        </w:tc>
        <w:tc>
          <w:tcPr>
            <w:tcW w:w="92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3.76</w:t>
            </w:r>
          </w:p>
        </w:tc>
        <w:tc>
          <w:tcPr>
            <w:tcW w:w="9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289.23%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技术推广与转化</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追加2021年度收回指标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2130207</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森林资源管理</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26.93</w:t>
            </w:r>
          </w:p>
        </w:tc>
        <w:tc>
          <w:tcPr>
            <w:tcW w:w="92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26.38</w:t>
            </w:r>
          </w:p>
        </w:tc>
        <w:tc>
          <w:tcPr>
            <w:tcW w:w="9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97.96%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营林防火生产费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财政资金紧张，部分资金未支付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2130213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执法与监督</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6.0</w:t>
            </w:r>
          </w:p>
        </w:tc>
        <w:tc>
          <w:tcPr>
            <w:tcW w:w="92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10.49</w:t>
            </w:r>
          </w:p>
        </w:tc>
        <w:tc>
          <w:tcPr>
            <w:tcW w:w="9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174.83%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000000"/>
                <w:kern w:val="0"/>
                <w:sz w:val="18"/>
                <w:szCs w:val="18"/>
                <w:u w:val="none"/>
                <w:lang w:val="en-US" w:eastAsia="zh-CN" w:bidi="ar"/>
              </w:rPr>
              <w:t>林地综合整治业务费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auto"/>
                <w:sz w:val="18"/>
                <w:szCs w:val="18"/>
                <w:highlight w:val="none"/>
                <w:u w:val="none"/>
                <w:lang w:val="en-US" w:eastAsia="zh-CN"/>
              </w:rPr>
              <w:t>追加2021年度收回指标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2130234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林业草原防灾减灾</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w:t>
            </w:r>
          </w:p>
        </w:tc>
        <w:tc>
          <w:tcPr>
            <w:tcW w:w="92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4.79</w:t>
            </w:r>
          </w:p>
        </w:tc>
        <w:tc>
          <w:tcPr>
            <w:tcW w:w="9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208.26%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森林防火经费、森林病虫害防治经费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追加 2021年底收回指标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2130237</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行业业务管理</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92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10.9</w:t>
            </w:r>
          </w:p>
        </w:tc>
        <w:tc>
          <w:tcPr>
            <w:tcW w:w="9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华山馨园桥维修项目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年中追加项目</w:t>
            </w:r>
          </w:p>
        </w:tc>
      </w:tr>
    </w:tbl>
    <w:p>
      <w:pPr>
        <w:jc w:val="left"/>
        <w:rPr>
          <w:rFonts w:hint="eastAsia" w:ascii="仿宋" w:hAnsi="仿宋" w:eastAsia="仿宋"/>
          <w:sz w:val="32"/>
          <w:szCs w:val="32"/>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312920" cy="2672715"/>
            <wp:effectExtent l="4445" t="4445" r="6985" b="8890"/>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420" w:firstLineChars="0"/>
        <w:jc w:val="left"/>
        <w:textAlignment w:val="auto"/>
        <w:rPr>
          <w:rFonts w:hint="default" w:eastAsia="仿宋"/>
          <w:color w:val="auto"/>
          <w:highlight w:val="none"/>
          <w:lang w:val="en-US" w:eastAsia="zh-CN"/>
        </w:rPr>
      </w:pP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sz w:val="32"/>
          <w:szCs w:val="32"/>
          <w:highlight w:val="none"/>
        </w:rPr>
        <w:t>年初预算为</w:t>
      </w:r>
      <w:r>
        <w:rPr>
          <w:rFonts w:hint="eastAsia" w:ascii="仿宋" w:hAnsi="仿宋" w:eastAsia="仿宋"/>
          <w:sz w:val="32"/>
          <w:szCs w:val="32"/>
          <w:highlight w:val="none"/>
          <w:lang w:val="en-US" w:eastAsia="zh-CN"/>
        </w:rPr>
        <w:t>127.48</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122.36</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95.98</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人员减少。</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 xml:space="preserve"> 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127.48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122.36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95.98%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18"/>
                <w:szCs w:val="18"/>
                <w:highlight w:val="none"/>
                <w:u w:val="none"/>
                <w:lang w:val="en-US" w:eastAsia="zh-CN" w:bidi="ar-SA"/>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122.36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kern w:val="2"/>
          <w:sz w:val="32"/>
          <w:szCs w:val="32"/>
          <w:highlight w:val="none"/>
          <w:lang w:val="en-US" w:eastAsia="zh-CN" w:bidi="ar"/>
        </w:rPr>
        <w:t>灾害防治及应急管理支出（224类）</w:t>
      </w:r>
      <w:r>
        <w:rPr>
          <w:rFonts w:hint="eastAsia" w:ascii="仿宋" w:hAnsi="仿宋" w:eastAsia="仿宋" w:cs="仿宋"/>
          <w:color w:val="auto"/>
          <w:sz w:val="32"/>
          <w:szCs w:val="32"/>
          <w:highlight w:val="none"/>
        </w:rPr>
        <w:t>年初预算为</w:t>
      </w:r>
      <w:r>
        <w:rPr>
          <w:rFonts w:hint="eastAsia" w:ascii="仿宋" w:hAnsi="仿宋" w:eastAsia="仿宋" w:cs="仿宋"/>
          <w:color w:val="auto"/>
          <w:sz w:val="32"/>
          <w:szCs w:val="32"/>
          <w:highlight w:val="none"/>
          <w:lang w:val="en-US" w:eastAsia="zh-CN"/>
        </w:rPr>
        <w:t xml:space="preserve"> 0 </w:t>
      </w:r>
      <w:r>
        <w:rPr>
          <w:rFonts w:hint="eastAsia" w:ascii="仿宋" w:hAnsi="仿宋" w:eastAsia="仿宋" w:cs="仿宋"/>
          <w:color w:val="auto"/>
          <w:sz w:val="32"/>
          <w:szCs w:val="32"/>
          <w:highlight w:val="none"/>
        </w:rPr>
        <w:t>万元，支出决算为</w:t>
      </w:r>
      <w:r>
        <w:rPr>
          <w:rFonts w:hint="eastAsia" w:ascii="仿宋" w:hAnsi="仿宋" w:eastAsia="仿宋" w:cs="仿宋"/>
          <w:color w:val="auto"/>
          <w:sz w:val="32"/>
          <w:szCs w:val="32"/>
          <w:highlight w:val="none"/>
          <w:lang w:val="en-US" w:eastAsia="zh-CN"/>
        </w:rPr>
        <w:t>30.00</w:t>
      </w:r>
      <w:r>
        <w:rPr>
          <w:rFonts w:hint="eastAsia" w:ascii="仿宋" w:hAnsi="仿宋" w:eastAsia="仿宋" w:cs="仿宋"/>
          <w:color w:val="auto"/>
          <w:sz w:val="32"/>
          <w:szCs w:val="32"/>
          <w:highlight w:val="none"/>
        </w:rPr>
        <w:t>万元，完成年初预算的</w:t>
      </w:r>
      <w:r>
        <w:rPr>
          <w:rFonts w:hint="eastAsia" w:ascii="仿宋" w:hAnsi="仿宋" w:eastAsia="仿宋" w:cs="仿宋"/>
          <w:color w:val="auto"/>
          <w:sz w:val="32"/>
          <w:szCs w:val="32"/>
          <w:highlight w:val="none"/>
          <w:lang w:val="en-US" w:eastAsia="zh-CN"/>
        </w:rPr>
        <w:t xml:space="preserve">100 </w:t>
      </w:r>
      <w:r>
        <w:rPr>
          <w:rFonts w:hint="eastAsia" w:ascii="仿宋" w:hAnsi="仿宋" w:eastAsia="仿宋" w:cs="仿宋"/>
          <w:color w:val="auto"/>
          <w:sz w:val="32"/>
          <w:szCs w:val="32"/>
          <w:highlight w:val="none"/>
        </w:rPr>
        <w:t>%。预决算</w:t>
      </w:r>
      <w:r>
        <w:rPr>
          <w:rFonts w:hint="eastAsia" w:ascii="仿宋" w:hAnsi="仿宋" w:eastAsia="仿宋" w:cs="仿宋"/>
          <w:color w:val="auto"/>
          <w:sz w:val="32"/>
          <w:szCs w:val="32"/>
          <w:highlight w:val="none"/>
          <w:lang w:val="en-US" w:eastAsia="zh-CN"/>
        </w:rPr>
        <w:t>存有</w:t>
      </w:r>
      <w:r>
        <w:rPr>
          <w:rFonts w:hint="eastAsia" w:ascii="仿宋" w:hAnsi="仿宋" w:eastAsia="仿宋" w:cs="仿宋"/>
          <w:color w:val="auto"/>
          <w:sz w:val="32"/>
          <w:szCs w:val="32"/>
          <w:highlight w:val="none"/>
        </w:rPr>
        <w:t>差异</w:t>
      </w:r>
      <w:r>
        <w:rPr>
          <w:rFonts w:hint="eastAsia" w:ascii="仿宋" w:hAnsi="仿宋" w:eastAsia="仿宋" w:cs="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请根据该实际情况自行补充原因。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支出具体情况如下</w:t>
      </w:r>
      <w:r>
        <w:rPr>
          <w:rFonts w:hint="eastAsia" w:ascii="仿宋" w:hAnsi="仿宋" w:eastAsia="仿宋" w:cs="仿宋"/>
          <w:sz w:val="32"/>
          <w:szCs w:val="32"/>
          <w:highlight w:val="none"/>
        </w:rPr>
        <w:t>：</w:t>
      </w:r>
    </w:p>
    <w:tbl>
      <w:tblPr>
        <w:tblStyle w:val="6"/>
        <w:tblW w:w="85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rPr>
            </w:pPr>
            <w:r>
              <w:rPr>
                <w:rFonts w:hint="eastAsia" w:ascii="仿宋" w:hAnsi="仿宋" w:eastAsia="仿宋" w:cs="仿宋"/>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rPr>
            </w:pPr>
            <w:r>
              <w:rPr>
                <w:rFonts w:hint="eastAsia" w:ascii="仿宋" w:hAnsi="仿宋" w:eastAsia="仿宋" w:cs="仿宋"/>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2249999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其他灾害防治及应急管理支出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18"/>
                <w:szCs w:val="18"/>
                <w:highlight w:val="none"/>
                <w:u w:val="none"/>
                <w:lang w:val="en-US" w:eastAsia="zh-CN"/>
              </w:rPr>
            </w:pPr>
            <w:r>
              <w:rPr>
                <w:rFonts w:hint="eastAsia" w:ascii="仿宋" w:hAnsi="仿宋" w:eastAsia="仿宋" w:cs="仿宋"/>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18"/>
                <w:szCs w:val="18"/>
                <w:highlight w:val="none"/>
                <w:u w:val="none"/>
                <w:lang w:val="en-US" w:eastAsia="zh-CN" w:bidi="ar-SA"/>
              </w:rPr>
            </w:pPr>
            <w:r>
              <w:rPr>
                <w:rFonts w:hint="eastAsia" w:ascii="仿宋" w:hAnsi="仿宋" w:eastAsia="仿宋" w:cs="仿宋"/>
                <w:i w:val="0"/>
                <w:iCs w:val="0"/>
                <w:color w:val="000000"/>
                <w:kern w:val="2"/>
                <w:sz w:val="18"/>
                <w:szCs w:val="18"/>
                <w:highlight w:val="none"/>
                <w:u w:val="none"/>
                <w:lang w:val="en-US" w:eastAsia="zh-CN" w:bidi="ar-SA"/>
              </w:rPr>
              <w:t>30.00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18"/>
                <w:szCs w:val="18"/>
                <w:highlight w:val="none"/>
                <w:u w:val="none"/>
                <w:lang w:val="en-US" w:eastAsia="zh-CN"/>
              </w:rPr>
            </w:pPr>
            <w:r>
              <w:rPr>
                <w:rFonts w:hint="eastAsia" w:ascii="仿宋" w:hAnsi="仿宋" w:eastAsia="仿宋" w:cs="仿宋"/>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color w:val="auto"/>
                <w:kern w:val="2"/>
                <w:sz w:val="20"/>
                <w:szCs w:val="20"/>
                <w:highlight w:val="none"/>
                <w:lang w:val="en-US" w:eastAsia="zh-CN" w:bidi="ar"/>
              </w:rPr>
              <w:t>久仁分场管护用房建设项目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年中下达项目指标</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3684270" cy="2596515"/>
            <wp:effectExtent l="4445" t="4445" r="6985" b="8890"/>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420" w:firstLineChars="0"/>
        <w:jc w:val="left"/>
        <w:textAlignment w:val="auto"/>
        <w:rPr>
          <w:rFonts w:hint="default" w:eastAsia="仿宋"/>
          <w:color w:val="auto"/>
          <w:sz w:val="32"/>
          <w:szCs w:val="32"/>
          <w:highlight w:val="none"/>
          <w:lang w:val="en-US" w:eastAsia="zh-CN"/>
        </w:rPr>
      </w:pPr>
      <w:r>
        <w:rPr>
          <w:rFonts w:hint="eastAsia" w:ascii="仿宋" w:hAnsi="仿宋" w:eastAsia="仿宋" w:cs="仿宋"/>
          <w:color w:val="auto"/>
          <w:kern w:val="2"/>
          <w:sz w:val="32"/>
          <w:szCs w:val="32"/>
          <w:highlight w:val="none"/>
          <w:lang w:val="en-US" w:eastAsia="zh-CN" w:bidi="ar"/>
        </w:rPr>
        <w:t>其他支出（229类）</w:t>
      </w:r>
      <w:r>
        <w:rPr>
          <w:rFonts w:hint="eastAsia" w:ascii="仿宋" w:hAnsi="仿宋" w:eastAsia="仿宋"/>
          <w:color w:val="auto"/>
          <w:sz w:val="32"/>
          <w:szCs w:val="32"/>
          <w:highlight w:val="none"/>
        </w:rPr>
        <w:t>年初预算为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万元，支出决算为</w:t>
      </w:r>
      <w:r>
        <w:rPr>
          <w:rFonts w:hint="eastAsia" w:ascii="仿宋" w:hAnsi="仿宋" w:eastAsia="仿宋"/>
          <w:color w:val="auto"/>
          <w:sz w:val="32"/>
          <w:szCs w:val="32"/>
          <w:highlight w:val="none"/>
          <w:lang w:val="en-US" w:eastAsia="zh-CN"/>
        </w:rPr>
        <w:t>249.68</w:t>
      </w:r>
      <w:r>
        <w:rPr>
          <w:rFonts w:hint="eastAsia" w:ascii="仿宋" w:hAnsi="仿宋" w:eastAsia="仿宋"/>
          <w:color w:val="auto"/>
          <w:sz w:val="32"/>
          <w:szCs w:val="32"/>
          <w:highlight w:val="none"/>
        </w:rPr>
        <w:t>万元，完成年初预算的</w:t>
      </w:r>
      <w:r>
        <w:rPr>
          <w:rFonts w:hint="eastAsia" w:ascii="仿宋" w:hAnsi="仿宋" w:eastAsia="仿宋"/>
          <w:color w:val="auto"/>
          <w:sz w:val="32"/>
          <w:szCs w:val="32"/>
          <w:highlight w:val="none"/>
          <w:lang w:val="en-US" w:eastAsia="zh-CN"/>
        </w:rPr>
        <w:t xml:space="preserve">100 </w:t>
      </w:r>
      <w:r>
        <w:rPr>
          <w:rFonts w:ascii="仿宋" w:hAnsi="仿宋" w:eastAsia="仿宋"/>
          <w:color w:val="auto"/>
          <w:sz w:val="32"/>
          <w:szCs w:val="32"/>
          <w:highlight w:val="none"/>
        </w:rPr>
        <w:t>%</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年中下达项目指标。</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249.68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auto"/>
                <w:kern w:val="2"/>
                <w:sz w:val="20"/>
                <w:szCs w:val="20"/>
                <w:highlight w:val="none"/>
                <w:lang w:val="en-US" w:eastAsia="zh-CN" w:bidi="ar"/>
              </w:rPr>
              <w:t>津贴补贴、奖金、伙食补助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年中下达指标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249.68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0"/>
                <w:szCs w:val="20"/>
                <w:highlight w:val="none"/>
                <w:lang w:val="en-US" w:eastAsia="zh-CN" w:bidi="ar"/>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p>
        </w:tc>
      </w:tr>
    </w:tbl>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 xml:space="preserve"> </w:t>
      </w:r>
    </w:p>
    <w:p>
      <w:pPr>
        <w:jc w:val="left"/>
        <w:rPr>
          <w:rFonts w:hint="eastAsia" w:ascii="黑体" w:hAnsi="黑体" w:eastAsia="黑体" w:cs="黑体"/>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drawing>
          <wp:inline distT="0" distB="0" distL="114300" distR="114300">
            <wp:extent cx="3437890" cy="2844800"/>
            <wp:effectExtent l="4445" t="4445" r="5715" b="8255"/>
            <wp:docPr id="1"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华山林场</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1642.82</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1592.96</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49.87</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20" w:firstLineChars="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工资福利支出</w:t>
      </w:r>
      <w:r>
        <w:rPr>
          <w:rFonts w:hint="eastAsia" w:ascii="仿宋" w:hAnsi="仿宋" w:eastAsia="仿宋" w:cs="仿宋"/>
          <w:color w:val="auto"/>
          <w:sz w:val="32"/>
          <w:u w:color="auto"/>
          <w:lang w:val="en-US" w:eastAsia="zh-CN"/>
        </w:rPr>
        <w:t>1480.32</w:t>
      </w:r>
      <w:r>
        <w:rPr>
          <w:rFonts w:ascii="仿宋" w:hAnsi="仿宋" w:eastAsia="仿宋" w:cs="仿宋"/>
          <w:color w:val="auto"/>
          <w:sz w:val="32"/>
          <w:u w:color="auto"/>
        </w:rPr>
        <w:t>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lang w:val="en-US" w:eastAsia="zh-CN"/>
        </w:rPr>
        <w:t>117.26</w:t>
      </w:r>
      <w:r>
        <w:rPr>
          <w:rFonts w:hint="eastAsia" w:ascii="仿宋" w:hAnsi="仿宋" w:eastAsia="仿宋" w:cs="仿宋"/>
          <w:color w:val="auto"/>
          <w:sz w:val="32"/>
          <w:szCs w:val="32"/>
          <w:highlight w:val="none"/>
        </w:rPr>
        <w:t>%</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主要原因是：人员工资上调。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407.94万元，30102津贴补贴166.53万元，30103奖金322.07万元，30106伙食补助费21.6万元，30107绩效工资204.46万元，30108机关事业单位基本养老保险缴费161.74万元，30110职工基本医疗保险缴费66.64万元，30111公务员医疗补助缴费0万元，30112其他社会保障缴费6.98万元，30113住房公积金122.36万元，30199其他工资福利支出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3723005" cy="2616835"/>
            <wp:effectExtent l="4445" t="4445" r="6350" b="7620"/>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20" w:firstLineChars="0"/>
        <w:jc w:val="left"/>
        <w:textAlignment w:val="auto"/>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商品和服务支出</w:t>
      </w:r>
      <w:r>
        <w:rPr>
          <w:rFonts w:hint="eastAsia" w:ascii="仿宋" w:hAnsi="仿宋" w:eastAsia="仿宋" w:cs="仿宋"/>
          <w:sz w:val="32"/>
          <w:szCs w:val="32"/>
          <w:highlight w:val="none"/>
          <w:u w:color="auto"/>
          <w:lang w:val="en-US" w:eastAsia="zh-CN"/>
        </w:rPr>
        <w:t>49.87</w:t>
      </w:r>
      <w:r>
        <w:rPr>
          <w:rFonts w:ascii="仿宋" w:hAnsi="仿宋" w:eastAsia="仿宋" w:cs="仿宋"/>
          <w:sz w:val="32"/>
          <w:szCs w:val="32"/>
          <w:highlight w:val="none"/>
          <w:u w:color="auto"/>
        </w:rPr>
        <w:t>万元，</w:t>
      </w:r>
      <w:r>
        <w:rPr>
          <w:rFonts w:hint="default" w:ascii="仿宋_GB2312" w:hAnsi="微软雅黑" w:eastAsia="仿宋_GB2312" w:cs="仿宋_GB2312"/>
          <w:i w:val="0"/>
          <w:iCs w:val="0"/>
          <w:caps w:val="0"/>
          <w:color w:val="000000"/>
          <w:spacing w:val="0"/>
          <w:sz w:val="32"/>
          <w:szCs w:val="32"/>
          <w:highlight w:val="none"/>
          <w:shd w:val="clear" w:color="auto" w:fill="FFFFFF"/>
        </w:rPr>
        <w:t>完成年初预算的</w:t>
      </w:r>
      <w:r>
        <w:rPr>
          <w:rFonts w:hint="eastAsia" w:ascii="仿宋" w:hAnsi="仿宋" w:eastAsia="仿宋" w:cs="仿宋"/>
          <w:sz w:val="32"/>
          <w:szCs w:val="32"/>
          <w:highlight w:val="none"/>
          <w:lang w:val="en-US" w:eastAsia="zh-CN"/>
        </w:rPr>
        <w:t>97.31</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2"/>
          <w:szCs w:val="32"/>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主要原因是：部分办公经费未支付完毕。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10.83万元，30205水费0.13万元，30206电费6.71万元，30207邮电费0.78万元，30211差旅费9.36万元，30215会议费0万元，30216培训费0万元，30226劳务费0万元，30228工会经费21.25万元，30217公务接待费0.37万元，30299其他商品和服务支出0.45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3790315" cy="2579370"/>
            <wp:effectExtent l="4445" t="4445" r="15240" b="698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20" w:firstLineChars="0"/>
        <w:jc w:val="left"/>
        <w:textAlignment w:val="auto"/>
        <w:rPr>
          <w:rFonts w:hint="eastAsia" w:ascii="仿宋" w:hAnsi="仿宋" w:eastAsia="仿宋" w:cs="仿宋"/>
          <w:color w:val="FF0000"/>
          <w:sz w:val="32"/>
          <w:szCs w:val="32"/>
          <w:highlight w:val="none"/>
          <w:lang w:val="en-US"/>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112.64</w:t>
      </w:r>
      <w:r>
        <w:rPr>
          <w:rFonts w:hint="eastAsia" w:ascii="仿宋" w:hAnsi="仿宋" w:eastAsia="仿宋" w:cs="仿宋"/>
          <w:sz w:val="32"/>
          <w:u w:color="auto"/>
        </w:rPr>
        <w:t>万元，</w:t>
      </w:r>
      <w:r>
        <w:rPr>
          <w:rFonts w:hint="eastAsia" w:ascii="仿宋" w:hAnsi="仿宋" w:eastAsia="仿宋" w:cs="仿宋"/>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111.14</w:t>
      </w:r>
      <w:r>
        <w:rPr>
          <w:rFonts w:hint="eastAsia" w:ascii="仿宋" w:hAnsi="仿宋" w:eastAsia="仿宋" w:cs="仿宋"/>
          <w:sz w:val="32"/>
          <w:szCs w:val="32"/>
          <w:highlight w:val="none"/>
        </w:rPr>
        <w:t>%</w:t>
      </w:r>
      <w:r>
        <w:rPr>
          <w:rFonts w:hint="eastAsia" w:ascii="仿宋" w:hAnsi="仿宋" w:eastAsia="仿宋" w:cs="仿宋"/>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主要原因是：退休补助费增加、抚恤金增加。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30301离休费0万元，30302退休费0万元，30304抚恤金7.54万元，30305生活补助103.89万元，30309奖励金1.21万元。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056380" cy="2807335"/>
            <wp:effectExtent l="4445" t="4445" r="15875" b="7620"/>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jc w:val="center"/>
        <w:rPr>
          <w:rFonts w:hint="eastAsia" w:ascii="仿宋" w:hAnsi="仿宋" w:eastAsia="仿宋" w:cs="仿宋"/>
          <w:sz w:val="32"/>
          <w:szCs w:val="32"/>
          <w:highlight w:val="none"/>
        </w:rPr>
      </w:pPr>
    </w:p>
    <w:p>
      <w:pPr>
        <w:jc w:val="center"/>
        <w:rPr>
          <w:rFonts w:hint="eastAsia" w:ascii="仿宋" w:hAnsi="仿宋" w:eastAsia="仿宋" w:cs="仿宋"/>
          <w:sz w:val="32"/>
          <w:szCs w:val="32"/>
          <w:highlight w:val="none"/>
        </w:rPr>
      </w:pPr>
    </w:p>
    <w:p>
      <w:pPr>
        <w:jc w:val="center"/>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hint="eastAsia" w:ascii="仿宋" w:hAnsi="仿宋" w:eastAsia="仿宋" w:cs="仿宋"/>
          <w:sz w:val="32"/>
          <w:u w:color="auto"/>
        </w:rPr>
        <w:t>0.00万元，</w:t>
      </w:r>
      <w:r>
        <w:rPr>
          <w:rFonts w:hint="eastAsia" w:ascii="仿宋" w:hAnsi="仿宋" w:eastAsia="仿宋" w:cs="仿宋"/>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主要原因是：无。</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hint="eastAsia" w:ascii="仿宋" w:hAnsi="仿宋" w:eastAsia="仿宋" w:cs="仿宋"/>
          <w:sz w:val="32"/>
          <w:u w:color="auto"/>
        </w:rPr>
        <w:t>0.00万元，</w:t>
      </w:r>
      <w:r>
        <w:rPr>
          <w:rFonts w:hint="eastAsia" w:ascii="仿宋" w:hAnsi="仿宋" w:eastAsia="仿宋" w:cs="仿宋"/>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 w:hAnsi="仿宋" w:eastAsia="仿宋" w:cs="仿宋"/>
          <w:i w:val="0"/>
          <w:iCs w:val="0"/>
          <w:caps w:val="0"/>
          <w:color w:val="000000"/>
          <w:spacing w:val="0"/>
          <w:sz w:val="31"/>
          <w:szCs w:val="31"/>
          <w:highlight w:val="none"/>
          <w:shd w:val="clear" w:color="auto" w:fill="FFFFFF"/>
          <w:lang w:eastAsia="zh-CN"/>
        </w:rPr>
        <w:t>。</w:t>
      </w:r>
      <w:r>
        <w:rPr>
          <w:rFonts w:hint="eastAsia" w:ascii="仿宋" w:hAnsi="仿宋" w:eastAsia="仿宋" w:cs="仿宋"/>
          <w:sz w:val="32"/>
          <w:szCs w:val="32"/>
          <w:highlight w:val="none"/>
          <w:lang w:val="en-US" w:eastAsia="zh-CN"/>
        </w:rPr>
        <w:t>主要原因是：无。</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 w:hAnsi="仿宋" w:eastAsia="仿宋" w:cs="仿宋"/>
          <w:color w:val="FF0000"/>
          <w:sz w:val="32"/>
          <w:szCs w:val="32"/>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hint="eastAsia" w:ascii="仿宋" w:hAnsi="仿宋" w:eastAsia="仿宋" w:cs="仿宋"/>
          <w:sz w:val="32"/>
          <w:u w:color="auto"/>
        </w:rPr>
        <w:t>0.00万元，</w:t>
      </w:r>
      <w:r>
        <w:rPr>
          <w:rFonts w:hint="eastAsia" w:ascii="仿宋" w:hAnsi="仿宋" w:eastAsia="仿宋" w:cs="仿宋"/>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 w:hAnsi="仿宋" w:eastAsia="仿宋" w:cs="仿宋"/>
          <w:i w:val="0"/>
          <w:iCs w:val="0"/>
          <w:caps w:val="0"/>
          <w:color w:val="000000"/>
          <w:spacing w:val="0"/>
          <w:sz w:val="31"/>
          <w:szCs w:val="31"/>
          <w:highlight w:val="none"/>
          <w:shd w:val="clear" w:color="auto" w:fill="FFFFFF"/>
          <w:lang w:eastAsia="zh-CN"/>
        </w:rPr>
        <w:t>。</w:t>
      </w:r>
      <w:r>
        <w:rPr>
          <w:rFonts w:hint="eastAsia" w:ascii="仿宋" w:hAnsi="仿宋" w:eastAsia="仿宋" w:cs="仿宋"/>
          <w:sz w:val="32"/>
          <w:szCs w:val="32"/>
          <w:highlight w:val="none"/>
          <w:lang w:val="en-US" w:eastAsia="zh-CN"/>
        </w:rPr>
        <w:t>主要原因是：无。</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华山林场</w:t>
      </w:r>
      <w:r>
        <w:rPr>
          <w:rFonts w:hint="eastAsia" w:ascii="仿宋" w:hAnsi="仿宋" w:eastAsia="仿宋" w:cs="仿宋"/>
          <w:color w:val="auto"/>
          <w:sz w:val="32"/>
          <w:szCs w:val="32"/>
          <w:highlight w:val="none"/>
        </w:rPr>
        <w:t>2022年度政府性基金支出0.00万元，较2021年度决算数增加0.00万元，增长0%其中：基本支出0.00万元，项目支出0.00万元。</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华山林场</w:t>
      </w:r>
      <w:r>
        <w:rPr>
          <w:rFonts w:hint="eastAsia" w:ascii="仿宋" w:hAnsi="仿宋" w:eastAsia="仿宋" w:cs="仿宋"/>
          <w:color w:val="auto"/>
          <w:sz w:val="32"/>
          <w:szCs w:val="32"/>
          <w:highlight w:val="none"/>
        </w:rPr>
        <w:t>2022年度政府性基金支出年初预算为0.00万元，支出决算为0.00万元，完成年初预算的0%。</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lang w:val="en-US" w:eastAsia="zh-CN"/>
        </w:rPr>
        <w:t>华山林场</w:t>
      </w:r>
      <w:r>
        <w:rPr>
          <w:rFonts w:hint="eastAsia" w:ascii="仿宋" w:hAnsi="仿宋" w:eastAsia="仿宋" w:cs="仿宋"/>
          <w:color w:val="auto"/>
          <w:sz w:val="32"/>
          <w:u w:color="auto"/>
        </w:rPr>
        <w:t>没有政府性基金收入，也没有政府性基金收入安排的支出</w:t>
      </w:r>
      <w:r>
        <w:rPr>
          <w:rFonts w:hint="eastAsia" w:ascii="仿宋" w:hAnsi="仿宋" w:eastAsia="仿宋" w:cs="仿宋"/>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lang w:val="en-US" w:eastAsia="zh-CN"/>
        </w:rPr>
        <w:t>五、</w:t>
      </w:r>
      <w:r>
        <w:rPr>
          <w:rFonts w:hint="eastAsia" w:ascii="黑体" w:hAnsi="黑体" w:eastAsia="黑体" w:cs="黑体"/>
          <w:sz w:val="32"/>
          <w:szCs w:val="32"/>
          <w:highlight w:val="none"/>
        </w:rPr>
        <w:t>2022年度国有资本经营预算支出决算情况</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华山林场</w:t>
      </w:r>
      <w:r>
        <w:rPr>
          <w:rFonts w:hint="eastAsia" w:ascii="仿宋" w:hAnsi="仿宋" w:eastAsia="仿宋" w:cs="仿宋"/>
          <w:color w:val="auto"/>
          <w:sz w:val="32"/>
          <w:szCs w:val="32"/>
          <w:highlight w:val="none"/>
        </w:rPr>
        <w:t>2022年度国有资本经营预算支出0.00万元。其中：基本支出0.00万元，项目支出0.00万元。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华山林场</w:t>
      </w:r>
      <w:r>
        <w:rPr>
          <w:rFonts w:hint="eastAsia" w:ascii="仿宋" w:hAnsi="仿宋" w:eastAsia="仿宋" w:cs="仿宋"/>
          <w:color w:val="auto"/>
          <w:sz w:val="32"/>
          <w:szCs w:val="32"/>
          <w:highlight w:val="none"/>
        </w:rPr>
        <w:t>2022 年度国有资本经营预算支出年初预算为0.00万元，支出决算为0.00万元，完成年初预算的0%。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华山林场</w:t>
      </w:r>
      <w:r>
        <w:rPr>
          <w:rFonts w:hint="eastAsia" w:ascii="仿宋" w:hAnsi="仿宋" w:eastAsia="仿宋" w:cs="仿宋"/>
          <w:color w:val="auto"/>
          <w:sz w:val="32"/>
          <w:highlight w:val="none"/>
          <w:u w:color="auto"/>
        </w:rPr>
        <w:t>没有国有资本经营预算收入，也没有国有资本经营预算收入</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安排的支出</w:t>
      </w:r>
      <w:r>
        <w:rPr>
          <w:rFonts w:hint="eastAsia" w:ascii="仿宋" w:hAnsi="仿宋" w:eastAsia="仿宋" w:cs="仿宋"/>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六、一般公共预算财政拨款安排的“三公”经费支出决算情况说明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2022年度一般公共预算财政拨款安排的“三公”经费支出</w:t>
      </w:r>
      <w:r>
        <w:rPr>
          <w:rFonts w:hint="eastAsia" w:ascii="仿宋" w:hAnsi="仿宋" w:eastAsia="仿宋" w:cs="仿宋"/>
          <w:color w:val="auto"/>
          <w:sz w:val="32"/>
          <w:szCs w:val="32"/>
          <w:highlight w:val="none"/>
          <w:lang w:val="en-US" w:eastAsia="zh-CN"/>
        </w:rPr>
        <w:t>0.37</w:t>
      </w:r>
      <w:r>
        <w:rPr>
          <w:rFonts w:hint="eastAsia" w:ascii="仿宋" w:hAnsi="仿宋" w:eastAsia="仿宋" w:cs="仿宋"/>
          <w:color w:val="auto"/>
          <w:sz w:val="32"/>
          <w:szCs w:val="32"/>
          <w:highlight w:val="none"/>
        </w:rPr>
        <w:t>万元，完成年初预算的</w:t>
      </w:r>
      <w:r>
        <w:rPr>
          <w:rFonts w:hint="eastAsia" w:ascii="仿宋" w:hAnsi="仿宋" w:eastAsia="仿宋" w:cs="仿宋"/>
          <w:color w:val="auto"/>
          <w:sz w:val="32"/>
          <w:szCs w:val="32"/>
          <w:highlight w:val="none"/>
          <w:lang w:val="en-US" w:eastAsia="zh-CN"/>
        </w:rPr>
        <w:t>100</w:t>
      </w:r>
      <w:r>
        <w:rPr>
          <w:rFonts w:hint="eastAsia" w:ascii="仿宋" w:hAnsi="仿宋" w:eastAsia="仿宋" w:cs="仿宋"/>
          <w:color w:val="auto"/>
          <w:sz w:val="32"/>
          <w:szCs w:val="32"/>
          <w:highlight w:val="none"/>
        </w:rPr>
        <w:t>%，比上年增加</w:t>
      </w:r>
      <w:r>
        <w:rPr>
          <w:rFonts w:hint="eastAsia" w:ascii="仿宋" w:hAnsi="仿宋" w:eastAsia="仿宋" w:cs="仿宋"/>
          <w:color w:val="auto"/>
          <w:sz w:val="32"/>
          <w:szCs w:val="32"/>
          <w:highlight w:val="none"/>
          <w:lang w:val="en-US" w:eastAsia="zh-CN"/>
        </w:rPr>
        <w:t>0.37</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主要原因是：年中公用经费调剂使用。</w:t>
      </w:r>
      <w:r>
        <w:rPr>
          <w:rFonts w:hint="eastAsia" w:ascii="仿宋" w:hAnsi="仿宋" w:eastAsia="仿宋" w:cs="仿宋"/>
          <w:color w:val="auto"/>
          <w:sz w:val="32"/>
          <w:szCs w:val="32"/>
          <w:highlight w:val="none"/>
        </w:rPr>
        <w:t>其中：因公出国（境）费支出决算0.00万元，公务用车购置及运行费支出决算0.00万元，公务接待费支出决算</w:t>
      </w:r>
      <w:r>
        <w:rPr>
          <w:rFonts w:hint="eastAsia" w:ascii="仿宋" w:hAnsi="仿宋" w:eastAsia="仿宋" w:cs="仿宋"/>
          <w:color w:val="auto"/>
          <w:sz w:val="32"/>
          <w:szCs w:val="32"/>
          <w:highlight w:val="none"/>
          <w:lang w:val="en-US" w:eastAsia="zh-CN"/>
        </w:rPr>
        <w:t>0.37</w:t>
      </w:r>
      <w:r>
        <w:rPr>
          <w:rFonts w:hint="eastAsia" w:ascii="仿宋" w:hAnsi="仿宋" w:eastAsia="仿宋" w:cs="仿宋"/>
          <w:color w:val="auto"/>
          <w:sz w:val="32"/>
          <w:szCs w:val="32"/>
          <w:highlight w:val="none"/>
        </w:rPr>
        <w:t>万元。</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具体情况如下：</w:t>
      </w:r>
    </w:p>
    <w:p>
      <w:pPr>
        <w:keepNext w:val="0"/>
        <w:keepLines w:val="0"/>
        <w:pageBreakBefore w:val="0"/>
        <w:numPr>
          <w:ilvl w:val="0"/>
          <w:numId w:val="3"/>
        </w:numPr>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rPr>
        <w:t>因公出国（境）费支出0.00万元，完成年初预算的0%，比上年增加0.00 万元。</w:t>
      </w:r>
      <w:r>
        <w:rPr>
          <w:rFonts w:hint="eastAsia" w:ascii="仿宋" w:hAnsi="仿宋" w:eastAsia="仿宋" w:cs="仿宋"/>
          <w:color w:val="auto"/>
          <w:sz w:val="32"/>
          <w:szCs w:val="32"/>
          <w:highlight w:val="none"/>
          <w:lang w:val="en-US" w:eastAsia="zh-CN"/>
        </w:rPr>
        <w:t>原因是：</w:t>
      </w:r>
      <w:r>
        <w:rPr>
          <w:rFonts w:hint="eastAsia" w:ascii="仿宋" w:hAnsi="仿宋" w:eastAsia="仿宋" w:cs="仿宋"/>
          <w:color w:val="auto"/>
          <w:sz w:val="32"/>
          <w:szCs w:val="32"/>
          <w:lang w:val="en-US" w:eastAsia="zh-CN"/>
        </w:rPr>
        <w:t>无因公出国（境）人员。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rPr>
        <w:t>（二）公务用车购置及运行维护费</w:t>
      </w:r>
      <w:r>
        <w:rPr>
          <w:rFonts w:hint="eastAsia" w:ascii="仿宋" w:hAnsi="仿宋" w:eastAsia="仿宋" w:cs="仿宋"/>
          <w:color w:val="auto"/>
          <w:sz w:val="32"/>
          <w:u w:color="auto"/>
        </w:rPr>
        <w:t>0.00</w:t>
      </w:r>
      <w:r>
        <w:rPr>
          <w:rFonts w:hint="eastAsia" w:ascii="仿宋" w:hAnsi="仿宋" w:eastAsia="仿宋" w:cs="仿宋"/>
          <w:color w:val="auto"/>
          <w:sz w:val="32"/>
          <w:szCs w:val="32"/>
          <w:highlight w:val="none"/>
        </w:rPr>
        <w:t>万元。其中：公务用车购置支出</w:t>
      </w:r>
      <w:r>
        <w:rPr>
          <w:rFonts w:hint="eastAsia"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hint="eastAsia"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hint="eastAsia" w:ascii="仿宋" w:hAnsi="仿宋" w:eastAsia="仿宋" w:cs="仿宋"/>
          <w:color w:val="auto"/>
          <w:sz w:val="32"/>
          <w:u w:color="auto"/>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rPr>
        <w:t>主要原因是</w:t>
      </w:r>
      <w:bookmarkStart w:id="2" w:name="PO_part3A6B2IncReason1"/>
      <w:r>
        <w:rPr>
          <w:rFonts w:hint="eastAsia" w:ascii="仿宋" w:hAnsi="仿宋" w:eastAsia="仿宋" w:cs="仿宋"/>
          <w:color w:val="auto"/>
          <w:sz w:val="32"/>
          <w:szCs w:val="32"/>
        </w:rPr>
        <w:t>本部门无公务用车购置</w:t>
      </w:r>
      <w:bookmarkEnd w:id="2"/>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公务用车运行维护支出</w:t>
      </w:r>
      <w:r>
        <w:rPr>
          <w:rFonts w:hint="eastAsia"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hint="eastAsia"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hint="eastAsia" w:ascii="仿宋" w:hAnsi="仿宋" w:eastAsia="仿宋" w:cs="仿宋"/>
          <w:color w:val="auto"/>
          <w:sz w:val="32"/>
          <w:u w:color="auto"/>
        </w:rPr>
        <w:t>增加0.00</w:t>
      </w:r>
      <w:r>
        <w:rPr>
          <w:rFonts w:hint="eastAsia" w:ascii="仿宋" w:hAnsi="仿宋" w:eastAsia="仿宋" w:cs="仿宋"/>
          <w:color w:val="auto"/>
          <w:sz w:val="32"/>
          <w:szCs w:val="32"/>
          <w:highlight w:val="none"/>
        </w:rPr>
        <w:t>万元。2022年，</w:t>
      </w:r>
      <w:r>
        <w:rPr>
          <w:rFonts w:hint="eastAsia" w:ascii="仿宋" w:hAnsi="仿宋" w:eastAsia="仿宋" w:cs="仿宋"/>
          <w:color w:val="auto"/>
          <w:sz w:val="32"/>
          <w:u w:color="auto"/>
          <w:lang w:val="en-US" w:eastAsia="zh-CN"/>
        </w:rPr>
        <w:t>华山林场</w:t>
      </w:r>
      <w:r>
        <w:rPr>
          <w:rFonts w:hint="eastAsia" w:ascii="仿宋" w:hAnsi="仿宋" w:eastAsia="仿宋" w:cs="仿宋"/>
          <w:color w:val="auto"/>
          <w:sz w:val="32"/>
          <w:szCs w:val="32"/>
          <w:highlight w:val="none"/>
        </w:rPr>
        <w:t>开支财政拨款的公务用车保有量为</w:t>
      </w:r>
      <w:r>
        <w:rPr>
          <w:rFonts w:hint="eastAsia"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hint="eastAsia"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（三）公务接待费支出</w:t>
      </w:r>
      <w:r>
        <w:rPr>
          <w:rFonts w:hint="eastAsia" w:ascii="仿宋" w:hAnsi="仿宋" w:eastAsia="仿宋" w:cs="仿宋"/>
          <w:color w:val="auto"/>
          <w:sz w:val="32"/>
          <w:szCs w:val="32"/>
          <w:highlight w:val="none"/>
          <w:lang w:val="en-US" w:eastAsia="zh-CN"/>
        </w:rPr>
        <w:t>0.37</w:t>
      </w:r>
      <w:r>
        <w:rPr>
          <w:rFonts w:hint="eastAsia" w:ascii="仿宋" w:hAnsi="仿宋" w:eastAsia="仿宋" w:cs="仿宋"/>
          <w:color w:val="auto"/>
          <w:sz w:val="32"/>
          <w:szCs w:val="32"/>
          <w:highlight w:val="none"/>
        </w:rPr>
        <w:t>万元，完成年初预算的</w:t>
      </w:r>
      <w:r>
        <w:rPr>
          <w:rFonts w:hint="eastAsia" w:ascii="仿宋" w:hAnsi="仿宋" w:eastAsia="仿宋" w:cs="仿宋"/>
          <w:color w:val="auto"/>
          <w:sz w:val="32"/>
          <w:szCs w:val="32"/>
          <w:highlight w:val="none"/>
          <w:lang w:val="en-US" w:eastAsia="zh-CN"/>
        </w:rPr>
        <w:t>100</w:t>
      </w:r>
      <w:r>
        <w:rPr>
          <w:rFonts w:hint="eastAsia" w:ascii="仿宋" w:hAnsi="仿宋" w:eastAsia="仿宋" w:cs="仿宋"/>
          <w:color w:val="auto"/>
          <w:sz w:val="32"/>
          <w:szCs w:val="32"/>
          <w:highlight w:val="none"/>
        </w:rPr>
        <w:t>%， 比上年增加</w:t>
      </w:r>
      <w:r>
        <w:rPr>
          <w:rFonts w:hint="eastAsia" w:ascii="仿宋" w:hAnsi="仿宋" w:eastAsia="仿宋" w:cs="仿宋"/>
          <w:color w:val="auto"/>
          <w:sz w:val="32"/>
          <w:szCs w:val="32"/>
          <w:highlight w:val="none"/>
          <w:lang w:val="en-US" w:eastAsia="zh-CN"/>
        </w:rPr>
        <w:t>0.37</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主要原因是：用于广西林科院专家、上级林业主管部门领导、国家林业和草原局森林草原防火司到林场指导工作等业务接待。</w:t>
      </w:r>
      <w:r>
        <w:rPr>
          <w:rFonts w:hint="eastAsia" w:ascii="仿宋" w:hAnsi="仿宋" w:eastAsia="仿宋" w:cs="仿宋"/>
          <w:color w:val="auto"/>
          <w:sz w:val="32"/>
          <w:szCs w:val="32"/>
          <w:highlight w:val="none"/>
        </w:rPr>
        <w:t>国内公务接待批次</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次，人次</w:t>
      </w:r>
      <w:r>
        <w:rPr>
          <w:rFonts w:hint="eastAsia" w:ascii="仿宋" w:hAnsi="仿宋" w:eastAsia="仿宋" w:cs="仿宋"/>
          <w:color w:val="auto"/>
          <w:sz w:val="32"/>
          <w:szCs w:val="32"/>
          <w:highlight w:val="none"/>
          <w:lang w:val="en-US" w:eastAsia="zh-CN"/>
        </w:rPr>
        <w:t>40</w:t>
      </w:r>
      <w:r>
        <w:rPr>
          <w:rFonts w:hint="eastAsia" w:ascii="仿宋" w:hAnsi="仿宋" w:eastAsia="仿宋" w:cs="仿宋"/>
          <w:color w:val="auto"/>
          <w:sz w:val="32"/>
          <w:szCs w:val="32"/>
          <w:highlight w:val="none"/>
        </w:rPr>
        <w:t>次，国（境）外公务接待批次0次，人次0次。</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七、其他重要事项情况说明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 机关运行经费支出情况说明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本部门2022年度机关运行经费支出</w:t>
      </w:r>
      <w:r>
        <w:rPr>
          <w:rFonts w:hint="eastAsia" w:ascii="仿宋" w:hAnsi="仿宋" w:eastAsia="仿宋" w:cs="仿宋"/>
          <w:color w:val="auto"/>
          <w:sz w:val="32"/>
          <w:szCs w:val="32"/>
          <w:highlight w:val="none"/>
          <w:lang w:val="en-US" w:eastAsia="zh-CN"/>
        </w:rPr>
        <w:t>28.18</w:t>
      </w:r>
      <w:r>
        <w:rPr>
          <w:rFonts w:hint="eastAsia" w:ascii="仿宋" w:hAnsi="仿宋" w:eastAsia="仿宋" w:cs="仿宋"/>
          <w:color w:val="auto"/>
          <w:sz w:val="32"/>
          <w:szCs w:val="32"/>
          <w:highlight w:val="none"/>
        </w:rPr>
        <w:t>万元，比年初预算数减少</w:t>
      </w:r>
      <w:r>
        <w:rPr>
          <w:rFonts w:hint="eastAsia" w:ascii="仿宋" w:hAnsi="仿宋" w:eastAsia="仿宋" w:cs="仿宋"/>
          <w:color w:val="auto"/>
          <w:sz w:val="32"/>
          <w:szCs w:val="32"/>
          <w:highlight w:val="none"/>
          <w:lang w:val="en-US" w:eastAsia="zh-CN"/>
        </w:rPr>
        <w:t>1.82</w:t>
      </w:r>
      <w:r>
        <w:rPr>
          <w:rFonts w:hint="eastAsia" w:ascii="仿宋" w:hAnsi="仿宋" w:eastAsia="仿宋" w:cs="仿宋"/>
          <w:color w:val="auto"/>
          <w:sz w:val="32"/>
          <w:szCs w:val="32"/>
          <w:highlight w:val="none"/>
        </w:rPr>
        <w:t>万元，下降</w:t>
      </w:r>
      <w:r>
        <w:rPr>
          <w:rFonts w:hint="eastAsia" w:ascii="仿宋" w:hAnsi="仿宋" w:eastAsia="仿宋" w:cs="仿宋"/>
          <w:color w:val="auto"/>
          <w:sz w:val="32"/>
          <w:szCs w:val="32"/>
          <w:highlight w:val="none"/>
          <w:lang w:val="en-US" w:eastAsia="zh-CN"/>
        </w:rPr>
        <w:t>6.07</w:t>
      </w:r>
      <w:r>
        <w:rPr>
          <w:rFonts w:hint="eastAsia" w:ascii="仿宋" w:hAnsi="仿宋" w:eastAsia="仿宋" w:cs="仿宋"/>
          <w:color w:val="auto"/>
          <w:sz w:val="32"/>
          <w:szCs w:val="32"/>
          <w:highlight w:val="none"/>
        </w:rPr>
        <w:t>%，比上年决算数增加</w:t>
      </w:r>
      <w:r>
        <w:rPr>
          <w:rFonts w:hint="eastAsia" w:ascii="仿宋" w:hAnsi="仿宋" w:eastAsia="仿宋" w:cs="仿宋"/>
          <w:color w:val="auto"/>
          <w:sz w:val="32"/>
          <w:szCs w:val="32"/>
          <w:highlight w:val="none"/>
          <w:lang w:val="en-US" w:eastAsia="zh-CN"/>
        </w:rPr>
        <w:t>12.29</w:t>
      </w:r>
      <w:r>
        <w:rPr>
          <w:rFonts w:hint="eastAsia" w:ascii="仿宋" w:hAnsi="仿宋" w:eastAsia="仿宋" w:cs="仿宋"/>
          <w:color w:val="auto"/>
          <w:sz w:val="32"/>
          <w:szCs w:val="32"/>
          <w:highlight w:val="none"/>
        </w:rPr>
        <w:t>万元，增长</w:t>
      </w:r>
      <w:r>
        <w:rPr>
          <w:rFonts w:hint="eastAsia" w:ascii="仿宋" w:hAnsi="仿宋" w:eastAsia="仿宋" w:cs="仿宋"/>
          <w:color w:val="auto"/>
          <w:sz w:val="32"/>
          <w:szCs w:val="32"/>
          <w:highlight w:val="none"/>
          <w:lang w:val="en-US" w:eastAsia="zh-CN"/>
        </w:rPr>
        <w:t>77.34</w:t>
      </w:r>
      <w:r>
        <w:rPr>
          <w:rFonts w:hint="eastAsia" w:ascii="仿宋" w:hAnsi="仿宋" w:eastAsia="仿宋" w:cs="仿宋"/>
          <w:color w:val="auto"/>
          <w:sz w:val="32"/>
          <w:szCs w:val="32"/>
          <w:highlight w:val="none"/>
        </w:rPr>
        <w:t>%。主要原因是：办公设施设备购置经费增加</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差旅费增加。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（二）政府采购支出情况说明</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本部门2022年度政府采购支出总额</w:t>
      </w:r>
      <w:r>
        <w:rPr>
          <w:rFonts w:hint="eastAsia" w:ascii="仿宋" w:hAnsi="仿宋" w:eastAsia="仿宋" w:cs="仿宋"/>
          <w:color w:val="auto"/>
          <w:sz w:val="32"/>
          <w:szCs w:val="32"/>
          <w:highlight w:val="none"/>
          <w:lang w:val="en-US" w:eastAsia="zh-CN"/>
        </w:rPr>
        <w:t>6.462</w:t>
      </w:r>
      <w:r>
        <w:rPr>
          <w:rFonts w:hint="eastAsia" w:ascii="仿宋" w:hAnsi="仿宋" w:eastAsia="仿宋" w:cs="仿宋"/>
          <w:color w:val="auto"/>
          <w:sz w:val="32"/>
          <w:szCs w:val="32"/>
          <w:highlight w:val="none"/>
        </w:rPr>
        <w:t>万元，其中：政府采购货物支出</w:t>
      </w:r>
      <w:r>
        <w:rPr>
          <w:rFonts w:hint="eastAsia" w:ascii="仿宋" w:hAnsi="仿宋" w:eastAsia="仿宋" w:cs="仿宋"/>
          <w:color w:val="auto"/>
          <w:sz w:val="32"/>
          <w:szCs w:val="32"/>
          <w:highlight w:val="none"/>
          <w:lang w:val="en-US" w:eastAsia="zh-CN"/>
        </w:rPr>
        <w:t>6.462</w:t>
      </w:r>
      <w:r>
        <w:rPr>
          <w:rFonts w:hint="eastAsia" w:ascii="仿宋" w:hAnsi="仿宋" w:eastAsia="仿宋" w:cs="仿宋"/>
          <w:color w:val="auto"/>
          <w:sz w:val="32"/>
          <w:szCs w:val="32"/>
          <w:highlight w:val="none"/>
        </w:rPr>
        <w:t>万元、政府采购工程支出0.00万元、政府采购服务支出1005.77万元。授予中小企业合同金额0.00万元，占政府采购支出总额的0.00%，其中：授予小微企业合同金额0.00万元，占授予中小企业合同金额的0%。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（三）国有资产占用情况说明</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截至2022年12月31日，本部门共有车辆0辆，其中：副部（省）级领导干部用车0辆、机要通信用车0辆、应急保障用车0辆、执法执勤用车0辆、特种专业技术用车0辆、其他用车0辆；单位价值50万元以上通用设备0台（套）；单位价值</w:t>
      </w:r>
      <w:r>
        <w:rPr>
          <w:rFonts w:hint="eastAsia" w:ascii="仿宋" w:hAnsi="仿宋" w:eastAsia="仿宋" w:cs="仿宋"/>
          <w:color w:val="auto"/>
          <w:sz w:val="32"/>
          <w:szCs w:val="32"/>
          <w:highlight w:val="none"/>
          <w:lang w:val="en-US" w:eastAsia="zh-CN"/>
        </w:rPr>
        <w:t>100万</w:t>
      </w:r>
      <w:r>
        <w:rPr>
          <w:rFonts w:hint="eastAsia" w:ascii="仿宋" w:hAnsi="仿宋" w:eastAsia="仿宋" w:cs="仿宋"/>
          <w:color w:val="auto"/>
          <w:sz w:val="32"/>
          <w:szCs w:val="32"/>
          <w:highlight w:val="none"/>
        </w:rPr>
        <w:t>元以上专用设备0台（套）。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（四）预算绩效管理工作开展情况</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1.绩效管理工作开展情况。</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根据财政预算管理要求，本部门组织对</w:t>
      </w:r>
      <w:r>
        <w:rPr>
          <w:rFonts w:hint="eastAsia" w:ascii="仿宋" w:hAnsi="仿宋" w:eastAsia="仿宋" w:cs="仿宋"/>
          <w:color w:val="auto"/>
          <w:sz w:val="32"/>
          <w:szCs w:val="32"/>
          <w:lang w:eastAsia="zh-CN"/>
        </w:rPr>
        <w:t>2022年</w:t>
      </w:r>
      <w:r>
        <w:rPr>
          <w:rFonts w:hint="eastAsia" w:ascii="仿宋" w:hAnsi="仿宋" w:eastAsia="仿宋" w:cs="仿宋"/>
          <w:color w:val="auto"/>
          <w:sz w:val="32"/>
          <w:szCs w:val="32"/>
        </w:rPr>
        <w:t>度一般公共预算项目支出全面开展绩效自评。其中，一</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个，二</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个，共涉及资金</w:t>
      </w:r>
      <w:r>
        <w:rPr>
          <w:rFonts w:hint="eastAsia" w:ascii="仿宋" w:hAnsi="仿宋" w:eastAsia="仿宋" w:cs="仿宋"/>
          <w:color w:val="auto"/>
          <w:sz w:val="32"/>
          <w:szCs w:val="32"/>
          <w:lang w:val="en-US" w:eastAsia="zh-CN"/>
        </w:rPr>
        <w:t>55.03</w:t>
      </w:r>
      <w:r>
        <w:rPr>
          <w:rFonts w:hint="eastAsia" w:ascii="仿宋" w:hAnsi="仿宋" w:eastAsia="仿宋" w:cs="仿宋"/>
          <w:color w:val="auto"/>
          <w:sz w:val="32"/>
          <w:szCs w:val="32"/>
        </w:rPr>
        <w:t>万元，占一般公共预算项目支出总额的</w:t>
      </w:r>
      <w:r>
        <w:rPr>
          <w:rFonts w:hint="eastAsia" w:ascii="仿宋" w:hAnsi="仿宋" w:eastAsia="仿宋" w:cs="仿宋"/>
          <w:color w:val="auto"/>
          <w:sz w:val="32"/>
          <w:szCs w:val="32"/>
          <w:lang w:val="en-US" w:eastAsia="zh-CN"/>
        </w:rPr>
        <w:t>15.52</w:t>
      </w:r>
      <w:r>
        <w:rPr>
          <w:rFonts w:hint="eastAsia" w:ascii="仿宋" w:hAnsi="仿宋" w:eastAsia="仿宋" w:cs="仿宋"/>
          <w:color w:val="auto"/>
          <w:sz w:val="32"/>
          <w:szCs w:val="32"/>
        </w:rPr>
        <w:t>%。组织对</w:t>
      </w:r>
      <w:r>
        <w:rPr>
          <w:rFonts w:hint="eastAsia" w:ascii="仿宋" w:hAnsi="仿宋" w:eastAsia="仿宋" w:cs="仿宋"/>
          <w:color w:val="auto"/>
          <w:sz w:val="32"/>
          <w:szCs w:val="32"/>
          <w:lang w:eastAsia="zh-CN"/>
        </w:rPr>
        <w:t>2022年</w:t>
      </w:r>
      <w:r>
        <w:rPr>
          <w:rFonts w:hint="eastAsia" w:ascii="仿宋" w:hAnsi="仿宋" w:eastAsia="仿宋" w:cs="仿宋"/>
          <w:color w:val="auto"/>
          <w:sz w:val="32"/>
          <w:szCs w:val="32"/>
        </w:rPr>
        <w:t>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等</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个政府性基金预算项目支出开展绩效自评，共涉及资金</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万元，占政府性基金预算项目支出总额的</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%。组织对</w:t>
      </w:r>
      <w:r>
        <w:rPr>
          <w:rFonts w:hint="eastAsia" w:ascii="仿宋" w:hAnsi="仿宋" w:eastAsia="仿宋" w:cs="仿宋"/>
          <w:color w:val="auto"/>
          <w:sz w:val="32"/>
          <w:szCs w:val="32"/>
          <w:lang w:eastAsia="zh-CN"/>
        </w:rPr>
        <w:t>2022年</w:t>
      </w:r>
      <w:r>
        <w:rPr>
          <w:rFonts w:hint="eastAsia" w:ascii="仿宋" w:hAnsi="仿宋" w:eastAsia="仿宋" w:cs="仿宋"/>
          <w:color w:val="auto"/>
          <w:sz w:val="32"/>
          <w:szCs w:val="32"/>
        </w:rPr>
        <w:t>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等</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个国有资本经营预算项目支出开展绩效自评，共涉及资金</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万元，占国有资本经营预算项目支出总额的</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组织对</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等</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个项目进行了部门评价，涉及一般公共预算支出</w:t>
      </w:r>
      <w:r>
        <w:rPr>
          <w:rFonts w:hint="eastAsia" w:ascii="仿宋" w:hAnsi="仿宋" w:eastAsia="仿宋" w:cs="仿宋"/>
          <w:color w:val="auto"/>
          <w:sz w:val="32"/>
          <w:szCs w:val="32"/>
          <w:lang w:val="en-US" w:eastAsia="zh-CN"/>
        </w:rPr>
        <w:t>1997.29</w:t>
      </w:r>
      <w:r>
        <w:rPr>
          <w:rFonts w:hint="eastAsia" w:ascii="仿宋" w:hAnsi="仿宋" w:eastAsia="仿宋" w:cs="仿宋"/>
          <w:color w:val="auto"/>
          <w:sz w:val="32"/>
          <w:szCs w:val="32"/>
        </w:rPr>
        <w:t>万元，政府性基金预算支出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万元，国有资本经营预算支出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万元。组织对</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个部门（单位）开展整体支出绩效评价试点，涉及一般公共预算支出</w:t>
      </w:r>
      <w:r>
        <w:rPr>
          <w:rFonts w:hint="eastAsia" w:ascii="仿宋" w:hAnsi="仿宋" w:eastAsia="仿宋" w:cs="仿宋"/>
          <w:color w:val="auto"/>
          <w:sz w:val="32"/>
          <w:szCs w:val="32"/>
          <w:lang w:val="en-US" w:eastAsia="zh-CN"/>
        </w:rPr>
        <w:t>1997.29</w:t>
      </w:r>
      <w:r>
        <w:rPr>
          <w:rFonts w:hint="eastAsia" w:ascii="仿宋" w:hAnsi="仿宋" w:eastAsia="仿宋" w:cs="仿宋"/>
          <w:color w:val="auto"/>
          <w:sz w:val="32"/>
          <w:szCs w:val="32"/>
        </w:rPr>
        <w:t>万元，政府性基金预算支出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万元。从评价情况来看，</w:t>
      </w:r>
      <w:r>
        <w:rPr>
          <w:rFonts w:hint="eastAsia" w:ascii="仿宋" w:hAnsi="仿宋" w:eastAsia="仿宋" w:cs="仿宋"/>
          <w:color w:val="auto"/>
          <w:sz w:val="32"/>
          <w:szCs w:val="32"/>
          <w:lang w:val="en-US" w:eastAsia="zh-CN"/>
        </w:rPr>
        <w:t>部门整体绩效自评得分100分，自评等级一等。完成年初基本支出、项目支出预算目标，完成年度生产任务及县委、县政府及上级主管部门交办的其他事项。</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2.部门决算中项目绩效自评结果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default" w:ascii="仿宋" w:hAnsi="仿宋" w:eastAsia="仿宋" w:cs="仿宋"/>
          <w:kern w:val="0"/>
          <w:sz w:val="32"/>
          <w:szCs w:val="32"/>
          <w:shd w:val="clear" w:fill="D6E6FF"/>
          <w:lang w:val="en-US" w:eastAsia="zh-CN" w:bidi="ar"/>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shd w:val="clear" w:color="auto" w:fill="auto"/>
          <w14:textFill>
            <w14:solidFill>
              <w14:schemeClr w14:val="tx1"/>
            </w14:solidFill>
          </w14:textFill>
        </w:rPr>
        <w:t>，</w:t>
      </w:r>
      <w:r>
        <w:rPr>
          <w:rFonts w:hint="eastAsia" w:ascii="仿宋" w:hAnsi="仿宋" w:eastAsia="仿宋" w:cs="仿宋"/>
          <w:kern w:val="0"/>
          <w:sz w:val="32"/>
          <w:szCs w:val="32"/>
          <w:shd w:val="clear" w:color="auto" w:fill="auto"/>
          <w:lang w:val="en-US" w:eastAsia="zh-CN" w:bidi="ar"/>
        </w:rPr>
        <w:t>对12个项目开展了绩效自评，结果如下：</w:t>
      </w:r>
    </w:p>
    <w:tbl>
      <w:tblPr>
        <w:tblStyle w:val="6"/>
        <w:tblW w:w="108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3"/>
        <w:gridCol w:w="1785"/>
        <w:gridCol w:w="675"/>
        <w:gridCol w:w="405"/>
        <w:gridCol w:w="720"/>
        <w:gridCol w:w="840"/>
        <w:gridCol w:w="735"/>
        <w:gridCol w:w="645"/>
        <w:gridCol w:w="645"/>
        <w:gridCol w:w="360"/>
        <w:gridCol w:w="404"/>
        <w:gridCol w:w="1730"/>
        <w:gridCol w:w="1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2" w:hRule="exact"/>
        </w:trPr>
        <w:tc>
          <w:tcPr>
            <w:tcW w:w="453"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shd w:val="clear" w:color="auto" w:fill="auto"/>
              </w:rPr>
            </w:pPr>
            <w:r>
              <w:rPr>
                <w:rFonts w:hint="eastAsia" w:ascii="宋体" w:hAnsi="宋体" w:eastAsia="宋体" w:cs="宋体"/>
                <w:i w:val="0"/>
                <w:iCs w:val="0"/>
                <w:color w:val="000000"/>
                <w:kern w:val="0"/>
                <w:sz w:val="20"/>
                <w:szCs w:val="20"/>
                <w:u w:val="none"/>
                <w:shd w:val="clear" w:color="auto" w:fill="auto"/>
                <w:lang w:val="en-US" w:eastAsia="zh-CN" w:bidi="ar"/>
              </w:rPr>
              <w:t>序列</w:t>
            </w:r>
          </w:p>
        </w:tc>
        <w:tc>
          <w:tcPr>
            <w:tcW w:w="1785"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shd w:val="clear" w:color="auto" w:fill="auto"/>
              </w:rPr>
            </w:pPr>
            <w:r>
              <w:rPr>
                <w:rFonts w:hint="eastAsia" w:ascii="宋体" w:hAnsi="宋体" w:eastAsia="宋体" w:cs="宋体"/>
                <w:i w:val="0"/>
                <w:iCs w:val="0"/>
                <w:color w:val="000000"/>
                <w:kern w:val="0"/>
                <w:sz w:val="20"/>
                <w:szCs w:val="20"/>
                <w:u w:val="none"/>
                <w:shd w:val="clear" w:color="auto" w:fill="auto"/>
                <w:lang w:val="en-US" w:eastAsia="zh-CN" w:bidi="ar"/>
              </w:rPr>
              <w:t>名称</w:t>
            </w:r>
          </w:p>
        </w:tc>
        <w:tc>
          <w:tcPr>
            <w:tcW w:w="675"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shd w:val="clear" w:color="auto" w:fill="auto"/>
              </w:rPr>
            </w:pPr>
            <w:r>
              <w:rPr>
                <w:rFonts w:hint="eastAsia" w:ascii="宋体" w:hAnsi="宋体" w:eastAsia="宋体" w:cs="宋体"/>
                <w:i w:val="0"/>
                <w:iCs w:val="0"/>
                <w:color w:val="000000"/>
                <w:kern w:val="0"/>
                <w:sz w:val="20"/>
                <w:szCs w:val="20"/>
                <w:u w:val="none"/>
                <w:shd w:val="clear" w:color="auto" w:fill="auto"/>
                <w:lang w:val="en-US" w:eastAsia="zh-CN" w:bidi="ar"/>
              </w:rPr>
              <w:t>年初预算数</w:t>
            </w:r>
          </w:p>
        </w:tc>
        <w:tc>
          <w:tcPr>
            <w:tcW w:w="405"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shd w:val="clear" w:color="auto" w:fill="auto"/>
              </w:rPr>
            </w:pPr>
            <w:r>
              <w:rPr>
                <w:rFonts w:hint="eastAsia" w:ascii="宋体" w:hAnsi="宋体" w:eastAsia="宋体" w:cs="宋体"/>
                <w:i w:val="0"/>
                <w:iCs w:val="0"/>
                <w:color w:val="000000"/>
                <w:kern w:val="0"/>
                <w:sz w:val="20"/>
                <w:szCs w:val="20"/>
                <w:u w:val="none"/>
                <w:shd w:val="clear" w:color="auto" w:fill="auto"/>
                <w:lang w:val="en-US" w:eastAsia="zh-CN" w:bidi="ar"/>
              </w:rPr>
              <w:t>资金归口处室</w:t>
            </w:r>
          </w:p>
        </w:tc>
        <w:tc>
          <w:tcPr>
            <w:tcW w:w="72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shd w:val="clear" w:color="auto" w:fill="auto"/>
              </w:rPr>
            </w:pPr>
            <w:r>
              <w:rPr>
                <w:rFonts w:hint="eastAsia" w:ascii="宋体" w:hAnsi="宋体" w:eastAsia="宋体" w:cs="宋体"/>
                <w:i w:val="0"/>
                <w:iCs w:val="0"/>
                <w:color w:val="000000"/>
                <w:kern w:val="0"/>
                <w:sz w:val="20"/>
                <w:szCs w:val="20"/>
                <w:u w:val="none"/>
                <w:shd w:val="clear" w:color="auto" w:fill="auto"/>
                <w:lang w:val="en-US" w:eastAsia="zh-CN" w:bidi="ar"/>
              </w:rPr>
              <w:t>当年预算数</w:t>
            </w:r>
          </w:p>
        </w:tc>
        <w:tc>
          <w:tcPr>
            <w:tcW w:w="84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shd w:val="clear" w:color="auto" w:fill="auto"/>
              </w:rPr>
            </w:pPr>
            <w:r>
              <w:rPr>
                <w:rFonts w:hint="eastAsia" w:ascii="宋体" w:hAnsi="宋体" w:eastAsia="宋体" w:cs="宋体"/>
                <w:i w:val="0"/>
                <w:iCs w:val="0"/>
                <w:color w:val="000000"/>
                <w:kern w:val="0"/>
                <w:sz w:val="20"/>
                <w:szCs w:val="20"/>
                <w:u w:val="none"/>
                <w:shd w:val="clear" w:color="auto" w:fill="auto"/>
                <w:lang w:val="en-US" w:eastAsia="zh-CN" w:bidi="ar"/>
              </w:rPr>
              <w:t>全年执行数</w:t>
            </w:r>
          </w:p>
        </w:tc>
        <w:tc>
          <w:tcPr>
            <w:tcW w:w="735"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shd w:val="clear" w:color="auto" w:fill="auto"/>
              </w:rPr>
            </w:pPr>
            <w:r>
              <w:rPr>
                <w:rFonts w:hint="eastAsia" w:ascii="宋体" w:hAnsi="宋体" w:eastAsia="宋体" w:cs="宋体"/>
                <w:i w:val="0"/>
                <w:iCs w:val="0"/>
                <w:color w:val="000000"/>
                <w:kern w:val="0"/>
                <w:sz w:val="20"/>
                <w:szCs w:val="20"/>
                <w:u w:val="none"/>
                <w:shd w:val="clear" w:color="auto" w:fill="auto"/>
                <w:lang w:val="en-US" w:eastAsia="zh-CN" w:bidi="ar"/>
              </w:rPr>
              <w:t>项目总金额</w:t>
            </w:r>
          </w:p>
        </w:tc>
        <w:tc>
          <w:tcPr>
            <w:tcW w:w="645"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shd w:val="clear" w:color="auto" w:fill="auto"/>
              </w:rPr>
            </w:pPr>
            <w:r>
              <w:rPr>
                <w:rFonts w:hint="eastAsia" w:ascii="宋体" w:hAnsi="宋体" w:eastAsia="宋体" w:cs="宋体"/>
                <w:i w:val="0"/>
                <w:iCs w:val="0"/>
                <w:color w:val="000000"/>
                <w:kern w:val="0"/>
                <w:sz w:val="20"/>
                <w:szCs w:val="20"/>
                <w:u w:val="none"/>
                <w:shd w:val="clear" w:color="auto" w:fill="auto"/>
                <w:lang w:val="en-US" w:eastAsia="zh-CN" w:bidi="ar"/>
              </w:rPr>
              <w:t>预算执行率</w:t>
            </w:r>
          </w:p>
        </w:tc>
        <w:tc>
          <w:tcPr>
            <w:tcW w:w="645"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shd w:val="clear" w:color="auto" w:fill="auto"/>
              </w:rPr>
            </w:pPr>
            <w:r>
              <w:rPr>
                <w:rFonts w:hint="eastAsia" w:ascii="宋体" w:hAnsi="宋体" w:eastAsia="宋体" w:cs="宋体"/>
                <w:i w:val="0"/>
                <w:iCs w:val="0"/>
                <w:color w:val="000000"/>
                <w:kern w:val="0"/>
                <w:sz w:val="20"/>
                <w:szCs w:val="20"/>
                <w:u w:val="none"/>
                <w:shd w:val="clear" w:color="auto" w:fill="auto"/>
                <w:lang w:val="en-US" w:eastAsia="zh-CN" w:bidi="ar"/>
              </w:rPr>
              <w:t>得分</w:t>
            </w:r>
          </w:p>
        </w:tc>
        <w:tc>
          <w:tcPr>
            <w:tcW w:w="36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shd w:val="clear" w:color="auto" w:fill="auto"/>
              </w:rPr>
            </w:pPr>
            <w:r>
              <w:rPr>
                <w:rFonts w:hint="eastAsia" w:ascii="宋体" w:hAnsi="宋体" w:eastAsia="宋体" w:cs="宋体"/>
                <w:i w:val="0"/>
                <w:iCs w:val="0"/>
                <w:color w:val="000000"/>
                <w:kern w:val="0"/>
                <w:sz w:val="20"/>
                <w:szCs w:val="20"/>
                <w:u w:val="none"/>
                <w:shd w:val="clear" w:color="auto" w:fill="auto"/>
                <w:lang w:val="en-US" w:eastAsia="zh-CN" w:bidi="ar"/>
              </w:rPr>
              <w:t>自评结论</w:t>
            </w:r>
          </w:p>
        </w:tc>
        <w:tc>
          <w:tcPr>
            <w:tcW w:w="404"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shd w:val="clear" w:color="auto" w:fill="auto"/>
              </w:rPr>
            </w:pPr>
            <w:r>
              <w:rPr>
                <w:rFonts w:hint="eastAsia" w:ascii="宋体" w:hAnsi="宋体" w:eastAsia="宋体" w:cs="宋体"/>
                <w:i w:val="0"/>
                <w:iCs w:val="0"/>
                <w:color w:val="000000"/>
                <w:kern w:val="0"/>
                <w:sz w:val="20"/>
                <w:szCs w:val="20"/>
                <w:u w:val="none"/>
                <w:shd w:val="clear" w:color="auto" w:fill="auto"/>
                <w:lang w:val="en-US" w:eastAsia="zh-CN" w:bidi="ar"/>
              </w:rPr>
              <w:t>截止天数</w:t>
            </w:r>
          </w:p>
        </w:tc>
        <w:tc>
          <w:tcPr>
            <w:tcW w:w="173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shd w:val="clear" w:color="auto" w:fill="auto"/>
              </w:rPr>
            </w:pPr>
            <w:r>
              <w:rPr>
                <w:rFonts w:hint="eastAsia" w:ascii="宋体" w:hAnsi="宋体" w:eastAsia="宋体" w:cs="宋体"/>
                <w:i w:val="0"/>
                <w:iCs w:val="0"/>
                <w:color w:val="000000"/>
                <w:kern w:val="0"/>
                <w:sz w:val="20"/>
                <w:szCs w:val="20"/>
                <w:u w:val="none"/>
                <w:shd w:val="clear" w:color="auto" w:fill="auto"/>
                <w:lang w:val="en-US" w:eastAsia="zh-CN" w:bidi="ar"/>
              </w:rPr>
              <w:t>一级项目名称</w:t>
            </w:r>
          </w:p>
        </w:tc>
        <w:tc>
          <w:tcPr>
            <w:tcW w:w="1404"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shd w:val="clear" w:color="auto" w:fill="auto"/>
              </w:rPr>
            </w:pPr>
            <w:r>
              <w:rPr>
                <w:rFonts w:hint="eastAsia" w:ascii="宋体" w:hAnsi="宋体" w:eastAsia="宋体" w:cs="宋体"/>
                <w:i w:val="0"/>
                <w:iCs w:val="0"/>
                <w:color w:val="000000"/>
                <w:kern w:val="0"/>
                <w:sz w:val="20"/>
                <w:szCs w:val="20"/>
                <w:u w:val="none"/>
                <w:shd w:val="clear" w:color="auto" w:fill="auto"/>
                <w:lang w:val="en-US" w:eastAsia="zh-CN" w:bidi="ar"/>
              </w:rPr>
              <w:t>一级项目编码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各分场、场部基础建设费</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50000</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52119</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50285.18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274000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96.48</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99.65</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一等</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专线资金项目</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451226210000000004001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自治区财政林业改革发展资金(林木良种补助2022)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0</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500000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500000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500000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100</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一等</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自治区财政林业改革发展资金(林木良种补助)</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451226220000000004087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病虫害防治费</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18500</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22390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22390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36100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100</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一等</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专线资金项目</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451226210000000004001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2022年生态保护和修复支撑体系专项中央基建投资</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0</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08</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300000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300000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300000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90</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一等</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生态保护和修复支撑体系专项中央基建投资</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451226220000000004154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林业技术推广与转化</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13000</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41580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37576</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26000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90.37</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99.04</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一等</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专线资金项目</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451226210000000004001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营林防火生产费</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269300</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269300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269300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1084300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100</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一等</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专线资金项目</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451226210000000004001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林地综合整治业务费</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60000</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116251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116244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189000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99.99</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100</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一等</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专线资金项目</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451226210000000004001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森林防火经费</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23000</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25540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25517.4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154300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99.91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99.99</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一等</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专线资金项目</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451226210000000004001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华山馨园桥维修项目</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0</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108953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108953</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108953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100</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一等</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运行维护项目</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451226210000000004000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党支部组织生活费</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6200</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6200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4770.4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17400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76.94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95.38</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一等</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运行维护项目</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451226210000000004000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奖励性补贴</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0</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788083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788083</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1354083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90</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一等</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奖励性补贴</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451226220000000004233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2017-2018年退休职工养老金差额补发</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0</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09</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2109700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2109700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100</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w w:val="90"/>
                <w:sz w:val="16"/>
                <w:szCs w:val="16"/>
                <w:u w:val="none"/>
              </w:rPr>
            </w:pPr>
            <w:r>
              <w:rPr>
                <w:rFonts w:hint="eastAsia" w:ascii="宋体" w:hAnsi="宋体" w:eastAsia="宋体" w:cs="宋体"/>
                <w:i w:val="0"/>
                <w:iCs w:val="0"/>
                <w:color w:val="000000"/>
                <w:w w:val="90"/>
                <w:kern w:val="0"/>
                <w:sz w:val="16"/>
                <w:szCs w:val="16"/>
                <w:u w:val="none"/>
                <w:lang w:val="en-US" w:eastAsia="zh-CN" w:bidi="ar"/>
              </w:rPr>
              <w:t>一等</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运行维护项目</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451226210000000004000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Helvetica" w:hAnsi="Helvetica" w:eastAsia="Helvetica" w:cs="Helvetica"/>
          <w:kern w:val="0"/>
          <w:sz w:val="21"/>
          <w:szCs w:val="21"/>
          <w:shd w:val="clear" w:fill="D6E6FF"/>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部分项目预算执行率未达100%。原因：</w:t>
      </w:r>
      <w:r>
        <w:rPr>
          <w:rFonts w:hint="eastAsia" w:ascii="仿宋" w:hAnsi="仿宋" w:eastAsia="仿宋" w:cs="仿宋"/>
          <w:color w:val="000000" w:themeColor="text1"/>
          <w:sz w:val="32"/>
          <w:szCs w:val="32"/>
          <w14:textFill>
            <w14:solidFill>
              <w14:schemeClr w14:val="tx1"/>
            </w14:solidFill>
          </w14:textFill>
        </w:rPr>
        <w:t>一是</w:t>
      </w:r>
      <w:r>
        <w:rPr>
          <w:rFonts w:hint="eastAsia" w:ascii="仿宋" w:hAnsi="仿宋" w:eastAsia="仿宋" w:cs="仿宋"/>
          <w:color w:val="000000" w:themeColor="text1"/>
          <w:sz w:val="32"/>
          <w:szCs w:val="32"/>
          <w:lang w:val="en-US" w:eastAsia="zh-CN"/>
          <w14:textFill>
            <w14:solidFill>
              <w14:schemeClr w14:val="tx1"/>
            </w14:solidFill>
          </w14:textFill>
        </w:rPr>
        <w:t>项目进度缓慢，未及时做好报帐手续。</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财政资金紧张，部分资金未完成支付，导致执行率未达100%</w:t>
      </w:r>
      <w:r>
        <w:rPr>
          <w:rFonts w:hint="eastAsia" w:ascii="仿宋" w:hAnsi="仿宋" w:eastAsia="仿宋" w:cs="仿宋"/>
          <w:color w:val="000000" w:themeColor="text1"/>
          <w:sz w:val="32"/>
          <w:szCs w:val="32"/>
          <w14:textFill>
            <w14:solidFill>
              <w14:schemeClr w14:val="tx1"/>
            </w14:solidFill>
          </w14:textFill>
        </w:rPr>
        <w:t>；。下一步改进措施：一是</w:t>
      </w:r>
      <w:r>
        <w:rPr>
          <w:rFonts w:hint="eastAsia" w:ascii="仿宋" w:hAnsi="仿宋" w:eastAsia="仿宋" w:cs="仿宋"/>
          <w:color w:val="000000" w:themeColor="text1"/>
          <w:sz w:val="32"/>
          <w:szCs w:val="32"/>
          <w:lang w:val="en-US" w:eastAsia="zh-CN"/>
          <w14:textFill>
            <w14:solidFill>
              <w14:schemeClr w14:val="tx1"/>
            </w14:solidFill>
          </w14:textFill>
        </w:rPr>
        <w:t>及时做好项目验收结算报帐</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财政加快支付进度，保障项目资金执行率达100%。</w:t>
      </w:r>
    </w:p>
    <w:p>
      <w:pP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br w:type="page"/>
      </w:r>
    </w:p>
    <w:p>
      <w:pPr>
        <w:jc w:val="both"/>
        <w:rPr>
          <w:rFonts w:hint="eastAsia" w:ascii="仿宋" w:hAnsi="仿宋" w:eastAsia="仿宋" w:cs="仿宋"/>
          <w:color w:val="FF0000"/>
          <w:sz w:val="32"/>
          <w:szCs w:val="32"/>
        </w:rPr>
        <w:sectPr>
          <w:pgSz w:w="11906" w:h="16838"/>
          <w:pgMar w:top="1440" w:right="1236" w:bottom="1440" w:left="952" w:header="851" w:footer="992" w:gutter="0"/>
          <w:cols w:space="0" w:num="1"/>
          <w:docGrid w:type="lines" w:linePitch="312" w:charSpace="0"/>
        </w:sect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val="en-US" w:eastAsia="zh-CN"/>
        </w:rPr>
        <w:t>环江县</w:t>
      </w:r>
      <w:r>
        <w:rPr>
          <w:rFonts w:ascii="仿宋" w:hAnsi="仿宋" w:eastAsia="仿宋" w:cs="仿宋"/>
          <w:sz w:val="32"/>
          <w:u w:color="auto"/>
        </w:rPr>
        <w:t>财政部门当年拨付的资金。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val="en-US" w:eastAsia="zh-CN"/>
        </w:rPr>
        <w:t>环江县</w:t>
      </w:r>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236" w:bottom="1440" w:left="952"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20B0504020202030204"/>
    <w:charset w:val="00"/>
    <w:family w:val="auto"/>
    <w:pitch w:val="default"/>
    <w:sig w:usb0="00000000" w:usb1="00000000" w:usb2="00000000" w:usb3="00000000" w:csb0="00000093"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726519D3"/>
    <w:multiLevelType w:val="singleLevel"/>
    <w:tmpl w:val="726519D3"/>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00172A27"/>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3F7483"/>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4EDB"/>
    <w:rsid w:val="00AA78EE"/>
    <w:rsid w:val="00AB53E1"/>
    <w:rsid w:val="00AE5F66"/>
    <w:rsid w:val="00B07A0B"/>
    <w:rsid w:val="00B22F28"/>
    <w:rsid w:val="00B34633"/>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0D5C30"/>
    <w:rsid w:val="01234E98"/>
    <w:rsid w:val="015F1951"/>
    <w:rsid w:val="01B661C6"/>
    <w:rsid w:val="01E83B97"/>
    <w:rsid w:val="020C171D"/>
    <w:rsid w:val="02105EC9"/>
    <w:rsid w:val="0216715F"/>
    <w:rsid w:val="02E0291A"/>
    <w:rsid w:val="03AF30E5"/>
    <w:rsid w:val="0438145A"/>
    <w:rsid w:val="045875B5"/>
    <w:rsid w:val="04E54546"/>
    <w:rsid w:val="05064296"/>
    <w:rsid w:val="050B3064"/>
    <w:rsid w:val="05477DE2"/>
    <w:rsid w:val="055B3DBE"/>
    <w:rsid w:val="05992762"/>
    <w:rsid w:val="05DC58AA"/>
    <w:rsid w:val="05F41ACE"/>
    <w:rsid w:val="07340F71"/>
    <w:rsid w:val="07B0770E"/>
    <w:rsid w:val="08AF0BCB"/>
    <w:rsid w:val="0928437A"/>
    <w:rsid w:val="0942143F"/>
    <w:rsid w:val="09926C3F"/>
    <w:rsid w:val="0B2E7CE5"/>
    <w:rsid w:val="0B761DC5"/>
    <w:rsid w:val="0B930BB5"/>
    <w:rsid w:val="0C0666EB"/>
    <w:rsid w:val="0C4E6EF7"/>
    <w:rsid w:val="0D0928B3"/>
    <w:rsid w:val="0D100297"/>
    <w:rsid w:val="0D202B45"/>
    <w:rsid w:val="0D3C254C"/>
    <w:rsid w:val="0D544A14"/>
    <w:rsid w:val="0D6F1519"/>
    <w:rsid w:val="0D992EEC"/>
    <w:rsid w:val="0E39045D"/>
    <w:rsid w:val="0E7F107C"/>
    <w:rsid w:val="0F214C70"/>
    <w:rsid w:val="0F854CB9"/>
    <w:rsid w:val="0F8D4C87"/>
    <w:rsid w:val="0F9339B1"/>
    <w:rsid w:val="10161FDD"/>
    <w:rsid w:val="10505FAA"/>
    <w:rsid w:val="105F7E7E"/>
    <w:rsid w:val="11126856"/>
    <w:rsid w:val="1155113E"/>
    <w:rsid w:val="11E56B5B"/>
    <w:rsid w:val="12445B3A"/>
    <w:rsid w:val="125C77AB"/>
    <w:rsid w:val="13C83D86"/>
    <w:rsid w:val="13D90378"/>
    <w:rsid w:val="14B15CF2"/>
    <w:rsid w:val="14C10AEB"/>
    <w:rsid w:val="14CB726E"/>
    <w:rsid w:val="153637FF"/>
    <w:rsid w:val="15B90272"/>
    <w:rsid w:val="161E2FA4"/>
    <w:rsid w:val="165E1841"/>
    <w:rsid w:val="166E657F"/>
    <w:rsid w:val="16EB49D1"/>
    <w:rsid w:val="174E374F"/>
    <w:rsid w:val="174F49CD"/>
    <w:rsid w:val="17AF353E"/>
    <w:rsid w:val="17E92249"/>
    <w:rsid w:val="18674F25"/>
    <w:rsid w:val="18D304F1"/>
    <w:rsid w:val="199E2BFC"/>
    <w:rsid w:val="199F0ECE"/>
    <w:rsid w:val="19CB099F"/>
    <w:rsid w:val="19EC3571"/>
    <w:rsid w:val="19F32577"/>
    <w:rsid w:val="19F45B80"/>
    <w:rsid w:val="19F9039C"/>
    <w:rsid w:val="1AB54CBD"/>
    <w:rsid w:val="1AC75E8C"/>
    <w:rsid w:val="1B0C078D"/>
    <w:rsid w:val="1B2B31E2"/>
    <w:rsid w:val="1B432AF6"/>
    <w:rsid w:val="1B4C295A"/>
    <w:rsid w:val="1B973C63"/>
    <w:rsid w:val="1BA1001E"/>
    <w:rsid w:val="1BFC71DB"/>
    <w:rsid w:val="1C2D5D81"/>
    <w:rsid w:val="1C325040"/>
    <w:rsid w:val="1C8275DA"/>
    <w:rsid w:val="1C9F6277"/>
    <w:rsid w:val="1D317259"/>
    <w:rsid w:val="1DAC0791"/>
    <w:rsid w:val="1DBD26D8"/>
    <w:rsid w:val="1E664F5B"/>
    <w:rsid w:val="1EAB52A8"/>
    <w:rsid w:val="1EB34BE1"/>
    <w:rsid w:val="1F8B5F20"/>
    <w:rsid w:val="1FA85442"/>
    <w:rsid w:val="1FFD05A3"/>
    <w:rsid w:val="205A41B7"/>
    <w:rsid w:val="20DC0E61"/>
    <w:rsid w:val="21135C74"/>
    <w:rsid w:val="21274F2B"/>
    <w:rsid w:val="21343943"/>
    <w:rsid w:val="215E639F"/>
    <w:rsid w:val="219162D8"/>
    <w:rsid w:val="21EC3183"/>
    <w:rsid w:val="21F96E37"/>
    <w:rsid w:val="22511BD2"/>
    <w:rsid w:val="225E72CD"/>
    <w:rsid w:val="22816C88"/>
    <w:rsid w:val="231E14A9"/>
    <w:rsid w:val="234F7600"/>
    <w:rsid w:val="23626B1C"/>
    <w:rsid w:val="2392159C"/>
    <w:rsid w:val="23B6212F"/>
    <w:rsid w:val="23D80148"/>
    <w:rsid w:val="240F3012"/>
    <w:rsid w:val="246E2F77"/>
    <w:rsid w:val="24DB723D"/>
    <w:rsid w:val="250826D0"/>
    <w:rsid w:val="250D551C"/>
    <w:rsid w:val="254B1EBF"/>
    <w:rsid w:val="254B4E2B"/>
    <w:rsid w:val="25DE6FA8"/>
    <w:rsid w:val="25E71D3E"/>
    <w:rsid w:val="25EC3C23"/>
    <w:rsid w:val="25F5515A"/>
    <w:rsid w:val="26033517"/>
    <w:rsid w:val="26255192"/>
    <w:rsid w:val="265F2C81"/>
    <w:rsid w:val="26A6534D"/>
    <w:rsid w:val="26EB3B6A"/>
    <w:rsid w:val="272746DA"/>
    <w:rsid w:val="27392E24"/>
    <w:rsid w:val="275D40FD"/>
    <w:rsid w:val="277B3D54"/>
    <w:rsid w:val="27F80D57"/>
    <w:rsid w:val="283D7C94"/>
    <w:rsid w:val="28526934"/>
    <w:rsid w:val="28932FDB"/>
    <w:rsid w:val="28C03CAF"/>
    <w:rsid w:val="28DC43AF"/>
    <w:rsid w:val="29480E03"/>
    <w:rsid w:val="2983634D"/>
    <w:rsid w:val="2AAF494C"/>
    <w:rsid w:val="2AFE5245"/>
    <w:rsid w:val="2B9833BD"/>
    <w:rsid w:val="2BB02055"/>
    <w:rsid w:val="2BED2F82"/>
    <w:rsid w:val="2BFD34C3"/>
    <w:rsid w:val="2C575A56"/>
    <w:rsid w:val="2C885513"/>
    <w:rsid w:val="2D0E6EA0"/>
    <w:rsid w:val="2D283624"/>
    <w:rsid w:val="2D2B6274"/>
    <w:rsid w:val="2D3308D8"/>
    <w:rsid w:val="2D4B5198"/>
    <w:rsid w:val="2D8639BE"/>
    <w:rsid w:val="2D8D5C78"/>
    <w:rsid w:val="2DB32987"/>
    <w:rsid w:val="2DCD6330"/>
    <w:rsid w:val="2DD227B8"/>
    <w:rsid w:val="2F257714"/>
    <w:rsid w:val="2F302D5E"/>
    <w:rsid w:val="2F3275E5"/>
    <w:rsid w:val="2F6B28DA"/>
    <w:rsid w:val="304B305B"/>
    <w:rsid w:val="3082203F"/>
    <w:rsid w:val="30AA08EF"/>
    <w:rsid w:val="30D23D1C"/>
    <w:rsid w:val="30E26C43"/>
    <w:rsid w:val="31221CF5"/>
    <w:rsid w:val="31400178"/>
    <w:rsid w:val="321E3342"/>
    <w:rsid w:val="327759C8"/>
    <w:rsid w:val="33185FE3"/>
    <w:rsid w:val="33373050"/>
    <w:rsid w:val="3374249B"/>
    <w:rsid w:val="33D032DD"/>
    <w:rsid w:val="33FF2DAF"/>
    <w:rsid w:val="34311A53"/>
    <w:rsid w:val="343659B5"/>
    <w:rsid w:val="34EE2E36"/>
    <w:rsid w:val="34F72A78"/>
    <w:rsid w:val="353B2C7B"/>
    <w:rsid w:val="356F1741"/>
    <w:rsid w:val="358502B1"/>
    <w:rsid w:val="35F33790"/>
    <w:rsid w:val="361104EB"/>
    <w:rsid w:val="36777241"/>
    <w:rsid w:val="37CD7B1B"/>
    <w:rsid w:val="383144F1"/>
    <w:rsid w:val="3891738E"/>
    <w:rsid w:val="389C791D"/>
    <w:rsid w:val="38A951DB"/>
    <w:rsid w:val="38B31605"/>
    <w:rsid w:val="38E02D2C"/>
    <w:rsid w:val="38F534E0"/>
    <w:rsid w:val="39003F4F"/>
    <w:rsid w:val="39242BC8"/>
    <w:rsid w:val="39CF4999"/>
    <w:rsid w:val="39F07CBA"/>
    <w:rsid w:val="3AF24E44"/>
    <w:rsid w:val="3B1C5C89"/>
    <w:rsid w:val="3B4E1CDB"/>
    <w:rsid w:val="3B5F6BA9"/>
    <w:rsid w:val="3B6E0271"/>
    <w:rsid w:val="3B86550F"/>
    <w:rsid w:val="3C065C06"/>
    <w:rsid w:val="3C07002B"/>
    <w:rsid w:val="3CAA48F5"/>
    <w:rsid w:val="3CBD116E"/>
    <w:rsid w:val="3D0D152A"/>
    <w:rsid w:val="3D527E27"/>
    <w:rsid w:val="3DF62756"/>
    <w:rsid w:val="3E6A08F3"/>
    <w:rsid w:val="3E6F0D06"/>
    <w:rsid w:val="3E963E4C"/>
    <w:rsid w:val="3EA572C5"/>
    <w:rsid w:val="3EB47090"/>
    <w:rsid w:val="3F123CBF"/>
    <w:rsid w:val="3F1B7587"/>
    <w:rsid w:val="3F483D77"/>
    <w:rsid w:val="3F595FFD"/>
    <w:rsid w:val="3FA833C6"/>
    <w:rsid w:val="3FDF78A0"/>
    <w:rsid w:val="400A23FA"/>
    <w:rsid w:val="4012322E"/>
    <w:rsid w:val="40337EDF"/>
    <w:rsid w:val="4106342F"/>
    <w:rsid w:val="413A36FE"/>
    <w:rsid w:val="41E57B4F"/>
    <w:rsid w:val="41EC2CBF"/>
    <w:rsid w:val="42000FFE"/>
    <w:rsid w:val="42207242"/>
    <w:rsid w:val="422B1328"/>
    <w:rsid w:val="425B77A3"/>
    <w:rsid w:val="425F7FAB"/>
    <w:rsid w:val="428377AF"/>
    <w:rsid w:val="42977E3A"/>
    <w:rsid w:val="431C44AA"/>
    <w:rsid w:val="432F26F6"/>
    <w:rsid w:val="43820755"/>
    <w:rsid w:val="43880F63"/>
    <w:rsid w:val="43D87641"/>
    <w:rsid w:val="43EF4E19"/>
    <w:rsid w:val="441C5A6F"/>
    <w:rsid w:val="44371303"/>
    <w:rsid w:val="44C44FCC"/>
    <w:rsid w:val="44CC7369"/>
    <w:rsid w:val="44DA5705"/>
    <w:rsid w:val="452A34E8"/>
    <w:rsid w:val="456A25AF"/>
    <w:rsid w:val="457F5108"/>
    <w:rsid w:val="468A764A"/>
    <w:rsid w:val="46951B6B"/>
    <w:rsid w:val="46971D13"/>
    <w:rsid w:val="46F337F6"/>
    <w:rsid w:val="477A6033"/>
    <w:rsid w:val="47FB07A5"/>
    <w:rsid w:val="48293873"/>
    <w:rsid w:val="485E084A"/>
    <w:rsid w:val="486812E2"/>
    <w:rsid w:val="48C51ABB"/>
    <w:rsid w:val="48D07BD4"/>
    <w:rsid w:val="49767158"/>
    <w:rsid w:val="49921B40"/>
    <w:rsid w:val="49A34401"/>
    <w:rsid w:val="49F153DD"/>
    <w:rsid w:val="4A0D4D0D"/>
    <w:rsid w:val="4A3E30AB"/>
    <w:rsid w:val="4AC14DAC"/>
    <w:rsid w:val="4AC27CB3"/>
    <w:rsid w:val="4AD124CC"/>
    <w:rsid w:val="4B8C4763"/>
    <w:rsid w:val="4BAA4805"/>
    <w:rsid w:val="4BE0681D"/>
    <w:rsid w:val="4BE24A38"/>
    <w:rsid w:val="4BED3CA4"/>
    <w:rsid w:val="4C73189D"/>
    <w:rsid w:val="4D154C85"/>
    <w:rsid w:val="4DAA31BF"/>
    <w:rsid w:val="4EC8553A"/>
    <w:rsid w:val="4F6C4371"/>
    <w:rsid w:val="4FC518B0"/>
    <w:rsid w:val="4FE047F5"/>
    <w:rsid w:val="508F4E24"/>
    <w:rsid w:val="50DF4CBB"/>
    <w:rsid w:val="51461E90"/>
    <w:rsid w:val="51463753"/>
    <w:rsid w:val="52553A93"/>
    <w:rsid w:val="52754A33"/>
    <w:rsid w:val="52970EF0"/>
    <w:rsid w:val="53075C2D"/>
    <w:rsid w:val="53521F8B"/>
    <w:rsid w:val="538E2A85"/>
    <w:rsid w:val="53E22F47"/>
    <w:rsid w:val="54522FF8"/>
    <w:rsid w:val="54AB3F7A"/>
    <w:rsid w:val="54D6663F"/>
    <w:rsid w:val="55450629"/>
    <w:rsid w:val="55744AAA"/>
    <w:rsid w:val="55850C4E"/>
    <w:rsid w:val="55DF5787"/>
    <w:rsid w:val="561A16CF"/>
    <w:rsid w:val="562F2266"/>
    <w:rsid w:val="5668047A"/>
    <w:rsid w:val="56692963"/>
    <w:rsid w:val="567C3CF2"/>
    <w:rsid w:val="567D7990"/>
    <w:rsid w:val="568B0F48"/>
    <w:rsid w:val="56CB04DB"/>
    <w:rsid w:val="5786217B"/>
    <w:rsid w:val="58083479"/>
    <w:rsid w:val="58306C40"/>
    <w:rsid w:val="586732DC"/>
    <w:rsid w:val="58A75AB6"/>
    <w:rsid w:val="593309E8"/>
    <w:rsid w:val="59337A15"/>
    <w:rsid w:val="59810274"/>
    <w:rsid w:val="59D13D69"/>
    <w:rsid w:val="5A166ED2"/>
    <w:rsid w:val="5A5305D0"/>
    <w:rsid w:val="5AA10BBF"/>
    <w:rsid w:val="5AC31602"/>
    <w:rsid w:val="5B066A5F"/>
    <w:rsid w:val="5B867F38"/>
    <w:rsid w:val="5BDA6DFE"/>
    <w:rsid w:val="5C186FA6"/>
    <w:rsid w:val="5C4E7358"/>
    <w:rsid w:val="5C4F7660"/>
    <w:rsid w:val="5CA96A00"/>
    <w:rsid w:val="5CB116E0"/>
    <w:rsid w:val="5CF730BC"/>
    <w:rsid w:val="5E065D78"/>
    <w:rsid w:val="5E105AC0"/>
    <w:rsid w:val="5E355B65"/>
    <w:rsid w:val="5E5F0DCE"/>
    <w:rsid w:val="5E712AFE"/>
    <w:rsid w:val="5F14417F"/>
    <w:rsid w:val="5F1E5F23"/>
    <w:rsid w:val="5FA40A7B"/>
    <w:rsid w:val="5FD56D29"/>
    <w:rsid w:val="5FE61F45"/>
    <w:rsid w:val="5FEC7F3F"/>
    <w:rsid w:val="60C80D9C"/>
    <w:rsid w:val="60F74BC3"/>
    <w:rsid w:val="617D3BF8"/>
    <w:rsid w:val="61841F6A"/>
    <w:rsid w:val="621351F3"/>
    <w:rsid w:val="623007A9"/>
    <w:rsid w:val="62731D94"/>
    <w:rsid w:val="6317701F"/>
    <w:rsid w:val="637D7558"/>
    <w:rsid w:val="640267D6"/>
    <w:rsid w:val="642021C6"/>
    <w:rsid w:val="644F19AC"/>
    <w:rsid w:val="656D07F8"/>
    <w:rsid w:val="65AA4920"/>
    <w:rsid w:val="65B54B2E"/>
    <w:rsid w:val="65BF4C1E"/>
    <w:rsid w:val="65C8055F"/>
    <w:rsid w:val="65F17726"/>
    <w:rsid w:val="66271BD4"/>
    <w:rsid w:val="66464C58"/>
    <w:rsid w:val="6677027B"/>
    <w:rsid w:val="6678672C"/>
    <w:rsid w:val="6680599F"/>
    <w:rsid w:val="66842D8F"/>
    <w:rsid w:val="668B64F1"/>
    <w:rsid w:val="67694F1E"/>
    <w:rsid w:val="67831827"/>
    <w:rsid w:val="678E0566"/>
    <w:rsid w:val="68336E43"/>
    <w:rsid w:val="69012E9C"/>
    <w:rsid w:val="690A5240"/>
    <w:rsid w:val="69431851"/>
    <w:rsid w:val="69597934"/>
    <w:rsid w:val="6AA17D54"/>
    <w:rsid w:val="6AC45A36"/>
    <w:rsid w:val="6B0F11ED"/>
    <w:rsid w:val="6B695F28"/>
    <w:rsid w:val="6B8916E0"/>
    <w:rsid w:val="6B964DDC"/>
    <w:rsid w:val="6BC71231"/>
    <w:rsid w:val="6BED1FE0"/>
    <w:rsid w:val="6C277C1D"/>
    <w:rsid w:val="6C2C1B05"/>
    <w:rsid w:val="6C783074"/>
    <w:rsid w:val="6D5A740C"/>
    <w:rsid w:val="6D9E65C6"/>
    <w:rsid w:val="6DA81947"/>
    <w:rsid w:val="6DCD3EDB"/>
    <w:rsid w:val="6E166656"/>
    <w:rsid w:val="6EB66DE2"/>
    <w:rsid w:val="6ED3075F"/>
    <w:rsid w:val="6F123AC7"/>
    <w:rsid w:val="6F2A2D4B"/>
    <w:rsid w:val="6F376285"/>
    <w:rsid w:val="6F5D1357"/>
    <w:rsid w:val="6F8A0C1E"/>
    <w:rsid w:val="6FFE360F"/>
    <w:rsid w:val="703F45D4"/>
    <w:rsid w:val="70563825"/>
    <w:rsid w:val="70B25771"/>
    <w:rsid w:val="70E368E2"/>
    <w:rsid w:val="712268B1"/>
    <w:rsid w:val="713B3A5A"/>
    <w:rsid w:val="715D6546"/>
    <w:rsid w:val="715F2025"/>
    <w:rsid w:val="71980A85"/>
    <w:rsid w:val="71BE069E"/>
    <w:rsid w:val="71CD3100"/>
    <w:rsid w:val="71E17E8B"/>
    <w:rsid w:val="71E25E63"/>
    <w:rsid w:val="72DD06FF"/>
    <w:rsid w:val="73953409"/>
    <w:rsid w:val="73D0568F"/>
    <w:rsid w:val="73D93DA0"/>
    <w:rsid w:val="73E069A3"/>
    <w:rsid w:val="748A502D"/>
    <w:rsid w:val="749F5591"/>
    <w:rsid w:val="74FB1D9B"/>
    <w:rsid w:val="75331EE9"/>
    <w:rsid w:val="755A0A19"/>
    <w:rsid w:val="7671495D"/>
    <w:rsid w:val="76FE3A5B"/>
    <w:rsid w:val="775C2F0E"/>
    <w:rsid w:val="77B83B7D"/>
    <w:rsid w:val="78104AA8"/>
    <w:rsid w:val="7823082E"/>
    <w:rsid w:val="78705D77"/>
    <w:rsid w:val="789C57B2"/>
    <w:rsid w:val="78E257C5"/>
    <w:rsid w:val="78E83871"/>
    <w:rsid w:val="793144E1"/>
    <w:rsid w:val="794B35BE"/>
    <w:rsid w:val="7950085E"/>
    <w:rsid w:val="7A1E0C67"/>
    <w:rsid w:val="7AAC4F5C"/>
    <w:rsid w:val="7B0A3A31"/>
    <w:rsid w:val="7B2232DA"/>
    <w:rsid w:val="7B3360ED"/>
    <w:rsid w:val="7B5319F3"/>
    <w:rsid w:val="7BDF037E"/>
    <w:rsid w:val="7BF50948"/>
    <w:rsid w:val="7C5F4699"/>
    <w:rsid w:val="7CE66A78"/>
    <w:rsid w:val="7D0E4CCC"/>
    <w:rsid w:val="7D17344E"/>
    <w:rsid w:val="7D23564C"/>
    <w:rsid w:val="7D3014EE"/>
    <w:rsid w:val="7D5E062D"/>
    <w:rsid w:val="7DF76CD8"/>
    <w:rsid w:val="7E09208C"/>
    <w:rsid w:val="7F025695"/>
    <w:rsid w:val="7F393C25"/>
    <w:rsid w:val="7F695C26"/>
    <w:rsid w:val="7FA25C7B"/>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FollowedHyperlink"/>
    <w:basedOn w:val="7"/>
    <w:qFormat/>
    <w:uiPriority w:val="0"/>
    <w:rPr>
      <w:color w:val="333333"/>
      <w:u w:val="none"/>
    </w:rPr>
  </w:style>
  <w:style w:type="character" w:styleId="9">
    <w:name w:val="Emphasis"/>
    <w:basedOn w:val="7"/>
    <w:qFormat/>
    <w:uiPriority w:val="0"/>
    <w:rPr>
      <w:i/>
    </w:rPr>
  </w:style>
  <w:style w:type="character" w:styleId="10">
    <w:name w:val="Hyperlink"/>
    <w:basedOn w:val="7"/>
    <w:qFormat/>
    <w:uiPriority w:val="0"/>
    <w:rPr>
      <w:color w:val="333333"/>
      <w:u w:val="none"/>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0"/>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 w:type="character" w:customStyle="1" w:styleId="14">
    <w:name w:val="pages"/>
    <w:basedOn w:val="7"/>
    <w:qFormat/>
    <w:uiPriority w:val="0"/>
    <w:rPr>
      <w:color w:val="222222"/>
      <w:bdr w:val="single" w:color="DFDFDF" w:sz="6" w:space="0"/>
      <w:shd w:val="clear" w:fill="F9F9F9"/>
    </w:rPr>
  </w:style>
  <w:style w:type="character" w:customStyle="1" w:styleId="15">
    <w:name w:val="current"/>
    <w:basedOn w:val="7"/>
    <w:qFormat/>
    <w:uiPriority w:val="0"/>
    <w:rPr>
      <w:bdr w:val="single" w:color="BBBBBB" w:sz="6" w:space="0"/>
      <w:shd w:val="clear" w:fill="EEEEEE"/>
    </w:rPr>
  </w:style>
  <w:style w:type="character" w:customStyle="1" w:styleId="16">
    <w:name w:val="current1"/>
    <w:basedOn w:val="7"/>
    <w:qFormat/>
    <w:uiPriority w:val="0"/>
    <w:rPr>
      <w:color w:val="FFFFFF"/>
      <w:shd w:val="clear" w:fill="00B2EE"/>
    </w:rPr>
  </w:style>
  <w:style w:type="character" w:customStyle="1" w:styleId="17">
    <w:name w:val="extend"/>
    <w:basedOn w:val="7"/>
    <w:qFormat/>
    <w:uiPriority w:val="0"/>
    <w:rPr>
      <w:b/>
      <w:bCs/>
    </w:rPr>
  </w:style>
  <w:style w:type="character" w:customStyle="1" w:styleId="18">
    <w:name w:val="current2"/>
    <w:basedOn w:val="7"/>
    <w:qFormat/>
    <w:uiPriority w:val="0"/>
    <w:rPr>
      <w:color w:val="FFFFFF"/>
      <w:shd w:val="clear" w:fill="00B2EE"/>
    </w:rPr>
  </w:style>
  <w:style w:type="character" w:customStyle="1" w:styleId="19">
    <w:name w:val="rbtn"/>
    <w:basedOn w:val="7"/>
    <w:qFormat/>
    <w:uiPriority w:val="0"/>
    <w:rPr>
      <w:color w:val="469DEA"/>
      <w:bdr w:val="single" w:color="E5E5E5" w:sz="6" w:space="0"/>
    </w:rPr>
  </w:style>
  <w:style w:type="character" w:customStyle="1" w:styleId="20">
    <w:name w:val="rbtn1"/>
    <w:basedOn w:val="7"/>
    <w:qFormat/>
    <w:uiPriority w:val="0"/>
    <w:rPr>
      <w:color w:val="469DEA"/>
      <w:bdr w:val="single" w:color="E5E5E5" w:sz="6" w:space="0"/>
    </w:rPr>
  </w:style>
  <w:style w:type="character" w:customStyle="1" w:styleId="21">
    <w:name w:val="hilite6"/>
    <w:basedOn w:val="7"/>
    <w:qFormat/>
    <w:uiPriority w:val="0"/>
    <w:rPr>
      <w:color w:val="FFFFFF"/>
      <w:shd w:val="clear" w:fill="666677"/>
    </w:rPr>
  </w:style>
  <w:style w:type="character" w:customStyle="1" w:styleId="22">
    <w:name w:val="layui-laypage-curr"/>
    <w:basedOn w:val="7"/>
    <w:qFormat/>
    <w:uiPriority w:val="0"/>
  </w:style>
  <w:style w:type="character" w:customStyle="1" w:styleId="23">
    <w:name w:val="active6"/>
    <w:basedOn w:val="7"/>
    <w:qFormat/>
    <w:uiPriority w:val="0"/>
    <w:rPr>
      <w:color w:val="00FF00"/>
      <w:shd w:val="clear" w:fill="000000"/>
    </w:rPr>
  </w:style>
  <w:style w:type="character" w:customStyle="1" w:styleId="24">
    <w:name w:val="layui-this2"/>
    <w:basedOn w:val="7"/>
    <w:qFormat/>
    <w:uiPriority w:val="0"/>
    <w:rPr>
      <w:bdr w:val="single" w:color="EEEEEE" w:sz="6" w:space="0"/>
      <w:shd w:val="clear" w:fill="FFFFFF"/>
    </w:rPr>
  </w:style>
  <w:style w:type="character" w:customStyle="1" w:styleId="25">
    <w:name w:val="first-child"/>
    <w:basedOn w:val="7"/>
    <w:qFormat/>
    <w:uiPriority w:val="0"/>
  </w:style>
  <w:style w:type="character" w:customStyle="1" w:styleId="26">
    <w:name w:val="font11"/>
    <w:basedOn w:val="7"/>
    <w:qFormat/>
    <w:uiPriority w:val="0"/>
    <w:rPr>
      <w:rFonts w:hint="eastAsia" w:ascii="宋体" w:hAnsi="宋体" w:eastAsia="宋体" w:cs="宋体"/>
      <w:b/>
      <w:bCs/>
      <w:color w:val="000000"/>
      <w:sz w:val="36"/>
      <w:szCs w:val="36"/>
      <w:u w:val="none"/>
    </w:rPr>
  </w:style>
  <w:style w:type="character" w:customStyle="1" w:styleId="27">
    <w:name w:val="font21"/>
    <w:basedOn w:val="7"/>
    <w:qFormat/>
    <w:uiPriority w:val="0"/>
    <w:rPr>
      <w:rFonts w:hint="eastAsia" w:ascii="宋体" w:hAnsi="宋体" w:eastAsia="宋体" w:cs="宋体"/>
      <w:b/>
      <w:bCs/>
      <w:color w:val="000000"/>
      <w:sz w:val="36"/>
      <w:szCs w:val="36"/>
      <w:u w:val="none"/>
    </w:rPr>
  </w:style>
  <w:style w:type="character" w:customStyle="1" w:styleId="28">
    <w:name w:val="font31"/>
    <w:basedOn w:val="7"/>
    <w:qFormat/>
    <w:uiPriority w:val="0"/>
    <w:rPr>
      <w:rFonts w:hint="eastAsia" w:ascii="宋体" w:hAnsi="宋体" w:eastAsia="宋体" w:cs="宋体"/>
      <w:b/>
      <w:bCs/>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chart" Target="charts/chart14.xml"/><Relationship Id="rId34" Type="http://schemas.openxmlformats.org/officeDocument/2006/relationships/chart" Target="charts/chart13.xml"/><Relationship Id="rId33" Type="http://schemas.openxmlformats.org/officeDocument/2006/relationships/chart" Target="charts/chart12.xml"/><Relationship Id="rId32" Type="http://schemas.openxmlformats.org/officeDocument/2006/relationships/chart" Target="charts/chart11.xml"/><Relationship Id="rId31" Type="http://schemas.openxmlformats.org/officeDocument/2006/relationships/chart" Target="charts/chart10.xml"/><Relationship Id="rId30" Type="http://schemas.openxmlformats.org/officeDocument/2006/relationships/chart" Target="charts/chart9.xml"/><Relationship Id="rId3" Type="http://schemas.openxmlformats.org/officeDocument/2006/relationships/footnotes" Target="footnotes.xml"/><Relationship Id="rId29" Type="http://schemas.openxmlformats.org/officeDocument/2006/relationships/chart" Target="charts/chart8.xml"/><Relationship Id="rId28" Type="http://schemas.openxmlformats.org/officeDocument/2006/relationships/chart" Target="charts/chart7.xml"/><Relationship Id="rId27" Type="http://schemas.openxmlformats.org/officeDocument/2006/relationships/chart" Target="charts/chart6.xml"/><Relationship Id="rId26" Type="http://schemas.openxmlformats.org/officeDocument/2006/relationships/chart" Target="charts/chart5.xml"/><Relationship Id="rId25" Type="http://schemas.openxmlformats.org/officeDocument/2006/relationships/chart" Target="charts/chart4.xml"/><Relationship Id="rId24" Type="http://schemas.openxmlformats.org/officeDocument/2006/relationships/chart" Target="charts/chart3.xml"/><Relationship Id="rId23" Type="http://schemas.openxmlformats.org/officeDocument/2006/relationships/chart" Target="charts/chart2.xml"/><Relationship Id="rId22" Type="http://schemas.openxmlformats.org/officeDocument/2006/relationships/chart" Target="charts/chart1.xml"/><Relationship Id="rId21" Type="http://schemas.openxmlformats.org/officeDocument/2006/relationships/image" Target="media/image7.e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6.emf"/><Relationship Id="rId18" Type="http://schemas.openxmlformats.org/officeDocument/2006/relationships/oleObject" Target="embeddings/oleObject6.bin"/><Relationship Id="rId17" Type="http://schemas.openxmlformats.org/officeDocument/2006/relationships/image" Target="media/image5.emf"/><Relationship Id="rId16" Type="http://schemas.openxmlformats.org/officeDocument/2006/relationships/oleObject" Target="embeddings/oleObject5.bin"/><Relationship Id="rId15" Type="http://schemas.openxmlformats.org/officeDocument/2006/relationships/image" Target="media/image4.emf"/><Relationship Id="rId14" Type="http://schemas.openxmlformats.org/officeDocument/2006/relationships/oleObject" Target="embeddings/oleObject4.bin"/><Relationship Id="rId13" Type="http://schemas.openxmlformats.org/officeDocument/2006/relationships/image" Target="media/image3.e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1997.29</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Sheet1!$A$4:$A$30</c:f>
              <c:numCache>
                <c:formatCode>General</c:formatCode>
                <c:ptCount val="27"/>
                <c:pt idx="0">
                  <c:v>30203</c:v>
                </c:pt>
                <c:pt idx="1">
                  <c:v>30204</c:v>
                </c:pt>
                <c:pt idx="2">
                  <c:v>30205</c:v>
                </c:pt>
                <c:pt idx="3">
                  <c:v>30206</c:v>
                </c:pt>
                <c:pt idx="4">
                  <c:v>30207</c:v>
                </c:pt>
                <c:pt idx="5">
                  <c:v>30208</c:v>
                </c:pt>
                <c:pt idx="6">
                  <c:v>30209</c:v>
                </c:pt>
                <c:pt idx="7">
                  <c:v>30211</c:v>
                </c:pt>
                <c:pt idx="8">
                  <c:v>30212</c:v>
                </c:pt>
                <c:pt idx="9">
                  <c:v>30213</c:v>
                </c:pt>
                <c:pt idx="10">
                  <c:v>30214</c:v>
                </c:pt>
                <c:pt idx="11">
                  <c:v>30215</c:v>
                </c:pt>
                <c:pt idx="12">
                  <c:v>30216</c:v>
                </c:pt>
                <c:pt idx="13">
                  <c:v>30217</c:v>
                </c:pt>
                <c:pt idx="14">
                  <c:v>30218</c:v>
                </c:pt>
                <c:pt idx="15">
                  <c:v>30224</c:v>
                </c:pt>
                <c:pt idx="16">
                  <c:v>30225</c:v>
                </c:pt>
                <c:pt idx="17">
                  <c:v>30226</c:v>
                </c:pt>
                <c:pt idx="18">
                  <c:v>30227</c:v>
                </c:pt>
                <c:pt idx="19">
                  <c:v>30228</c:v>
                </c:pt>
                <c:pt idx="20">
                  <c:v>30229</c:v>
                </c:pt>
                <c:pt idx="21">
                  <c:v>30231</c:v>
                </c:pt>
                <c:pt idx="22">
                  <c:v>30239</c:v>
                </c:pt>
                <c:pt idx="23">
                  <c:v>30240</c:v>
                </c:pt>
                <c:pt idx="24">
                  <c:v>30299</c:v>
                </c:pt>
              </c:numCache>
            </c:numRef>
          </c:cat>
          <c:val>
            <c:numRef>
              <c:f>Sheet1!$B$4:$B$30</c:f>
              <c:numCache>
                <c:formatCode>#,##0.00</c:formatCode>
                <c:ptCount val="27"/>
                <c:pt idx="0">
                  <c:v>0</c:v>
                </c:pt>
                <c:pt idx="1">
                  <c:v>0</c:v>
                </c:pt>
                <c:pt idx="2">
                  <c:v>0.13</c:v>
                </c:pt>
                <c:pt idx="3">
                  <c:v>6.71</c:v>
                </c:pt>
                <c:pt idx="4">
                  <c:v>0.78</c:v>
                </c:pt>
                <c:pt idx="5">
                  <c:v>0</c:v>
                </c:pt>
                <c:pt idx="6">
                  <c:v>0</c:v>
                </c:pt>
                <c:pt idx="7">
                  <c:v>9.36</c:v>
                </c:pt>
                <c:pt idx="8">
                  <c:v>0</c:v>
                </c:pt>
                <c:pt idx="9">
                  <c:v>0</c:v>
                </c:pt>
                <c:pt idx="10">
                  <c:v>0</c:v>
                </c:pt>
                <c:pt idx="11">
                  <c:v>0</c:v>
                </c:pt>
                <c:pt idx="12">
                  <c:v>0</c:v>
                </c:pt>
                <c:pt idx="13">
                  <c:v>0.37</c:v>
                </c:pt>
                <c:pt idx="14">
                  <c:v>0</c:v>
                </c:pt>
                <c:pt idx="15">
                  <c:v>0</c:v>
                </c:pt>
                <c:pt idx="16">
                  <c:v>0</c:v>
                </c:pt>
                <c:pt idx="17">
                  <c:v>0</c:v>
                </c:pt>
                <c:pt idx="18">
                  <c:v>0</c:v>
                </c:pt>
                <c:pt idx="19">
                  <c:v>21.25</c:v>
                </c:pt>
                <c:pt idx="20">
                  <c:v>0</c:v>
                </c:pt>
                <c:pt idx="21">
                  <c:v>0</c:v>
                </c:pt>
                <c:pt idx="22">
                  <c:v>0</c:v>
                </c:pt>
                <c:pt idx="23">
                  <c:v>0</c:v>
                </c:pt>
                <c:pt idx="24">
                  <c:v>0.45</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#,##0.00</c:formatCode>
                <c:ptCount val="12"/>
                <c:pt idx="0">
                  <c:v>0</c:v>
                </c:pt>
                <c:pt idx="1">
                  <c:v>0</c:v>
                </c:pt>
                <c:pt idx="2">
                  <c:v>0</c:v>
                </c:pt>
                <c:pt idx="3">
                  <c:v>7.54</c:v>
                </c:pt>
                <c:pt idx="4">
                  <c:v>103.89</c:v>
                </c:pt>
                <c:pt idx="5">
                  <c:v>0</c:v>
                </c:pt>
                <c:pt idx="6">
                  <c:v>0</c:v>
                </c:pt>
                <c:pt idx="7">
                  <c:v>0</c:v>
                </c:pt>
                <c:pt idx="8">
                  <c:v>1.21</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农林水支出
</c:v>
                </c:pt>
                <c:pt idx="2">
                  <c:v>社会保障和就业支出</c:v>
                </c:pt>
                <c:pt idx="3">
                  <c:v>灾害防治及应急管理支出</c:v>
                </c:pt>
                <c:pt idx="4">
                  <c:v>住房保障支出</c:v>
                </c:pt>
              </c:strCache>
            </c:strRef>
          </c:cat>
          <c:val>
            <c:numRef>
              <c:f>Sheet1!$B$2:$B$6</c:f>
              <c:numCache>
                <c:formatCode>General</c:formatCode>
                <c:ptCount val="5"/>
                <c:pt idx="0">
                  <c:v>24.45</c:v>
                </c:pt>
                <c:pt idx="1">
                  <c:v>1448.56</c:v>
                </c:pt>
                <c:pt idx="2">
                  <c:v>178.09</c:v>
                </c:pt>
                <c:pt idx="3">
                  <c:v>0</c:v>
                </c:pt>
                <c:pt idx="4">
                  <c:v>130.29</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农林水支出
</c:v>
                </c:pt>
                <c:pt idx="2">
                  <c:v>社会保障和就业支出</c:v>
                </c:pt>
                <c:pt idx="3">
                  <c:v>灾害防治及应急管理支出</c:v>
                </c:pt>
                <c:pt idx="4">
                  <c:v>住房保障支出</c:v>
                </c:pt>
              </c:strCache>
            </c:strRef>
          </c:cat>
          <c:val>
            <c:numRef>
              <c:f>Sheet1!$C$2:$C$6</c:f>
              <c:numCache>
                <c:formatCode>General</c:formatCode>
                <c:ptCount val="5"/>
                <c:pt idx="0">
                  <c:v>21.25</c:v>
                </c:pt>
                <c:pt idx="1">
                  <c:v>1412.28</c:v>
                </c:pt>
                <c:pt idx="2">
                  <c:v>169.97</c:v>
                </c:pt>
                <c:pt idx="3">
                  <c:v>30</c:v>
                </c:pt>
                <c:pt idx="4">
                  <c:v>122.36</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21.25</c:v>
                </c:pt>
                <c:pt idx="1">
                  <c:v>21.25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161.74</c:v>
                </c:pt>
                <c:pt idx="1">
                  <c:v>161.74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sz="1100"/>
              <a:t>农林水支出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Sheet1!$A$2:$A$5</c:f>
              <c:numCache>
                <c:formatCode>General</c:formatCode>
                <c:ptCount val="4"/>
                <c:pt idx="0">
                  <c:v>2130104</c:v>
                </c:pt>
                <c:pt idx="1">
                  <c:v>2130112</c:v>
                </c:pt>
                <c:pt idx="2">
                  <c:v>2130204</c:v>
                </c:pt>
                <c:pt idx="3">
                  <c:v>2130205</c:v>
                </c:pt>
              </c:numCache>
            </c:numRef>
          </c:cat>
          <c:val>
            <c:numRef>
              <c:f>Sheet1!$B$2:$B$5</c:f>
              <c:numCache>
                <c:formatCode>General</c:formatCode>
                <c:ptCount val="4"/>
                <c:pt idx="0">
                  <c:v>3.79</c:v>
                </c:pt>
                <c:pt idx="1">
                  <c:v>0.03</c:v>
                </c:pt>
                <c:pt idx="2">
                  <c:v>1301.59</c:v>
                </c:pt>
                <c:pt idx="3">
                  <c:v>50.55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住房公积金</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122.36</c:v>
                </c:pt>
                <c:pt idx="1">
                  <c:v>122.36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sz="1100"/>
              <a:t>灾害防治及应急管理支出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2249999</c:v>
                </c:pt>
              </c:numCache>
            </c:numRef>
          </c:cat>
          <c:val>
            <c:numRef>
              <c:f>Sheet1!$B$2:$B$3</c:f>
              <c:numCache>
                <c:formatCode>General</c:formatCode>
                <c:ptCount val="2"/>
                <c:pt idx="0">
                  <c:v>30</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sz="1100"/>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249.68</c:v>
                </c:pt>
                <c:pt idx="1">
                  <c:v>249.68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356.71</c:v>
                </c:pt>
                <c:pt idx="1">
                  <c:v>162.24</c:v>
                </c:pt>
                <c:pt idx="2">
                  <c:v>100.19</c:v>
                </c:pt>
                <c:pt idx="3">
                  <c:v>24.3</c:v>
                </c:pt>
                <c:pt idx="4">
                  <c:v>238.59</c:v>
                </c:pt>
                <c:pt idx="5">
                  <c:v>131.11</c:v>
                </c:pt>
                <c:pt idx="6">
                  <c:v>0</c:v>
                </c:pt>
                <c:pt idx="7">
                  <c:v>53.35</c:v>
                </c:pt>
                <c:pt idx="8">
                  <c:v>50.92</c:v>
                </c:pt>
                <c:pt idx="9">
                  <c:v>3.75</c:v>
                </c:pt>
                <c:pt idx="10">
                  <c:v>98.52</c:v>
                </c:pt>
                <c:pt idx="11">
                  <c:v>0</c:v>
                </c:pt>
                <c:pt idx="12">
                  <c:v>5.29</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0</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2023-11-17T08:32:00Z</cp:lastPrinted>
  <dcterms:modified xsi:type="dcterms:W3CDTF">2023-11-23T08:52:38Z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AE3BB873841D440FBEF870C3E94684F9</vt:lpwstr>
  </property>
</Properties>
</file>