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9"/>
        <w:rPr>
          <w:rFonts w:hint="eastAsia" w:ascii="仿宋" w:hAnsi="仿宋" w:eastAsia="仿宋" w:cs="仿宋"/>
          <w:color w:val="auto"/>
          <w:sz w:val="32"/>
          <w:szCs w:val="32"/>
          <w:highlight w:val="none"/>
          <w:lang w:eastAsia="zh-CN"/>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hint="eastAsia" w:ascii="黑体" w:hAnsi="黑体" w:eastAsia="黑体" w:cs="黑体"/>
          <w:b/>
          <w:bCs/>
          <w:color w:val="auto"/>
          <w:sz w:val="52"/>
          <w:szCs w:val="52"/>
          <w:highlight w:val="none"/>
          <w:lang w:val="en-US" w:eastAsia="zh-CN"/>
        </w:rPr>
      </w:pPr>
      <w:r>
        <w:rPr>
          <w:rFonts w:hint="eastAsia" w:ascii="黑体" w:hAnsi="黑体" w:eastAsia="黑体" w:cs="黑体"/>
          <w:b/>
          <w:bCs/>
          <w:color w:val="auto"/>
          <w:sz w:val="52"/>
          <w:szCs w:val="52"/>
          <w:highlight w:val="none"/>
          <w:lang w:val="en-US" w:eastAsia="zh-CN"/>
        </w:rPr>
        <w:t>环江毛南族自治县乡村振兴局</w:t>
      </w: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jc w:val="center"/>
        <w:rPr>
          <w:rFonts w:hint="eastAsia" w:ascii="黑体" w:hAnsi="黑体" w:eastAsia="黑体" w:cs="黑体"/>
          <w:b/>
          <w:bCs/>
          <w:color w:val="auto"/>
          <w:sz w:val="36"/>
          <w:szCs w:val="36"/>
          <w:highlight w:val="none"/>
        </w:rPr>
        <w:sectPr>
          <w:headerReference r:id="rId5" w:type="default"/>
          <w:pgSz w:w="11906" w:h="16838"/>
          <w:pgMar w:top="1440" w:right="1800" w:bottom="1440" w:left="1800" w:header="851" w:footer="992" w:gutter="0"/>
          <w:pgNumType w:fmt="decimal" w:start="1"/>
          <w:cols w:space="425" w:num="1"/>
          <w:docGrid w:type="lines" w:linePitch="312" w:charSpace="0"/>
        </w:sectPr>
      </w:pP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u w:color="auto"/>
          <w:lang w:eastAsia="zh-CN"/>
        </w:rPr>
        <w:t>环江毛南族自治县乡村振兴局</w:t>
      </w:r>
      <w:r>
        <w:rPr>
          <w:rFonts w:hint="eastAsia" w:ascii="黑体" w:hAnsi="黑体" w:eastAsia="黑体" w:cs="黑体"/>
          <w:color w:val="auto"/>
          <w:sz w:val="32"/>
          <w:szCs w:val="32"/>
          <w:highlight w:val="none"/>
        </w:rPr>
        <w:t>概况</w:t>
      </w:r>
    </w:p>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一、主要职能</w:t>
      </w:r>
    </w:p>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环江毛南族自治县乡村振兴局</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表九：一般公共预算财政拨款安排的“三公”经费支出决算表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环江毛南族自治县乡村振兴局</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center"/>
        <w:rPr>
          <w:rFonts w:hint="eastAsia" w:ascii="黑体" w:hAnsi="黑体" w:eastAsia="黑体" w:cs="黑体"/>
          <w:b/>
          <w:bCs/>
          <w:color w:val="auto"/>
          <w:sz w:val="32"/>
          <w:szCs w:val="32"/>
          <w:highlight w:val="none"/>
        </w:rPr>
        <w:sectPr>
          <w:footerReference r:id="rId6" w:type="default"/>
          <w:pgSz w:w="11906" w:h="16838"/>
          <w:pgMar w:top="1440" w:right="1800" w:bottom="1440" w:left="1800" w:header="851" w:footer="992" w:gutter="0"/>
          <w:pgNumType w:fmt="decimal" w:start="1"/>
          <w:cols w:space="425" w:num="1"/>
          <w:docGrid w:type="lines" w:linePitch="312" w:charSpace="0"/>
        </w:sectPr>
      </w:pP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color w:val="auto"/>
          <w:sz w:val="32"/>
          <w:u w:color="auto"/>
          <w:lang w:eastAsia="zh-CN"/>
        </w:rPr>
        <w:t>环江毛南族自治县乡村振兴局</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贯彻落实国家、自治区、市和县有关</w:t>
      </w:r>
      <w:r>
        <w:rPr>
          <w:rFonts w:hint="eastAsia" w:ascii="仿宋_GB2312" w:hAnsi="仿宋_GB2312" w:eastAsia="仿宋_GB2312" w:cs="仿宋_GB2312"/>
          <w:color w:val="auto"/>
          <w:sz w:val="32"/>
          <w:szCs w:val="32"/>
          <w:highlight w:val="none"/>
          <w:u w:val="none"/>
          <w:lang w:val="en-US" w:eastAsia="zh-CN"/>
        </w:rPr>
        <w:t>乡村振兴</w:t>
      </w:r>
      <w:r>
        <w:rPr>
          <w:rFonts w:hint="eastAsia" w:ascii="仿宋_GB2312" w:hAnsi="仿宋_GB2312" w:eastAsia="仿宋_GB2312" w:cs="仿宋_GB2312"/>
          <w:color w:val="auto"/>
          <w:sz w:val="32"/>
          <w:szCs w:val="32"/>
          <w:highlight w:val="none"/>
          <w:u w:val="none"/>
        </w:rPr>
        <w:t>工作的方针、政策；组织实施全县</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工作计划。</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根据市委、市人民政府和自治县党委、自治县人民政府提出的</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目标、任务、拟订全县</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总体规划和年度实施方案。</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根据自治区年度下拨的财政衔接推进乡村振兴补助资金指标（不含以工代赈、民族发展资金，下同）负责和组织有关部门研究资金的投向和分配计划。</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负责乡村振兴补助资金项目的实施，效益追踪和各项措施的落实；乡村振兴补助资金、物资的投放和使用；组织全县贫困状况的监测与统计。</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协助自治县党委、自治县人民政府组织、动员社会各界支持、参与</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,检查、督促落实县直单位挂钩扶贫责任制,负责全县内外对口帮扶协作，组织开展扶贫对外交流与合作。</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组织实施贫困地区基础设施建设，组织开展扶贫搬迁工作，负责全县扶贫信贷计划、协调和组织实施工作。</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承担全县贫困地区干部</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培训、农村实用技术培训工作，参与实施贫困地区劳动力转移就业培训工作，协调组织实施教育扶贫和科技扶贫，指导、协调贫困地区劳务经济发展和人才资源开发，会同相关部门组织贫困地区劳务输出。</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负责指导外资扶贫项目的实施。</w:t>
      </w:r>
    </w:p>
    <w:p>
      <w:pPr>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　　9、</w:t>
      </w:r>
      <w:r>
        <w:rPr>
          <w:rFonts w:hint="eastAsia" w:ascii="仿宋_GB2312" w:hAnsi="仿宋_GB2312" w:eastAsia="仿宋_GB2312" w:cs="仿宋_GB2312"/>
          <w:color w:val="auto"/>
          <w:sz w:val="32"/>
          <w:szCs w:val="32"/>
          <w:highlight w:val="none"/>
          <w:u w:val="none"/>
        </w:rPr>
        <w:t>承办自治县党委、自治县人民政府交办的其他事项。</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jc w:val="left"/>
        <w:outlineLvl w:val="9"/>
        <w:rPr>
          <w:rFonts w:hint="eastAsia" w:ascii="仿宋_GB2312" w:hAnsi="仿宋_GB2312" w:eastAsia="仿宋_GB2312" w:cs="仿宋_GB2312"/>
          <w:color w:val="auto"/>
          <w:sz w:val="32"/>
          <w:szCs w:val="32"/>
          <w:highlight w:val="none"/>
          <w:u w:val="none"/>
        </w:rPr>
      </w:pPr>
      <w:r>
        <w:rPr>
          <w:rFonts w:hint="eastAsia" w:ascii="黑体" w:hAnsi="黑体" w:eastAsia="黑体" w:cs="黑体"/>
          <w:color w:val="auto"/>
          <w:sz w:val="32"/>
          <w:szCs w:val="32"/>
          <w:highlight w:val="none"/>
          <w:u w:val="none"/>
          <w:lang w:eastAsia="zh-CN"/>
        </w:rPr>
        <w:t>（一）</w:t>
      </w:r>
      <w:r>
        <w:rPr>
          <w:rFonts w:hint="eastAsia" w:ascii="黑体" w:hAnsi="黑体" w:eastAsia="黑体" w:cs="黑体"/>
          <w:color w:val="auto"/>
          <w:sz w:val="32"/>
          <w:szCs w:val="32"/>
          <w:highlight w:val="none"/>
          <w:u w:val="none"/>
        </w:rPr>
        <w:t>机构设置情况</w:t>
      </w:r>
    </w:p>
    <w:p>
      <w:pPr>
        <w:spacing w:line="560" w:lineRule="exact"/>
        <w:ind w:firstLine="643" w:firstLineChars="200"/>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1、</w:t>
      </w:r>
      <w:r>
        <w:rPr>
          <w:rFonts w:hint="eastAsia" w:ascii="楷体_GB2312" w:hAnsi="楷体_GB2312" w:eastAsia="楷体_GB2312" w:cs="楷体_GB2312"/>
          <w:b/>
          <w:bCs/>
          <w:color w:val="auto"/>
          <w:sz w:val="32"/>
          <w:szCs w:val="32"/>
          <w:highlight w:val="none"/>
          <w:u w:val="none"/>
        </w:rPr>
        <w:t>综合股</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负责起草全县</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总体规划，协助</w:t>
      </w:r>
      <w:r>
        <w:rPr>
          <w:rFonts w:hint="eastAsia" w:ascii="仿宋_GB2312" w:hAnsi="仿宋_GB2312" w:eastAsia="仿宋_GB2312" w:cs="仿宋_GB2312"/>
          <w:color w:val="auto"/>
          <w:sz w:val="32"/>
          <w:szCs w:val="32"/>
          <w:highlight w:val="none"/>
          <w:u w:val="none"/>
          <w:lang w:eastAsia="zh-CN"/>
        </w:rPr>
        <w:t>局领导</w:t>
      </w:r>
      <w:r>
        <w:rPr>
          <w:rFonts w:hint="eastAsia" w:ascii="仿宋_GB2312" w:hAnsi="仿宋_GB2312" w:eastAsia="仿宋_GB2312" w:cs="仿宋_GB2312"/>
          <w:color w:val="auto"/>
          <w:sz w:val="32"/>
          <w:szCs w:val="32"/>
          <w:highlight w:val="none"/>
          <w:u w:val="none"/>
        </w:rPr>
        <w:t>综合管理全县</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各项事务工作，协调</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二层机构的日常工作，起草综合性文件和材料，制定机关工作制度。扶贫产业开发项目规划、两项制度有效衔接试点工作、扶贫统计、扶贫统计监测、相关会议记录和各项活动的组织、日常文电处理、办公自动化、秘书事务、上报材料、编写简报、综合调研、文书档案、处理群众来信来访、机要、保密、党史等工作；负责</w:t>
      </w:r>
      <w:r>
        <w:rPr>
          <w:rFonts w:hint="eastAsia" w:ascii="仿宋_GB2312" w:hAnsi="仿宋_GB2312" w:eastAsia="仿宋_GB2312" w:cs="仿宋_GB2312"/>
          <w:color w:val="auto"/>
          <w:sz w:val="32"/>
          <w:szCs w:val="32"/>
          <w:highlight w:val="none"/>
          <w:u w:val="none"/>
          <w:lang w:eastAsia="zh-CN"/>
        </w:rPr>
        <w:t>本局</w:t>
      </w:r>
      <w:r>
        <w:rPr>
          <w:rFonts w:hint="eastAsia" w:ascii="仿宋_GB2312" w:hAnsi="仿宋_GB2312" w:eastAsia="仿宋_GB2312" w:cs="仿宋_GB2312"/>
          <w:color w:val="auto"/>
          <w:sz w:val="32"/>
          <w:szCs w:val="32"/>
          <w:highlight w:val="none"/>
          <w:u w:val="none"/>
        </w:rPr>
        <w:t>年度总结考核、政务公开、保卫、环卫和固定资产使用、公务用车的使用管理、后勤接待和报刊杂志的征订、分发、离退休人员管理、革命老区促进会等工作。督促检查实行有关规章制度落实情况。做好科技养牛场、九万山公司、养猪场服务管理工作。完成本股年度总结及</w:t>
      </w:r>
      <w:r>
        <w:rPr>
          <w:rFonts w:hint="eastAsia" w:ascii="仿宋_GB2312" w:hAnsi="仿宋_GB2312" w:eastAsia="仿宋_GB2312" w:cs="仿宋_GB2312"/>
          <w:color w:val="auto"/>
          <w:sz w:val="32"/>
          <w:szCs w:val="32"/>
          <w:highlight w:val="none"/>
          <w:u w:val="none"/>
          <w:lang w:eastAsia="zh-CN"/>
        </w:rPr>
        <w:t>局领导</w:t>
      </w:r>
      <w:r>
        <w:rPr>
          <w:rFonts w:hint="eastAsia" w:ascii="仿宋_GB2312" w:hAnsi="仿宋_GB2312" w:eastAsia="仿宋_GB2312" w:cs="仿宋_GB2312"/>
          <w:color w:val="auto"/>
          <w:sz w:val="32"/>
          <w:szCs w:val="32"/>
          <w:highlight w:val="none"/>
          <w:u w:val="none"/>
        </w:rPr>
        <w:t>交办的其他工作。</w:t>
      </w:r>
    </w:p>
    <w:p>
      <w:pPr>
        <w:spacing w:line="560" w:lineRule="exact"/>
        <w:ind w:firstLine="643" w:firstLineChars="200"/>
        <w:rPr>
          <w:rFonts w:hint="eastAsia" w:ascii="仿宋_GB2312" w:hAnsi="仿宋_GB2312" w:eastAsia="仿宋_GB2312" w:cs="仿宋_GB2312"/>
          <w:b/>
          <w:bCs/>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2、</w:t>
      </w:r>
      <w:r>
        <w:rPr>
          <w:rFonts w:hint="eastAsia" w:ascii="楷体_GB2312" w:hAnsi="楷体_GB2312" w:eastAsia="楷体_GB2312" w:cs="楷体_GB2312"/>
          <w:b/>
          <w:bCs/>
          <w:color w:val="auto"/>
          <w:sz w:val="32"/>
          <w:szCs w:val="32"/>
          <w:highlight w:val="none"/>
          <w:u w:val="none"/>
        </w:rPr>
        <w:t>项目管理股</w:t>
      </w:r>
    </w:p>
    <w:p>
      <w:pPr>
        <w:spacing w:line="560" w:lineRule="exact"/>
        <w:ind w:firstLine="640" w:firstLineChars="200"/>
        <w:rPr>
          <w:rFonts w:hint="eastAsia" w:ascii="仿宋_GB2312" w:hAnsi="仿宋_GB2312" w:eastAsia="仿宋_GB2312" w:cs="仿宋_GB2312"/>
          <w:color w:val="auto"/>
          <w:sz w:val="32"/>
          <w:szCs w:val="32"/>
          <w:highlight w:val="none"/>
          <w:u w:val="none"/>
        </w:rPr>
        <w:sectPr>
          <w:footerReference r:id="rId7"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color w:val="auto"/>
          <w:sz w:val="32"/>
          <w:szCs w:val="32"/>
          <w:highlight w:val="none"/>
          <w:u w:val="none"/>
        </w:rPr>
        <w:t>负责扶贫项目的规划，建立扶贫项目储备库。年度上报项目的编制和实施项目的监督检查；负责扶贫基础设施建设项目、全县“整村推进”项目、重点扶持村建设项目、整乡推进综合</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试点及其他扶贫项目的测设和施工管理、检查验收及材料总结等工作。起草本股文件、材料。对应联</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系开展综治维稳、安全生产工作。完成本股年度总结及</w:t>
      </w:r>
      <w:r>
        <w:rPr>
          <w:rFonts w:hint="eastAsia" w:ascii="仿宋_GB2312" w:hAnsi="仿宋_GB2312" w:eastAsia="仿宋_GB2312" w:cs="仿宋_GB2312"/>
          <w:color w:val="auto"/>
          <w:sz w:val="32"/>
          <w:szCs w:val="32"/>
          <w:highlight w:val="none"/>
          <w:u w:val="none"/>
          <w:lang w:eastAsia="zh-CN"/>
        </w:rPr>
        <w:t>局领导</w:t>
      </w:r>
      <w:r>
        <w:rPr>
          <w:rFonts w:hint="eastAsia" w:ascii="仿宋_GB2312" w:hAnsi="仿宋_GB2312" w:eastAsia="仿宋_GB2312" w:cs="仿宋_GB2312"/>
          <w:color w:val="auto"/>
          <w:sz w:val="32"/>
          <w:szCs w:val="32"/>
          <w:highlight w:val="none"/>
          <w:u w:val="none"/>
        </w:rPr>
        <w:t>交办的其他工作。</w:t>
      </w:r>
    </w:p>
    <w:p>
      <w:pPr>
        <w:spacing w:line="560" w:lineRule="exact"/>
        <w:ind w:firstLine="643" w:firstLineChars="200"/>
        <w:rPr>
          <w:rFonts w:hint="eastAsia" w:ascii="黑体" w:hAnsi="黑体" w:eastAsia="黑体" w:cs="黑体"/>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3、</w:t>
      </w:r>
      <w:r>
        <w:rPr>
          <w:rFonts w:hint="eastAsia" w:ascii="楷体_GB2312" w:hAnsi="楷体_GB2312" w:eastAsia="楷体_GB2312" w:cs="楷体_GB2312"/>
          <w:b/>
          <w:bCs/>
          <w:color w:val="auto"/>
          <w:sz w:val="32"/>
          <w:szCs w:val="32"/>
          <w:highlight w:val="none"/>
          <w:u w:val="none"/>
        </w:rPr>
        <w:t>资金管理股</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负责配合有关部门草拟全县各项扶贫资金投向规划和年度分配计划建议；草拟扶贫资金使用管理办法：督促检查扶贫资金到位和使用管理情况；负责</w:t>
      </w:r>
      <w:r>
        <w:rPr>
          <w:rFonts w:hint="eastAsia" w:ascii="仿宋_GB2312" w:hAnsi="仿宋_GB2312" w:eastAsia="仿宋_GB2312" w:cs="仿宋_GB2312"/>
          <w:color w:val="auto"/>
          <w:sz w:val="32"/>
          <w:szCs w:val="32"/>
          <w:highlight w:val="none"/>
          <w:u w:val="none"/>
          <w:lang w:eastAsia="zh-CN"/>
        </w:rPr>
        <w:t>本局</w:t>
      </w:r>
      <w:r>
        <w:rPr>
          <w:rFonts w:hint="eastAsia" w:ascii="仿宋_GB2312" w:hAnsi="仿宋_GB2312" w:eastAsia="仿宋_GB2312" w:cs="仿宋_GB2312"/>
          <w:color w:val="auto"/>
          <w:sz w:val="32"/>
          <w:szCs w:val="32"/>
          <w:highlight w:val="none"/>
          <w:u w:val="none"/>
        </w:rPr>
        <w:t>财务、编制、医疗保险、公共节能、固定资产的统计上报、</w:t>
      </w:r>
      <w:r>
        <w:rPr>
          <w:rFonts w:hint="eastAsia" w:ascii="仿宋_GB2312" w:hAnsi="仿宋_GB2312" w:eastAsia="仿宋_GB2312" w:cs="仿宋_GB2312"/>
          <w:color w:val="auto"/>
          <w:sz w:val="32"/>
          <w:szCs w:val="32"/>
          <w:highlight w:val="none"/>
          <w:u w:val="none"/>
          <w:lang w:eastAsia="zh-CN"/>
        </w:rPr>
        <w:t>本局</w:t>
      </w:r>
      <w:r>
        <w:rPr>
          <w:rFonts w:hint="eastAsia" w:ascii="仿宋_GB2312" w:hAnsi="仿宋_GB2312" w:eastAsia="仿宋_GB2312" w:cs="仿宋_GB2312"/>
          <w:color w:val="auto"/>
          <w:sz w:val="32"/>
          <w:szCs w:val="32"/>
          <w:highlight w:val="none"/>
          <w:u w:val="none"/>
        </w:rPr>
        <w:t>人员的考核晋级、工资福利等管理工作；协助综合股完成年度各级各部门报刊杂志的征订工作。对应联系县财政、人社、编制等部门开展的各项工作。承担外资扶贫项目管理中心的各项工作。完成本股年度总结及</w:t>
      </w:r>
      <w:r>
        <w:rPr>
          <w:rFonts w:hint="eastAsia" w:ascii="仿宋_GB2312" w:hAnsi="仿宋_GB2312" w:eastAsia="仿宋_GB2312" w:cs="仿宋_GB2312"/>
          <w:color w:val="auto"/>
          <w:sz w:val="32"/>
          <w:szCs w:val="32"/>
          <w:highlight w:val="none"/>
          <w:u w:val="none"/>
          <w:lang w:eastAsia="zh-CN"/>
        </w:rPr>
        <w:t>局领导</w:t>
      </w:r>
      <w:r>
        <w:rPr>
          <w:rFonts w:hint="eastAsia" w:ascii="仿宋_GB2312" w:hAnsi="仿宋_GB2312" w:eastAsia="仿宋_GB2312" w:cs="仿宋_GB2312"/>
          <w:color w:val="auto"/>
          <w:sz w:val="32"/>
          <w:szCs w:val="32"/>
          <w:highlight w:val="none"/>
          <w:u w:val="none"/>
        </w:rPr>
        <w:t>交办的其他工作。</w:t>
      </w:r>
    </w:p>
    <w:p>
      <w:pPr>
        <w:spacing w:line="560" w:lineRule="exact"/>
        <w:ind w:firstLine="643" w:firstLineChars="200"/>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4、</w:t>
      </w:r>
      <w:r>
        <w:rPr>
          <w:rFonts w:hint="eastAsia" w:ascii="楷体_GB2312" w:hAnsi="楷体_GB2312" w:eastAsia="楷体_GB2312" w:cs="楷体_GB2312"/>
          <w:b/>
          <w:bCs/>
          <w:color w:val="auto"/>
          <w:sz w:val="32"/>
          <w:szCs w:val="32"/>
          <w:highlight w:val="none"/>
          <w:u w:val="none"/>
        </w:rPr>
        <w:t>社会扶贫股</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负责</w:t>
      </w:r>
      <w:r>
        <w:rPr>
          <w:rFonts w:hint="eastAsia" w:ascii="仿宋_GB2312" w:hAnsi="仿宋_GB2312" w:eastAsia="仿宋_GB2312" w:cs="仿宋_GB2312"/>
          <w:color w:val="auto"/>
          <w:sz w:val="32"/>
          <w:szCs w:val="32"/>
          <w:highlight w:val="none"/>
          <w:u w:val="none"/>
        </w:rPr>
        <w:t>贫困农村实用技术培训、贫困农村劳动力转移就业培训、“雨露计划”培训等扶贫培训等工作；负责上述项目立项审核和项目实施检查、评价和验收材料总结；做好贫困农村劳务输出管理；扶贫物资的保管、发放；负责</w:t>
      </w:r>
      <w:r>
        <w:rPr>
          <w:rFonts w:hint="eastAsia" w:ascii="仿宋_GB2312" w:hAnsi="仿宋_GB2312" w:eastAsia="仿宋_GB2312" w:cs="仿宋_GB2312"/>
          <w:color w:val="auto"/>
          <w:sz w:val="32"/>
          <w:szCs w:val="32"/>
          <w:highlight w:val="none"/>
          <w:u w:val="none"/>
          <w:lang w:eastAsia="zh-CN"/>
        </w:rPr>
        <w:t>本局</w:t>
      </w:r>
      <w:r>
        <w:rPr>
          <w:rFonts w:hint="eastAsia" w:ascii="仿宋_GB2312" w:hAnsi="仿宋_GB2312" w:eastAsia="仿宋_GB2312" w:cs="仿宋_GB2312"/>
          <w:color w:val="auto"/>
          <w:sz w:val="32"/>
          <w:szCs w:val="32"/>
          <w:highlight w:val="none"/>
          <w:u w:val="none"/>
        </w:rPr>
        <w:t>扶贫点的联络工作；完成本股年度总结及</w:t>
      </w:r>
      <w:r>
        <w:rPr>
          <w:rFonts w:hint="eastAsia" w:ascii="仿宋_GB2312" w:hAnsi="仿宋_GB2312" w:eastAsia="仿宋_GB2312" w:cs="仿宋_GB2312"/>
          <w:color w:val="auto"/>
          <w:sz w:val="32"/>
          <w:szCs w:val="32"/>
          <w:highlight w:val="none"/>
          <w:u w:val="none"/>
          <w:lang w:eastAsia="zh-CN"/>
        </w:rPr>
        <w:t>局领导</w:t>
      </w:r>
      <w:r>
        <w:rPr>
          <w:rFonts w:hint="eastAsia" w:ascii="仿宋_GB2312" w:hAnsi="仿宋_GB2312" w:eastAsia="仿宋_GB2312" w:cs="仿宋_GB2312"/>
          <w:color w:val="auto"/>
          <w:sz w:val="32"/>
          <w:szCs w:val="32"/>
          <w:highlight w:val="none"/>
          <w:u w:val="none"/>
        </w:rPr>
        <w:t>交办的其他工作。</w:t>
      </w:r>
    </w:p>
    <w:p>
      <w:pPr>
        <w:spacing w:line="560" w:lineRule="exact"/>
        <w:ind w:firstLine="643" w:firstLineChars="200"/>
        <w:rPr>
          <w:rFonts w:hint="eastAsia" w:ascii="仿宋_GB2312" w:hAnsi="仿宋_GB2312" w:eastAsia="仿宋_GB2312" w:cs="仿宋_GB2312"/>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5、</w:t>
      </w:r>
      <w:r>
        <w:rPr>
          <w:rFonts w:hint="eastAsia" w:ascii="楷体_GB2312" w:hAnsi="楷体_GB2312" w:eastAsia="楷体_GB2312" w:cs="楷体_GB2312"/>
          <w:b/>
          <w:bCs/>
          <w:color w:val="auto"/>
          <w:sz w:val="32"/>
          <w:szCs w:val="32"/>
          <w:highlight w:val="none"/>
          <w:u w:val="none"/>
        </w:rPr>
        <w:t>政研督查股</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负责组织</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的调查研究；起草</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管理的地方性法规、规章、规范性文件；督促检查</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政策措施的落实和扶贫资金管理使用、扶贫项目规划和实施情况；组织对开发扶贫项目监督检查；收集开发扶贫资料，发布开发扶贫信息；对应联系组织部、宣传部、县直工委开展的组织建设、思想建设、机关党建工作、行政效能、绩效考评等工作。完成本股年度总结及</w:t>
      </w:r>
      <w:r>
        <w:rPr>
          <w:rFonts w:hint="eastAsia" w:ascii="仿宋_GB2312" w:hAnsi="仿宋_GB2312" w:eastAsia="仿宋_GB2312" w:cs="仿宋_GB2312"/>
          <w:color w:val="auto"/>
          <w:sz w:val="32"/>
          <w:szCs w:val="32"/>
          <w:highlight w:val="none"/>
          <w:u w:val="none"/>
          <w:lang w:eastAsia="zh-CN"/>
        </w:rPr>
        <w:t>局领导</w:t>
      </w:r>
      <w:r>
        <w:rPr>
          <w:rFonts w:hint="eastAsia" w:ascii="仿宋_GB2312" w:hAnsi="仿宋_GB2312" w:eastAsia="仿宋_GB2312" w:cs="仿宋_GB2312"/>
          <w:color w:val="auto"/>
          <w:sz w:val="32"/>
          <w:szCs w:val="32"/>
          <w:highlight w:val="none"/>
          <w:u w:val="none"/>
        </w:rPr>
        <w:t>交办的其他工作。</w:t>
      </w:r>
    </w:p>
    <w:p>
      <w:pPr>
        <w:spacing w:line="560" w:lineRule="exact"/>
        <w:ind w:firstLine="643" w:firstLineChars="200"/>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6、</w:t>
      </w:r>
      <w:r>
        <w:rPr>
          <w:rFonts w:hint="eastAsia" w:ascii="楷体_GB2312" w:hAnsi="楷体_GB2312" w:eastAsia="楷体_GB2312" w:cs="楷体_GB2312"/>
          <w:b/>
          <w:bCs/>
          <w:color w:val="auto"/>
          <w:sz w:val="32"/>
          <w:szCs w:val="32"/>
          <w:highlight w:val="none"/>
          <w:u w:val="none"/>
        </w:rPr>
        <w:t>外资扶贫项目管理及信息中心</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负责开展调查研究，参与制定外资扶贫的中长期规划；承担外资扶贫项目引进、论证和申报等方面的具体工作；承担外资扶贫项目的组织、实施与管理工作；开展外资扶贫项目的宣传及项目人员培训工作；负责开展与国内外社会、经济组织在扶贫领域的合作交流，积极争取外资用于扶贫；协助做好河池外资扶贫项目管理中心和广西壮族自治区外资扶贫项目管理中心安排的相关项目；完成本中心年度总结和自治县</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办公室交办的工作。</w:t>
      </w:r>
    </w:p>
    <w:p>
      <w:pPr>
        <w:numPr>
          <w:ilvl w:val="0"/>
          <w:numId w:val="0"/>
        </w:numPr>
        <w:spacing w:line="560" w:lineRule="exact"/>
        <w:ind w:firstLine="643" w:firstLineChars="200"/>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7、帮扶协作股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负责对外联络和社会扶贫的管理工作，广东对口帮扶项目；组织、协调、指导信贷贴息扶贫项目；贫困村互助资金协会项目的调查、立项申报、组织实施、监督管理、检查验收和材料汇报；区内外对口帮扶、政府中心工作、年度计划</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32"/>
          <w:szCs w:val="32"/>
          <w:highlight w:val="none"/>
          <w:u w:val="none"/>
        </w:rPr>
      </w:pPr>
      <w:r>
        <w:rPr>
          <w:rFonts w:hint="eastAsia" w:ascii="黑体" w:hAnsi="黑体" w:eastAsia="黑体" w:cs="黑体"/>
          <w:color w:val="auto"/>
          <w:sz w:val="32"/>
          <w:szCs w:val="32"/>
          <w:highlight w:val="none"/>
          <w:u w:val="none"/>
          <w:lang w:eastAsia="zh-CN"/>
        </w:rPr>
        <w:t>　（二）</w:t>
      </w:r>
      <w:r>
        <w:rPr>
          <w:rFonts w:hint="eastAsia" w:ascii="黑体" w:hAnsi="黑体" w:eastAsia="黑体" w:cs="黑体"/>
          <w:color w:val="auto"/>
          <w:sz w:val="32"/>
          <w:szCs w:val="32"/>
          <w:highlight w:val="none"/>
          <w:u w:val="none"/>
        </w:rPr>
        <w:t>人员构成情况</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人员编制总数为</w:t>
      </w:r>
      <w:r>
        <w:rPr>
          <w:rFonts w:hint="eastAsia" w:ascii="仿宋_GB2312" w:hAnsi="仿宋_GB2312" w:eastAsia="仿宋_GB2312" w:cs="仿宋_GB2312"/>
          <w:color w:val="auto"/>
          <w:sz w:val="32"/>
          <w:szCs w:val="32"/>
          <w:highlight w:val="none"/>
          <w:u w:val="none"/>
          <w:lang w:val="en-US" w:eastAsia="zh-CN"/>
        </w:rPr>
        <w:t>32</w:t>
      </w:r>
      <w:r>
        <w:rPr>
          <w:rFonts w:hint="eastAsia" w:ascii="仿宋_GB2312" w:hAnsi="仿宋_GB2312" w:eastAsia="仿宋_GB2312" w:cs="仿宋_GB2312"/>
          <w:color w:val="auto"/>
          <w:sz w:val="32"/>
          <w:szCs w:val="32"/>
          <w:highlight w:val="none"/>
          <w:u w:val="none"/>
        </w:rPr>
        <w:t>人，其中行政编制</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人，事业编制</w:t>
      </w: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rPr>
        <w:t>人，机关后勤服务中心聘用人员控制数</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人。实有财政供养人数</w:t>
      </w:r>
      <w:r>
        <w:rPr>
          <w:rFonts w:hint="eastAsia" w:ascii="仿宋_GB2312" w:hAnsi="仿宋_GB2312" w:eastAsia="仿宋_GB2312" w:cs="仿宋_GB2312"/>
          <w:color w:val="auto"/>
          <w:sz w:val="32"/>
          <w:szCs w:val="32"/>
          <w:highlight w:val="none"/>
          <w:u w:val="none"/>
          <w:lang w:val="en-US" w:eastAsia="zh-CN"/>
        </w:rPr>
        <w:t>42</w:t>
      </w:r>
      <w:r>
        <w:rPr>
          <w:rFonts w:hint="eastAsia" w:ascii="仿宋_GB2312" w:hAnsi="仿宋_GB2312" w:eastAsia="仿宋_GB2312" w:cs="仿宋_GB2312"/>
          <w:color w:val="auto"/>
          <w:sz w:val="32"/>
          <w:szCs w:val="32"/>
          <w:highlight w:val="none"/>
          <w:u w:val="none"/>
        </w:rPr>
        <w:t>人，其中行政在职</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人，事业在职</w:t>
      </w: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rPr>
        <w:t>人，机关后勤服务中心聘用人员控制数</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退休人员</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人。编外在职实有人数</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人。</w:t>
      </w:r>
    </w:p>
    <w:p>
      <w:pPr>
        <w:jc w:val="both"/>
        <w:rPr>
          <w:rFonts w:hint="eastAsia" w:ascii="仿宋" w:hAnsi="仿宋" w:eastAsia="仿宋" w:cs="仿宋"/>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headerReference r:id="rId8" w:type="default"/>
          <w:pgSz w:w="11906" w:h="16838"/>
          <w:pgMar w:top="1440" w:right="1800" w:bottom="1440" w:left="1800" w:header="851" w:footer="992" w:gutter="0"/>
          <w:pgNumType w:fmt="decimal"/>
          <w:cols w:space="425" w:num="1"/>
          <w:docGrid w:type="lines" w:linePitch="312" w:charSpace="0"/>
        </w:sectPr>
      </w:pPr>
    </w:p>
    <w:p>
      <w:pPr>
        <w:jc w:val="both"/>
        <w:rPr>
          <w:rFonts w:hint="eastAsia"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环江毛南族自治县乡村振兴局</w:t>
      </w:r>
      <w:r>
        <w:rPr>
          <w:rFonts w:hint="eastAsia" w:ascii="黑体" w:hAnsi="黑体" w:eastAsia="黑体" w:cs="黑体"/>
          <w:color w:val="auto"/>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2669"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17634.67</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2.80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41.81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17476.54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color w:val="auto"/>
              </w:rPr>
              <w:t>32.12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78.48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17634.67</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17634.67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17634.67</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color w:val="auto"/>
              </w:rPr>
              <w:t>17634.67</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1092"/>
        <w:gridCol w:w="1676"/>
        <w:gridCol w:w="1636"/>
        <w:gridCol w:w="1110"/>
        <w:gridCol w:w="1189"/>
        <w:gridCol w:w="1114"/>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2"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7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3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1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8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14"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7838" w:type="dxa"/>
            <w:gridSpan w:val="7"/>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1110"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89"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14"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5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6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942"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42"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42"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45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45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17,634.67</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17,634.67</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201</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一般公共服务支出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20129</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群众团体事务</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2012999</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其他群众团体事务支出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208</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社会保障和就业支出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20805</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2080505</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机关事业单位基本养老保险缴费支出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农林水支出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17,476.54</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17,476.54</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21301</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农业农村</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2130104</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事业运行</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巩固脱贫衔接乡村振兴</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17,451.56</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17,451.56</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2130501</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行政运行</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554.87</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554.87</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2130504</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农村基础设施建设</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6,986.64</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6,986.64</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2130505</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生产发展</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4,730.27</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4,730.27</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2130507</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贷款奖补和贴息</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1,645.60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1,645.60</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2130550</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事业运行</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39.78</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2130599</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其他巩固脱贫衔接乡村振兴支出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3,494.40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3,494.40</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221</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住房保障支出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32.12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32.12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22102</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住房改革支出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32.12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32.12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2210201</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住房公积金</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32.12</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32.12</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229</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其他支出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78.48</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78.48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22999</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其他支出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78.48</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78.48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2299999</w:t>
            </w:r>
          </w:p>
        </w:tc>
        <w:tc>
          <w:tcPr>
            <w:tcW w:w="29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其他支出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1653"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17,634.67</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555.13</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17,079.54</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17,476.54</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397.00</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17,079.54</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24.98</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17,451.56</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372.02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17,079.54</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554.87</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327.67</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227.20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农村基础设施建设</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6,986.64</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6,986.64</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生产发展</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4,730.27</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4,730.27</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贷款奖补和贴息</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1,645.60</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1,645.60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2130550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39.78</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2130599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其他巩固脱贫衔接乡村振兴支出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3,494.40</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4.57</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3,489.83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14077" w:type="dxa"/>
        <w:tblInd w:w="0" w:type="dxa"/>
        <w:tblLayout w:type="fixed"/>
        <w:tblCellMar>
          <w:top w:w="0" w:type="dxa"/>
          <w:left w:w="108" w:type="dxa"/>
          <w:bottom w:w="0" w:type="dxa"/>
          <w:right w:w="108" w:type="dxa"/>
        </w:tblCellMar>
      </w:tblPr>
      <w:tblGrid>
        <w:gridCol w:w="2214"/>
        <w:gridCol w:w="785"/>
        <w:gridCol w:w="1307"/>
        <w:gridCol w:w="2360"/>
        <w:gridCol w:w="853"/>
        <w:gridCol w:w="1428"/>
        <w:gridCol w:w="1433"/>
        <w:gridCol w:w="1859"/>
        <w:gridCol w:w="1838"/>
      </w:tblGrid>
      <w:tr>
        <w:tblPrEx>
          <w:tblCellMar>
            <w:top w:w="0" w:type="dxa"/>
            <w:left w:w="108" w:type="dxa"/>
            <w:bottom w:w="0" w:type="dxa"/>
            <w:right w:w="108" w:type="dxa"/>
          </w:tblCellMar>
        </w:tblPrEx>
        <w:trPr>
          <w:trHeight w:val="520" w:hRule="atLeast"/>
        </w:trPr>
        <w:tc>
          <w:tcPr>
            <w:tcW w:w="14077"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2214"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78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7"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5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8"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3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85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838"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8947" w:type="dxa"/>
            <w:gridSpan w:val="6"/>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1433"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859"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838"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43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977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2" w:hRule="atLeast"/>
        </w:trPr>
        <w:tc>
          <w:tcPr>
            <w:tcW w:w="22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4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1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1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22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7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17,634.67</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5.72</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41.81</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17,476.54</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17,476.54</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78.48</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17,634.67</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17,634.67</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17,634.67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kern w:val="0"/>
                <w:sz w:val="22"/>
                <w:szCs w:val="22"/>
                <w:highlight w:val="none"/>
                <w:lang w:bidi="ar"/>
              </w:rPr>
            </w:pP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kern w:val="0"/>
                <w:sz w:val="22"/>
                <w:szCs w:val="22"/>
                <w:highlight w:val="none"/>
                <w:lang w:bidi="ar"/>
              </w:rPr>
            </w:pP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kern w:val="0"/>
                <w:sz w:val="22"/>
                <w:szCs w:val="22"/>
                <w:highlight w:val="none"/>
                <w:lang w:bidi="ar"/>
              </w:rPr>
            </w:pP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kern w:val="0"/>
                <w:sz w:val="22"/>
                <w:szCs w:val="22"/>
                <w:highlight w:val="none"/>
                <w:lang w:bidi="ar"/>
              </w:rPr>
            </w:pP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kern w:val="0"/>
                <w:sz w:val="22"/>
                <w:szCs w:val="22"/>
                <w:highlight w:val="none"/>
                <w:lang w:bidi="ar"/>
              </w:rPr>
            </w:pP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kern w:val="0"/>
                <w:sz w:val="22"/>
                <w:szCs w:val="22"/>
                <w:highlight w:val="none"/>
                <w:lang w:bidi="ar"/>
              </w:rPr>
            </w:pP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17,634.67</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17,634.67</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17,634.67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239" w:type="dxa"/>
            <w:gridSpan w:val="8"/>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1838" w:type="dxa"/>
            <w:tcBorders>
              <w:top w:val="single" w:color="auto" w:sz="4" w:space="0"/>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3107"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17,634.67</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555.13</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i w:val="0"/>
                <w:iCs w:val="0"/>
                <w:color w:val="auto"/>
                <w:kern w:val="0"/>
                <w:sz w:val="22"/>
                <w:szCs w:val="22"/>
                <w:u w:val="none"/>
                <w:lang w:val="en-US" w:eastAsia="zh-CN" w:bidi="ar"/>
              </w:rPr>
              <w:t>17,079.54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41.81</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41.81</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41.81</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41.81</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41.81</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41.81</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17,476.54</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397.00</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17,079.54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24.98</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24.98</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24.98</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24.98</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巩固脱贫衔接乡村振兴</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17,451.56</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372.02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17,079.54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554.87</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327.67</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227.20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农村基础设施建设</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6,986.64</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6,986.64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生产发展</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4,730.27</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4,730.27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贷款奖补和贴息</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1,645.60</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1,645.60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2130550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39.78</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39.78</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2130599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其他巩固脱贫衔接乡村振兴支出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3,494.40</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4.57</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3,489.83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32.12</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78.48</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78.48</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78.48</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78.48</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78.48</w:t>
            </w:r>
          </w:p>
        </w:tc>
        <w:tc>
          <w:tcPr>
            <w:tcW w:w="3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78.48</w:t>
            </w:r>
          </w:p>
        </w:tc>
        <w:tc>
          <w:tcPr>
            <w:tcW w:w="2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1160"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bookmarkStart w:id="0" w:name="OLE_LINK3"/>
            <w:bookmarkStart w:id="1" w:name="OLE_LINK4"/>
            <w:r>
              <w:rPr>
                <w:rFonts w:hint="eastAsia" w:ascii="宋体" w:hAnsi="宋体" w:eastAsia="宋体" w:cs="宋体"/>
                <w:i w:val="0"/>
                <w:iCs w:val="0"/>
                <w:color w:val="auto"/>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430.95</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79.72</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114.95</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办公费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33.26</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26.61</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印刷费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0.14</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奖金</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107.63</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咨询费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2.58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手续费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38.29</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水费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0.52</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2.58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47.72</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2.66</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邮电费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2.52</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18.50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取暖费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0.03</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1.67</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差旅费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14.06</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40.36</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医疗费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0.10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35.22</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租赁费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41.88</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会议费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离休费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培训费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1.65</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退休费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10.92</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抚恤金</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24.98</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9.15</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救济费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劳务费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0.96</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助学金</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5.72</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奖励金</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福利费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2.85</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2.23</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7.74</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2.11</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472.84</w:t>
            </w:r>
          </w:p>
        </w:tc>
        <w:tc>
          <w:tcPr>
            <w:tcW w:w="810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82.30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hint="eastAsia" w:ascii="仿宋" w:hAnsi="仿宋" w:eastAsia="仿宋" w:cs="仿宋"/>
          <w:color w:val="auto"/>
          <w:sz w:val="24"/>
          <w:highlight w:val="none"/>
          <w:lang w:eastAsia="zh-CN"/>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1680"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auto"/>
                <w:sz w:val="22"/>
                <w:szCs w:val="22"/>
                <w:highlight w:val="none"/>
                <w:lang w:eastAsia="zh-CN"/>
              </w:rPr>
            </w:pP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我单位2022年度没有政府性基金预算财政拨款收入，也没有政府性基金预算财政拨款安排的支出，故本表无数据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jc w:val="left"/>
        <w:rPr>
          <w:rFonts w:ascii="仿宋" w:hAnsi="仿宋" w:eastAsia="仿宋" w:cs="仿宋"/>
          <w:color w:val="auto"/>
          <w:sz w:val="24"/>
          <w:highlight w:val="none"/>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313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13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06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13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06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auto"/>
          <w:kern w:val="0"/>
          <w:sz w:val="32"/>
          <w:szCs w:val="3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32"/>
          <w:szCs w:val="32"/>
          <w:highlight w:val="none"/>
          <w:lang w:bidi="ar"/>
        </w:rPr>
      </w:pPr>
      <w:r>
        <w:rPr>
          <w:rFonts w:hint="eastAsia" w:ascii="宋体" w:hAnsi="宋体" w:eastAsia="宋体" w:cs="宋体"/>
          <w:color w:val="auto"/>
          <w:kern w:val="0"/>
          <w:sz w:val="22"/>
          <w:szCs w:val="22"/>
          <w:highlight w:val="none"/>
          <w:lang w:val="en-US" w:eastAsia="zh-CN" w:bidi="ar"/>
        </w:rPr>
        <w:t>我单位2022年度没有国有资本经营预算财政拨款收入，也没有国有资本经营预算财政拨款安排的支出，故本表无数据</w:t>
      </w:r>
      <w:r>
        <w:rPr>
          <w:rFonts w:hint="eastAsia" w:ascii="宋体" w:hAnsi="宋体" w:eastAsia="宋体" w:cs="宋体"/>
          <w:color w:val="auto"/>
          <w:kern w:val="0"/>
          <w:sz w:val="32"/>
          <w:szCs w:val="3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环江毛南族自治县乡村振兴局</w:t>
            </w:r>
          </w:p>
        </w:tc>
        <w:tc>
          <w:tcPr>
            <w:tcW w:w="1066"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22.21</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2.85</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2.85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19.37</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i w:val="0"/>
                <w:iCs w:val="0"/>
                <w:color w:val="auto"/>
                <w:kern w:val="0"/>
                <w:sz w:val="22"/>
                <w:szCs w:val="22"/>
                <w:u w:val="none"/>
                <w:lang w:val="en-US" w:eastAsia="zh-CN" w:bidi="ar"/>
              </w:rPr>
              <w:t>22.21</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2.85</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color w:val="auto"/>
                <w:highlight w:val="none"/>
              </w:rPr>
            </w:pPr>
            <w:r>
              <w:rPr>
                <w:rFonts w:hint="eastAsia" w:ascii="宋体" w:hAnsi="宋体" w:eastAsia="宋体" w:cs="宋体"/>
                <w:i w:val="0"/>
                <w:iCs w:val="0"/>
                <w:color w:val="auto"/>
                <w:kern w:val="0"/>
                <w:sz w:val="22"/>
                <w:szCs w:val="22"/>
                <w:u w:val="none"/>
                <w:lang w:val="en-US" w:eastAsia="zh-CN" w:bidi="ar"/>
              </w:rPr>
              <w:t>2.85</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color w:val="auto"/>
                <w:highlight w:val="none"/>
              </w:rPr>
            </w:pPr>
            <w:r>
              <w:rPr>
                <w:rFonts w:hint="eastAsia" w:ascii="宋体" w:hAnsi="宋体" w:eastAsia="宋体" w:cs="宋体"/>
                <w:i w:val="0"/>
                <w:iCs w:val="0"/>
                <w:color w:val="auto"/>
                <w:kern w:val="0"/>
                <w:sz w:val="22"/>
                <w:szCs w:val="22"/>
                <w:u w:val="none"/>
                <w:lang w:val="en-US" w:eastAsia="zh-CN" w:bidi="ar"/>
              </w:rPr>
              <w:t>19.37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firstLine="420" w:firstLineChars="0"/>
        <w:jc w:val="left"/>
        <w:rPr>
          <w:rFonts w:ascii="仿宋" w:hAnsi="仿宋" w:eastAsia="仿宋" w:cs="仿宋"/>
          <w:color w:val="auto"/>
          <w:sz w:val="24"/>
          <w:highlight w:val="none"/>
        </w:rPr>
        <w:sectPr>
          <w:headerReference r:id="rId9" w:type="default"/>
          <w:pgSz w:w="16838" w:h="11906" w:orient="landscape"/>
          <w:pgMar w:top="1800" w:right="1440" w:bottom="1800" w:left="1440" w:header="851" w:footer="992" w:gutter="0"/>
          <w:pgNumType w:fmt="decimal"/>
          <w:cols w:space="425" w:num="1"/>
          <w:docGrid w:type="lines" w:linePitch="312" w:charSpace="0"/>
        </w:sectPr>
      </w:pPr>
    </w:p>
    <w:p>
      <w:pPr>
        <w:jc w:val="left"/>
        <w:rPr>
          <w:rFonts w:ascii="仿宋" w:hAnsi="仿宋" w:eastAsia="仿宋" w:cs="仿宋"/>
          <w:color w:val="auto"/>
          <w:sz w:val="24"/>
          <w:highlight w:val="none"/>
        </w:rPr>
      </w:pPr>
    </w:p>
    <w:p>
      <w:pPr>
        <w:jc w:val="center"/>
        <w:rPr>
          <w:rFonts w:hint="eastAsia" w:ascii="黑体" w:hAnsi="黑体" w:eastAsia="黑体" w:cs="黑体"/>
          <w:color w:val="auto"/>
          <w:sz w:val="32"/>
          <w:u w:color="auto"/>
          <w:lang w:eastAsia="zh-CN"/>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环江毛南族自治县乡村振兴局</w:t>
      </w: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2022年度总收入</w:t>
      </w:r>
      <w:r>
        <w:rPr>
          <w:rFonts w:hint="eastAsia" w:ascii="仿宋_GB2312" w:hAnsi="仿宋_GB2312" w:eastAsia="仿宋_GB2312" w:cs="仿宋_GB2312"/>
          <w:i w:val="0"/>
          <w:iCs w:val="0"/>
          <w:color w:val="auto"/>
          <w:kern w:val="0"/>
          <w:sz w:val="32"/>
          <w:szCs w:val="32"/>
          <w:highlight w:val="none"/>
          <w:u w:val="none"/>
          <w:lang w:val="en-US" w:eastAsia="zh-CN" w:bidi="ar"/>
        </w:rPr>
        <w:t>17634.67</w:t>
      </w:r>
      <w:r>
        <w:rPr>
          <w:rFonts w:hint="eastAsia" w:ascii="仿宋_GB2312" w:hAnsi="仿宋_GB2312" w:eastAsia="仿宋_GB2312" w:cs="仿宋_GB2312"/>
          <w:color w:val="auto"/>
          <w:sz w:val="32"/>
          <w:szCs w:val="32"/>
          <w:highlight w:val="none"/>
        </w:rPr>
        <w:t>万元，较2021年度决算数</w:t>
      </w:r>
      <w:r>
        <w:rPr>
          <w:rFonts w:hint="eastAsia" w:ascii="仿宋_GB2312" w:hAnsi="仿宋_GB2312" w:eastAsia="仿宋_GB2312" w:cs="仿宋_GB2312"/>
          <w:color w:val="auto"/>
          <w:kern w:val="0"/>
          <w:sz w:val="32"/>
          <w:szCs w:val="32"/>
          <w:highlight w:val="none"/>
          <w:u w:val="none"/>
        </w:rPr>
        <w:t>增加</w:t>
      </w:r>
      <w:r>
        <w:rPr>
          <w:rFonts w:hint="eastAsia" w:ascii="仿宋_GB2312" w:hAnsi="仿宋_GB2312" w:eastAsia="仿宋_GB2312" w:cs="仿宋_GB2312"/>
          <w:color w:val="auto"/>
          <w:kern w:val="0"/>
          <w:sz w:val="32"/>
          <w:szCs w:val="32"/>
          <w:highlight w:val="none"/>
          <w:u w:val="none"/>
          <w:lang w:val="en-US" w:eastAsia="zh-CN"/>
        </w:rPr>
        <w:t>4791.62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kern w:val="0"/>
          <w:sz w:val="32"/>
          <w:szCs w:val="32"/>
          <w:highlight w:val="none"/>
          <w:u w:val="none"/>
        </w:rPr>
        <w:t>增长</w:t>
      </w:r>
      <w:r>
        <w:rPr>
          <w:rFonts w:hint="eastAsia" w:ascii="仿宋_GB2312" w:hAnsi="仿宋_GB2312" w:eastAsia="仿宋_GB2312" w:cs="仿宋_GB2312"/>
          <w:color w:val="auto"/>
          <w:kern w:val="0"/>
          <w:sz w:val="32"/>
          <w:szCs w:val="32"/>
          <w:highlight w:val="none"/>
          <w:u w:val="none"/>
          <w:lang w:val="en-US" w:eastAsia="zh-CN"/>
        </w:rPr>
        <w:t>37.31</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rPr>
        <w:t>，收入具体情况如下。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2"/>
          <w:sz w:val="32"/>
          <w:szCs w:val="32"/>
          <w:highlight w:val="none"/>
          <w:lang w:val="en-US" w:eastAsia="zh-CN" w:bidi="ar"/>
        </w:rPr>
        <w:t>1.一般公共预算财政拨款收入</w:t>
      </w:r>
      <w:r>
        <w:rPr>
          <w:rFonts w:hint="eastAsia" w:ascii="仿宋_GB2312" w:hAnsi="仿宋_GB2312" w:eastAsia="仿宋_GB2312" w:cs="仿宋_GB2312"/>
          <w:i w:val="0"/>
          <w:iCs w:val="0"/>
          <w:color w:val="auto"/>
          <w:kern w:val="0"/>
          <w:sz w:val="32"/>
          <w:szCs w:val="32"/>
          <w:highlight w:val="none"/>
          <w:u w:val="none"/>
          <w:lang w:val="en-US" w:eastAsia="zh-CN" w:bidi="ar"/>
        </w:rPr>
        <w:t>17634.67</w:t>
      </w:r>
      <w:r>
        <w:rPr>
          <w:rFonts w:hint="eastAsia" w:ascii="仿宋_GB2312" w:hAnsi="仿宋_GB2312" w:eastAsia="仿宋_GB2312" w:cs="仿宋_GB2312"/>
          <w:color w:val="auto"/>
          <w:kern w:val="2"/>
          <w:sz w:val="32"/>
          <w:szCs w:val="32"/>
          <w:highlight w:val="none"/>
          <w:lang w:val="en-US" w:eastAsia="zh-CN" w:bidi="ar"/>
        </w:rPr>
        <w:t>万元，为</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kern w:val="2"/>
          <w:sz w:val="32"/>
          <w:szCs w:val="32"/>
          <w:highlight w:val="none"/>
          <w:lang w:val="en-US" w:eastAsia="zh-CN" w:bidi="ar"/>
        </w:rPr>
        <w:t>本级财政当年拨付的资金。较2021年度决算数</w:t>
      </w:r>
      <w:r>
        <w:rPr>
          <w:rFonts w:hint="eastAsia" w:ascii="仿宋_GB2312" w:hAnsi="仿宋_GB2312" w:eastAsia="仿宋_GB2312" w:cs="仿宋_GB2312"/>
          <w:color w:val="auto"/>
          <w:kern w:val="0"/>
          <w:sz w:val="32"/>
          <w:szCs w:val="32"/>
          <w:highlight w:val="none"/>
          <w:u w:val="none"/>
        </w:rPr>
        <w:t>增加</w:t>
      </w:r>
      <w:r>
        <w:rPr>
          <w:rFonts w:hint="eastAsia" w:ascii="仿宋_GB2312" w:hAnsi="仿宋_GB2312" w:eastAsia="仿宋_GB2312" w:cs="仿宋_GB2312"/>
          <w:color w:val="auto"/>
          <w:kern w:val="0"/>
          <w:sz w:val="32"/>
          <w:szCs w:val="32"/>
          <w:highlight w:val="none"/>
          <w:u w:val="none"/>
          <w:lang w:val="en-US" w:eastAsia="zh-CN"/>
        </w:rPr>
        <w:t>4791.62</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kern w:val="0"/>
          <w:sz w:val="32"/>
          <w:szCs w:val="32"/>
          <w:highlight w:val="none"/>
          <w:u w:val="none"/>
        </w:rPr>
        <w:t>增长</w:t>
      </w:r>
      <w:r>
        <w:rPr>
          <w:rFonts w:hint="eastAsia" w:ascii="仿宋_GB2312" w:hAnsi="仿宋_GB2312" w:eastAsia="仿宋_GB2312" w:cs="仿宋_GB2312"/>
          <w:color w:val="auto"/>
          <w:kern w:val="0"/>
          <w:sz w:val="32"/>
          <w:szCs w:val="32"/>
          <w:highlight w:val="none"/>
          <w:u w:val="none"/>
          <w:lang w:val="en-US" w:eastAsia="zh-CN"/>
        </w:rPr>
        <w:t>37.31</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w:t>
      </w:r>
      <w:r>
        <w:rPr>
          <w:rFonts w:hint="eastAsia" w:ascii="仿宋_GB2312" w:hAnsi="仿宋_GB2312" w:eastAsia="仿宋_GB2312" w:cs="仿宋_GB2312"/>
          <w:color w:val="auto"/>
          <w:kern w:val="0"/>
          <w:sz w:val="32"/>
          <w:szCs w:val="32"/>
          <w:highlight w:val="none"/>
          <w:u w:val="none"/>
          <w:lang w:val="en-US" w:eastAsia="zh-CN"/>
        </w:rPr>
        <w:t>2022年我单位承担的上级财政专项资金较2021年有增加</w:t>
      </w:r>
      <w:r>
        <w:rPr>
          <w:rFonts w:hint="eastAsia" w:ascii="仿宋_GB2312" w:hAnsi="仿宋_GB2312" w:eastAsia="仿宋_GB2312" w:cs="仿宋_GB2312"/>
          <w:color w:val="auto"/>
          <w:kern w:val="0"/>
          <w:sz w:val="32"/>
          <w:szCs w:val="32"/>
          <w:highlight w:val="none"/>
          <w:u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2.政府性基金预算财政拨款收入</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kern w:val="2"/>
          <w:sz w:val="32"/>
          <w:szCs w:val="32"/>
          <w:highlight w:val="none"/>
          <w:lang w:val="en-US" w:eastAsia="zh-CN" w:bidi="ar"/>
        </w:rPr>
        <w:t>本级财政当年拨付的资金。较2021年度决算数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3.国有资本经营预算财政拨款收入</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kern w:val="2"/>
          <w:sz w:val="32"/>
          <w:szCs w:val="32"/>
          <w:highlight w:val="none"/>
          <w:lang w:val="en-US" w:eastAsia="zh-CN" w:bidi="ar"/>
        </w:rPr>
        <w:t>本级财政当年拨付的资金。较2021年度决算数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4.上级补助收入</w:t>
      </w:r>
      <w:r>
        <w:rPr>
          <w:rFonts w:hint="eastAsia" w:ascii="仿宋_GB2312" w:hAnsi="仿宋_GB2312" w:eastAsia="仿宋_GB2312" w:cs="仿宋_GB2312"/>
          <w:color w:val="auto"/>
          <w:sz w:val="32"/>
          <w:szCs w:val="32"/>
          <w:u w:color="auto"/>
          <w:lang w:val="en-US" w:eastAsia="zh-CN"/>
        </w:rPr>
        <w:t>0.00</w:t>
      </w:r>
      <w:r>
        <w:rPr>
          <w:rFonts w:hint="eastAsia" w:ascii="仿宋_GB2312" w:hAnsi="仿宋_GB2312" w:eastAsia="仿宋_GB2312" w:cs="仿宋_GB2312"/>
          <w:color w:val="auto"/>
          <w:kern w:val="2"/>
          <w:sz w:val="32"/>
          <w:szCs w:val="32"/>
          <w:highlight w:val="none"/>
          <w:lang w:val="en-US" w:eastAsia="zh-CN" w:bidi="ar"/>
        </w:rPr>
        <w:t>万元，为上级部门当年拨付的资金。较2021年度决算数</w:t>
      </w:r>
      <w:r>
        <w:rPr>
          <w:rFonts w:hint="eastAsia" w:ascii="仿宋_GB2312" w:hAnsi="仿宋_GB2312" w:eastAsia="仿宋_GB2312" w:cs="仿宋_GB2312"/>
          <w:color w:val="auto"/>
          <w:sz w:val="32"/>
          <w:szCs w:val="32"/>
          <w:u w:color="auto"/>
        </w:rPr>
        <w:t>增加</w:t>
      </w:r>
      <w:r>
        <w:rPr>
          <w:rFonts w:hint="eastAsia" w:ascii="仿宋_GB2312" w:hAnsi="仿宋_GB2312" w:eastAsia="仿宋_GB2312" w:cs="仿宋_GB2312"/>
          <w:color w:val="auto"/>
          <w:sz w:val="32"/>
          <w:szCs w:val="32"/>
          <w:u w:color="auto"/>
          <w:lang w:val="en-US" w:eastAsia="zh-CN"/>
        </w:rPr>
        <w:t>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w:t>
      </w:r>
      <w:r>
        <w:rPr>
          <w:rFonts w:hint="eastAsia" w:ascii="仿宋_GB2312" w:hAnsi="仿宋_GB2312" w:eastAsia="仿宋_GB2312" w:cs="仿宋_GB2312"/>
          <w:color w:val="auto"/>
          <w:sz w:val="32"/>
          <w:szCs w:val="32"/>
          <w:u w:color="auto"/>
          <w:lang w:val="en-US" w:eastAsia="zh-CN"/>
        </w:rPr>
        <w:t>0.00</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5.事业收入</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kern w:val="2"/>
          <w:sz w:val="32"/>
          <w:szCs w:val="32"/>
          <w:highlight w:val="none"/>
          <w:lang w:val="en-US" w:eastAsia="zh-CN" w:bidi="ar"/>
        </w:rPr>
        <w:t>万元，为事业单位开展业务活动取得的收入。较2021年度决算数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6.经营收入0.00万,为事业单位在业务活动之外开展非独立核算经营活动取得的收入。较2021年度决算数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7.附属单位上缴收入</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kern w:val="2"/>
          <w:sz w:val="32"/>
          <w:szCs w:val="32"/>
          <w:highlight w:val="none"/>
          <w:lang w:val="en-US" w:eastAsia="zh-CN" w:bidi="ar"/>
        </w:rPr>
        <w:t>万元。较2021年度决算数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8.其他收入</w:t>
      </w:r>
      <w:r>
        <w:rPr>
          <w:rFonts w:hint="eastAsia" w:ascii="仿宋_GB2312" w:hAnsi="仿宋_GB2312" w:eastAsia="仿宋_GB2312" w:cs="仿宋_GB2312"/>
          <w:color w:val="auto"/>
          <w:sz w:val="32"/>
          <w:szCs w:val="32"/>
          <w:u w:color="auto"/>
          <w:lang w:val="en-US" w:eastAsia="zh-CN"/>
        </w:rPr>
        <w:t>0.00</w:t>
      </w:r>
      <w:r>
        <w:rPr>
          <w:rFonts w:hint="eastAsia" w:ascii="仿宋_GB2312" w:hAnsi="仿宋_GB2312" w:eastAsia="仿宋_GB2312" w:cs="仿宋_GB2312"/>
          <w:color w:val="auto"/>
          <w:kern w:val="2"/>
          <w:sz w:val="32"/>
          <w:szCs w:val="32"/>
          <w:highlight w:val="none"/>
          <w:lang w:val="en-US" w:eastAsia="zh-CN" w:bidi="ar"/>
        </w:rPr>
        <w:t>万元,预算单位在“财政拨款收入”“事业收入”“经营收入”之外取得的收入。较2021年度决算数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9.使用非财政拨款结余</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10.上年结转和结余</w:t>
      </w:r>
      <w:r>
        <w:rPr>
          <w:rFonts w:hint="eastAsia" w:ascii="仿宋_GB2312" w:hAnsi="仿宋_GB2312" w:eastAsia="仿宋_GB2312" w:cs="仿宋_GB2312"/>
          <w:color w:val="auto"/>
          <w:sz w:val="32"/>
          <w:szCs w:val="32"/>
          <w:u w:color="auto"/>
          <w:lang w:val="en-US" w:eastAsia="zh-CN"/>
        </w:rPr>
        <w:t>0.00</w:t>
      </w:r>
      <w:r>
        <w:rPr>
          <w:rFonts w:hint="eastAsia" w:ascii="仿宋_GB2312" w:hAnsi="仿宋_GB2312" w:eastAsia="仿宋_GB2312" w:cs="仿宋_GB2312"/>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sz w:val="32"/>
          <w:szCs w:val="32"/>
          <w:u w:color="auto"/>
          <w:lang w:eastAsia="zh-CN"/>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u w:val="none"/>
        </w:rPr>
        <w:t>是本年度无本项收入</w:t>
      </w:r>
      <w:r>
        <w:rPr>
          <w:rFonts w:hint="eastAsia" w:ascii="仿宋_GB2312" w:hAnsi="仿宋_GB2312" w:eastAsia="仿宋_GB2312" w:cs="仿宋_GB2312"/>
          <w:color w:val="auto"/>
          <w:kern w:val="2"/>
          <w:sz w:val="32"/>
          <w:szCs w:val="32"/>
          <w:highlight w:val="none"/>
          <w:lang w:val="en-US" w:eastAsia="zh-CN" w:bidi="ar"/>
        </w:rPr>
        <w:t>。</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2022年度总支出</w:t>
      </w:r>
      <w:r>
        <w:rPr>
          <w:rFonts w:hint="eastAsia" w:ascii="仿宋_GB2312" w:hAnsi="仿宋_GB2312" w:eastAsia="仿宋_GB2312" w:cs="仿宋_GB2312"/>
          <w:i w:val="0"/>
          <w:iCs w:val="0"/>
          <w:color w:val="auto"/>
          <w:kern w:val="0"/>
          <w:sz w:val="32"/>
          <w:szCs w:val="32"/>
          <w:highlight w:val="none"/>
          <w:u w:val="none"/>
          <w:lang w:val="en-US" w:eastAsia="zh-CN" w:bidi="ar"/>
        </w:rPr>
        <w:t>17634.67</w:t>
      </w:r>
      <w:r>
        <w:rPr>
          <w:rFonts w:hint="eastAsia" w:ascii="仿宋_GB2312" w:hAnsi="仿宋_GB2312" w:eastAsia="仿宋_GB2312" w:cs="仿宋_GB2312"/>
          <w:color w:val="auto"/>
          <w:sz w:val="32"/>
          <w:szCs w:val="32"/>
          <w:highlight w:val="none"/>
        </w:rPr>
        <w:t>万元，其中本年支出</w:t>
      </w:r>
      <w:r>
        <w:rPr>
          <w:rFonts w:hint="eastAsia" w:ascii="仿宋_GB2312" w:hAnsi="仿宋_GB2312" w:eastAsia="仿宋_GB2312" w:cs="仿宋_GB2312"/>
          <w:i w:val="0"/>
          <w:iCs w:val="0"/>
          <w:color w:val="auto"/>
          <w:kern w:val="0"/>
          <w:sz w:val="32"/>
          <w:szCs w:val="32"/>
          <w:highlight w:val="none"/>
          <w:u w:val="none"/>
          <w:lang w:val="en-US" w:eastAsia="zh-CN" w:bidi="ar"/>
        </w:rPr>
        <w:t>17634.67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kern w:val="0"/>
          <w:sz w:val="32"/>
          <w:szCs w:val="32"/>
          <w:highlight w:val="none"/>
          <w:u w:val="none"/>
        </w:rPr>
        <w:t>较</w:t>
      </w:r>
      <w:r>
        <w:rPr>
          <w:rFonts w:hint="eastAsia" w:ascii="仿宋_GB2312" w:hAnsi="仿宋_GB2312" w:eastAsia="仿宋_GB2312" w:cs="仿宋_GB2312"/>
          <w:color w:val="auto"/>
          <w:kern w:val="0"/>
          <w:sz w:val="32"/>
          <w:szCs w:val="32"/>
          <w:highlight w:val="none"/>
          <w:u w:val="none"/>
          <w:lang w:eastAsia="zh-CN"/>
        </w:rPr>
        <w:t>2021</w:t>
      </w:r>
      <w:r>
        <w:rPr>
          <w:rFonts w:hint="eastAsia" w:ascii="仿宋_GB2312" w:hAnsi="仿宋_GB2312" w:eastAsia="仿宋_GB2312" w:cs="仿宋_GB2312"/>
          <w:color w:val="auto"/>
          <w:kern w:val="0"/>
          <w:sz w:val="32"/>
          <w:szCs w:val="32"/>
          <w:highlight w:val="none"/>
          <w:u w:val="none"/>
        </w:rPr>
        <w:t>年度决算数</w:t>
      </w:r>
      <w:r>
        <w:rPr>
          <w:rFonts w:hint="eastAsia" w:ascii="仿宋_GB2312" w:hAnsi="仿宋_GB2312" w:eastAsia="仿宋_GB2312" w:cs="仿宋_GB2312"/>
          <w:color w:val="auto"/>
          <w:kern w:val="0"/>
          <w:sz w:val="32"/>
          <w:szCs w:val="32"/>
          <w:highlight w:val="none"/>
          <w:u w:val="none"/>
          <w:lang w:eastAsia="zh-CN"/>
        </w:rPr>
        <w:t>增加</w:t>
      </w:r>
      <w:r>
        <w:rPr>
          <w:rFonts w:hint="eastAsia" w:ascii="仿宋_GB2312" w:hAnsi="仿宋_GB2312" w:eastAsia="仿宋_GB2312" w:cs="仿宋_GB2312"/>
          <w:color w:val="auto"/>
          <w:kern w:val="0"/>
          <w:sz w:val="32"/>
          <w:szCs w:val="32"/>
          <w:highlight w:val="none"/>
          <w:u w:val="none"/>
          <w:lang w:val="en-US" w:eastAsia="zh-CN"/>
        </w:rPr>
        <w:t>4791.62</w:t>
      </w:r>
      <w:r>
        <w:rPr>
          <w:rFonts w:hint="eastAsia" w:ascii="仿宋_GB2312" w:hAnsi="仿宋_GB2312" w:eastAsia="仿宋_GB2312" w:cs="仿宋_GB2312"/>
          <w:color w:val="auto"/>
          <w:kern w:val="0"/>
          <w:sz w:val="32"/>
          <w:szCs w:val="32"/>
          <w:highlight w:val="none"/>
          <w:u w:val="none"/>
        </w:rPr>
        <w:t>万元，增长</w:t>
      </w:r>
      <w:r>
        <w:rPr>
          <w:rFonts w:hint="eastAsia" w:ascii="仿宋_GB2312" w:hAnsi="仿宋_GB2312" w:eastAsia="仿宋_GB2312" w:cs="仿宋_GB2312"/>
          <w:color w:val="auto"/>
          <w:kern w:val="0"/>
          <w:sz w:val="32"/>
          <w:szCs w:val="32"/>
          <w:highlight w:val="none"/>
          <w:u w:val="none"/>
          <w:lang w:eastAsia="zh-CN"/>
        </w:rPr>
        <w:t>了</w:t>
      </w:r>
      <w:r>
        <w:rPr>
          <w:rFonts w:hint="eastAsia" w:ascii="仿宋_GB2312" w:hAnsi="仿宋_GB2312" w:eastAsia="仿宋_GB2312" w:cs="仿宋_GB2312"/>
          <w:color w:val="auto"/>
          <w:kern w:val="0"/>
          <w:sz w:val="32"/>
          <w:szCs w:val="32"/>
          <w:highlight w:val="none"/>
          <w:u w:val="none"/>
          <w:lang w:val="en-US" w:eastAsia="zh-CN"/>
        </w:rPr>
        <w:t>36.34</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bidi="ar"/>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kern w:val="0"/>
          <w:sz w:val="32"/>
          <w:szCs w:val="32"/>
          <w:highlight w:val="none"/>
          <w:u w:val="none"/>
        </w:rPr>
        <w:t>一般公共服务支出</w:t>
      </w:r>
      <w:r>
        <w:rPr>
          <w:rFonts w:hint="eastAsia" w:ascii="仿宋_GB2312" w:hAnsi="仿宋_GB2312" w:eastAsia="仿宋_GB2312" w:cs="仿宋_GB2312"/>
          <w:color w:val="auto"/>
          <w:sz w:val="32"/>
          <w:szCs w:val="32"/>
          <w:highlight w:val="none"/>
          <w:lang w:val="en-US" w:eastAsia="zh-CN" w:bidi="ar"/>
        </w:rPr>
        <w:t>（201类）5.7</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工会经费支出</w:t>
      </w:r>
      <w:r>
        <w:rPr>
          <w:rFonts w:hint="eastAsia" w:ascii="仿宋_GB2312" w:hAnsi="仿宋_GB2312" w:eastAsia="仿宋_GB2312" w:cs="仿宋_GB2312"/>
          <w:color w:val="auto"/>
          <w:sz w:val="32"/>
          <w:szCs w:val="32"/>
          <w:highlight w:val="none"/>
        </w:rPr>
        <w:t>。较2021年度决算数</w:t>
      </w:r>
      <w:r>
        <w:rPr>
          <w:rFonts w:hint="eastAsia" w:ascii="仿宋_GB2312" w:hAnsi="仿宋_GB2312" w:eastAsia="仿宋_GB2312" w:cs="仿宋_GB2312"/>
          <w:color w:val="auto"/>
          <w:sz w:val="32"/>
          <w:szCs w:val="32"/>
          <w:highlight w:val="none"/>
          <w:lang w:bidi="ar"/>
        </w:rPr>
        <w:t>减少</w:t>
      </w:r>
      <w:r>
        <w:rPr>
          <w:rFonts w:hint="eastAsia" w:ascii="仿宋_GB2312" w:hAnsi="仿宋_GB2312" w:eastAsia="仿宋_GB2312" w:cs="仿宋_GB2312"/>
          <w:color w:val="auto"/>
          <w:sz w:val="32"/>
          <w:szCs w:val="32"/>
          <w:highlight w:val="none"/>
          <w:lang w:val="en-US" w:eastAsia="zh-CN" w:bidi="ar"/>
        </w:rPr>
        <w:t>294.92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bidi="ar"/>
        </w:rPr>
        <w:t>下降</w:t>
      </w:r>
      <w:r>
        <w:rPr>
          <w:rFonts w:hint="eastAsia" w:ascii="仿宋_GB2312" w:hAnsi="仿宋_GB2312" w:eastAsia="仿宋_GB2312" w:cs="仿宋_GB2312"/>
          <w:color w:val="auto"/>
          <w:sz w:val="32"/>
          <w:szCs w:val="32"/>
          <w:highlight w:val="none"/>
          <w:lang w:val="en-US" w:eastAsia="zh-CN" w:bidi="ar"/>
        </w:rPr>
        <w:t>98.10</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主</w:t>
      </w:r>
      <w:r>
        <w:rPr>
          <w:rFonts w:hint="eastAsia" w:ascii="仿宋_GB2312" w:hAnsi="仿宋_GB2312" w:eastAsia="仿宋_GB2312" w:cs="仿宋_GB2312"/>
          <w:color w:val="auto"/>
          <w:sz w:val="32"/>
          <w:szCs w:val="32"/>
          <w:highlight w:val="none"/>
          <w:lang w:val="en-US" w:eastAsia="zh-CN" w:bidi="ar"/>
        </w:rPr>
        <w:t>要原因是：功能科目其他一般公共服务支出列支2022年度</w:t>
      </w:r>
      <w:r>
        <w:rPr>
          <w:rFonts w:hint="eastAsia" w:ascii="仿宋_GB2312" w:hAnsi="仿宋_GB2312" w:eastAsia="仿宋_GB2312" w:cs="仿宋_GB2312"/>
          <w:color w:val="auto"/>
          <w:sz w:val="32"/>
          <w:szCs w:val="32"/>
          <w:highlight w:val="none"/>
          <w:lang w:bidi="ar"/>
        </w:rPr>
        <w:t>指挥部百日攻坚工作队员补助费</w:t>
      </w:r>
      <w:r>
        <w:rPr>
          <w:rFonts w:hint="eastAsia" w:ascii="仿宋_GB2312" w:hAnsi="仿宋_GB2312" w:eastAsia="仿宋_GB2312" w:cs="仿宋_GB2312"/>
          <w:color w:val="auto"/>
          <w:sz w:val="32"/>
          <w:szCs w:val="32"/>
          <w:highlight w:val="none"/>
          <w:lang w:eastAsia="zh-CN" w:bidi="ar"/>
        </w:rPr>
        <w:t>列支</w:t>
      </w:r>
      <w:r>
        <w:rPr>
          <w:rFonts w:hint="eastAsia" w:ascii="仿宋_GB2312" w:hAnsi="仿宋_GB2312" w:eastAsia="仿宋_GB2312" w:cs="仿宋_GB2312"/>
          <w:color w:val="auto"/>
          <w:sz w:val="32"/>
          <w:szCs w:val="32"/>
          <w:highlight w:val="none"/>
          <w:lang w:val="en-US" w:eastAsia="zh-CN" w:bidi="ar"/>
        </w:rPr>
        <w:t>298.96万元。</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lang w:bidi="ar"/>
        </w:rPr>
        <w:t>社会保障和就业支出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bidi="ar"/>
        </w:rPr>
        <w:t>208</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bidi="ar"/>
        </w:rPr>
        <w:t>41.81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val="en-US" w:eastAsia="zh-CN"/>
        </w:rPr>
        <w:t>职工养老保险缴费支出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u w:val="none"/>
          <w:lang w:val="en-US" w:eastAsia="zh-CN"/>
        </w:rPr>
        <w:t>较2021年度决算数减少1.06万元，</w:t>
      </w:r>
      <w:r>
        <w:rPr>
          <w:rFonts w:hint="eastAsia" w:ascii="仿宋_GB2312" w:hAnsi="仿宋_GB2312" w:eastAsia="仿宋_GB2312" w:cs="仿宋_GB2312"/>
          <w:color w:val="auto"/>
          <w:sz w:val="32"/>
          <w:szCs w:val="32"/>
          <w:highlight w:val="none"/>
          <w:lang w:bidi="ar"/>
        </w:rPr>
        <w:t>下降</w:t>
      </w:r>
      <w:r>
        <w:rPr>
          <w:rFonts w:hint="eastAsia" w:ascii="仿宋_GB2312" w:hAnsi="仿宋_GB2312" w:eastAsia="仿宋_GB2312" w:cs="仿宋_GB2312"/>
          <w:color w:val="auto"/>
          <w:kern w:val="0"/>
          <w:sz w:val="32"/>
          <w:szCs w:val="32"/>
          <w:highlight w:val="none"/>
          <w:u w:val="none"/>
          <w:lang w:val="en-US" w:eastAsia="zh-CN"/>
        </w:rPr>
        <w:t>2.47%，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主要原因是：</w:t>
      </w:r>
      <w:r>
        <w:rPr>
          <w:rFonts w:hint="eastAsia" w:ascii="仿宋_GB2312" w:hAnsi="仿宋_GB2312" w:eastAsia="仿宋_GB2312" w:cs="仿宋_GB2312"/>
          <w:color w:val="auto"/>
          <w:kern w:val="0"/>
          <w:sz w:val="32"/>
          <w:szCs w:val="32"/>
          <w:highlight w:val="none"/>
          <w:u w:val="none"/>
          <w:lang w:val="en-US" w:eastAsia="zh-CN"/>
        </w:rPr>
        <w:t>2022年度部门在职人员数量有所变动</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lang w:bidi="ar"/>
        </w:rPr>
        <w:t>农林水支出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bidi="ar"/>
        </w:rPr>
        <w:t>213</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bidi="ar"/>
        </w:rPr>
        <w:t>17476.54</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val="en-US" w:eastAsia="zh-CN"/>
        </w:rPr>
        <w:t>农村基础设施建设、生产发展、扶贫小额信贷贴息补助、雨露计划补助等支出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u w:val="none"/>
        </w:rPr>
        <w:t>较</w:t>
      </w:r>
      <w:r>
        <w:rPr>
          <w:rFonts w:hint="eastAsia" w:ascii="仿宋_GB2312" w:hAnsi="仿宋_GB2312" w:eastAsia="仿宋_GB2312" w:cs="仿宋_GB2312"/>
          <w:color w:val="auto"/>
          <w:kern w:val="0"/>
          <w:sz w:val="32"/>
          <w:szCs w:val="32"/>
          <w:highlight w:val="none"/>
          <w:u w:val="none"/>
          <w:lang w:eastAsia="zh-CN"/>
        </w:rPr>
        <w:t>2021</w:t>
      </w:r>
      <w:r>
        <w:rPr>
          <w:rFonts w:hint="eastAsia" w:ascii="仿宋_GB2312" w:hAnsi="仿宋_GB2312" w:eastAsia="仿宋_GB2312" w:cs="仿宋_GB2312"/>
          <w:color w:val="auto"/>
          <w:kern w:val="0"/>
          <w:sz w:val="32"/>
          <w:szCs w:val="32"/>
          <w:highlight w:val="none"/>
          <w:u w:val="none"/>
        </w:rPr>
        <w:t>年度决算数增加5014</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none"/>
        </w:rPr>
        <w:t>93万元，增长</w:t>
      </w:r>
      <w:r>
        <w:rPr>
          <w:rFonts w:hint="eastAsia" w:ascii="仿宋_GB2312" w:hAnsi="仿宋_GB2312" w:eastAsia="仿宋_GB2312" w:cs="仿宋_GB2312"/>
          <w:color w:val="auto"/>
          <w:kern w:val="0"/>
          <w:sz w:val="32"/>
          <w:szCs w:val="32"/>
          <w:highlight w:val="none"/>
          <w:u w:val="none"/>
          <w:lang w:val="en-US" w:eastAsia="zh-CN"/>
        </w:rPr>
        <w:t>40.24</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2"/>
          <w:sz w:val="32"/>
          <w:szCs w:val="32"/>
          <w:highlight w:val="none"/>
          <w:lang w:val="en-US" w:eastAsia="zh-CN" w:bidi="ar"/>
        </w:rPr>
        <w:t>主要原因是：</w:t>
      </w:r>
      <w:r>
        <w:rPr>
          <w:rFonts w:hint="eastAsia" w:ascii="仿宋_GB2312" w:hAnsi="仿宋_GB2312" w:eastAsia="仿宋_GB2312" w:cs="仿宋_GB2312"/>
          <w:color w:val="auto"/>
          <w:kern w:val="0"/>
          <w:sz w:val="32"/>
          <w:szCs w:val="32"/>
          <w:highlight w:val="none"/>
          <w:u w:val="none"/>
          <w:lang w:val="en-US" w:eastAsia="zh-CN"/>
        </w:rPr>
        <w:t>2022年度本单位承担的上级财政衔接资金项目较2021年有所</w:t>
      </w:r>
      <w:r>
        <w:rPr>
          <w:rFonts w:hint="eastAsia" w:ascii="仿宋_GB2312" w:hAnsi="仿宋_GB2312" w:eastAsia="仿宋_GB2312" w:cs="仿宋_GB2312"/>
          <w:color w:val="auto"/>
          <w:kern w:val="0"/>
          <w:sz w:val="32"/>
          <w:szCs w:val="32"/>
          <w:highlight w:val="none"/>
          <w:u w:val="none"/>
        </w:rPr>
        <w:t>增</w:t>
      </w:r>
      <w:r>
        <w:rPr>
          <w:rFonts w:hint="eastAsia" w:ascii="仿宋_GB2312" w:hAnsi="仿宋_GB2312" w:eastAsia="仿宋_GB2312" w:cs="仿宋_GB2312"/>
          <w:color w:val="auto"/>
          <w:kern w:val="0"/>
          <w:sz w:val="32"/>
          <w:szCs w:val="32"/>
          <w:highlight w:val="none"/>
          <w:u w:val="none"/>
          <w:lang w:eastAsia="zh-CN"/>
        </w:rPr>
        <w:t>加</w:t>
      </w:r>
      <w:r>
        <w:rPr>
          <w:rFonts w:hint="eastAsia" w:ascii="仿宋_GB2312" w:hAnsi="仿宋_GB2312" w:eastAsia="仿宋_GB2312" w:cs="仿宋_GB2312"/>
          <w:color w:val="auto"/>
          <w:kern w:val="0"/>
          <w:sz w:val="32"/>
          <w:szCs w:val="32"/>
          <w:highlight w:val="none"/>
          <w:u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color w:val="auto"/>
          <w:sz w:val="32"/>
          <w:szCs w:val="32"/>
          <w:u w:color="auto"/>
          <w:lang w:val="en-US" w:eastAsia="zh-CN"/>
        </w:rPr>
        <w:t>4</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lang w:bidi="ar"/>
        </w:rPr>
        <w:t>住房保障支出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bidi="ar"/>
        </w:rPr>
        <w:t>221</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kern w:val="0"/>
          <w:sz w:val="32"/>
          <w:szCs w:val="32"/>
          <w:highlight w:val="none"/>
          <w:u w:val="none"/>
          <w:lang w:val="en-US" w:eastAsia="zh-CN"/>
        </w:rPr>
        <w:t>32.12</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val="en-US" w:eastAsia="zh-CN"/>
        </w:rPr>
        <w:t>职工住房公积金补贴支出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u w:val="none"/>
          <w:lang w:val="en-US" w:eastAsia="zh-CN"/>
        </w:rPr>
        <w:t>较2021年度决算数减少0.61万元，</w:t>
      </w:r>
      <w:r>
        <w:rPr>
          <w:rFonts w:hint="eastAsia" w:ascii="仿宋_GB2312" w:hAnsi="仿宋_GB2312" w:eastAsia="仿宋_GB2312" w:cs="仿宋_GB2312"/>
          <w:color w:val="auto"/>
          <w:sz w:val="32"/>
          <w:szCs w:val="32"/>
          <w:highlight w:val="none"/>
          <w:lang w:bidi="ar"/>
        </w:rPr>
        <w:t>下降</w:t>
      </w:r>
      <w:r>
        <w:rPr>
          <w:rFonts w:hint="eastAsia" w:ascii="仿宋_GB2312" w:hAnsi="仿宋_GB2312" w:eastAsia="仿宋_GB2312" w:cs="仿宋_GB2312"/>
          <w:color w:val="auto"/>
          <w:kern w:val="0"/>
          <w:sz w:val="32"/>
          <w:szCs w:val="32"/>
          <w:highlight w:val="none"/>
          <w:u w:val="none"/>
          <w:lang w:val="en-US" w:eastAsia="zh-CN"/>
        </w:rPr>
        <w:t>1.86%，主要原因是：2022年度部门在职人员数量有所变动</w:t>
      </w:r>
      <w:r>
        <w:rPr>
          <w:rFonts w:hint="eastAsia" w:ascii="仿宋_GB2312" w:hAnsi="仿宋_GB2312" w:eastAsia="仿宋_GB2312" w:cs="仿宋_GB2312"/>
          <w:color w:val="auto"/>
          <w:kern w:val="2"/>
          <w:sz w:val="32"/>
          <w:szCs w:val="32"/>
          <w:highlight w:val="none"/>
          <w:lang w:val="en-US" w:eastAsia="zh-CN" w:bidi="ar"/>
        </w:rPr>
        <w:t>。</w:t>
      </w:r>
    </w:p>
    <w:p>
      <w:pPr>
        <w:autoSpaceDE w:val="0"/>
        <w:autoSpaceDN w:val="0"/>
        <w:adjustRightInd w:val="0"/>
        <w:spacing w:line="560" w:lineRule="exact"/>
        <w:ind w:firstLine="627" w:firstLineChars="196"/>
        <w:jc w:val="left"/>
        <w:rPr>
          <w:rFonts w:hint="eastAsia" w:ascii="仿宋" w:hAnsi="仿宋" w:eastAsia="仿宋" w:cs="仿宋"/>
          <w:color w:val="auto"/>
          <w:kern w:val="2"/>
          <w:sz w:val="32"/>
          <w:szCs w:val="32"/>
          <w:highlight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rPr>
        <w:t>5.其他支出（229类）78.48万元，主要用于巩固拓展脱贫攻坚成果和乡村振兴任务中产生的其他费用支出。较2021年度决算数减少17.81万元，</w:t>
      </w:r>
      <w:r>
        <w:rPr>
          <w:rFonts w:hint="eastAsia" w:ascii="仿宋_GB2312" w:hAnsi="仿宋_GB2312" w:eastAsia="仿宋_GB2312" w:cs="仿宋_GB2312"/>
          <w:color w:val="auto"/>
          <w:sz w:val="32"/>
          <w:szCs w:val="32"/>
          <w:highlight w:val="none"/>
          <w:lang w:bidi="ar"/>
        </w:rPr>
        <w:t>下降</w:t>
      </w:r>
      <w:r>
        <w:rPr>
          <w:rFonts w:hint="eastAsia" w:ascii="仿宋_GB2312" w:hAnsi="仿宋_GB2312" w:eastAsia="仿宋_GB2312" w:cs="仿宋_GB2312"/>
          <w:color w:val="auto"/>
          <w:kern w:val="0"/>
          <w:sz w:val="32"/>
          <w:szCs w:val="32"/>
          <w:highlight w:val="none"/>
          <w:u w:val="none"/>
          <w:lang w:val="en-US" w:eastAsia="zh-CN"/>
        </w:rPr>
        <w:t>18.50%，主要原因是：年度财政预算缩减支出。</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784725" cy="2774950"/>
            <wp:effectExtent l="4445" t="5080" r="11430" b="2032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hint="eastAsia" w:ascii="仿宋_GB2312" w:hAnsi="仿宋_GB2312" w:eastAsia="仿宋_GB2312" w:cs="仿宋_GB2312"/>
          <w:color w:val="auto"/>
          <w:kern w:val="0"/>
          <w:sz w:val="32"/>
          <w:szCs w:val="32"/>
          <w:highlight w:val="none"/>
          <w:u w:val="none"/>
        </w:rPr>
      </w:pPr>
      <w:r>
        <w:rPr>
          <w:rFonts w:hint="eastAsia" w:ascii="仿宋" w:hAnsi="仿宋" w:eastAsia="仿宋" w:cs="仿宋"/>
          <w:color w:val="auto"/>
          <w:sz w:val="32"/>
          <w:szCs w:val="32"/>
          <w:highlight w:val="none"/>
          <w:lang w:eastAsia="zh-CN"/>
        </w:rPr>
        <w:t>我单位</w:t>
      </w:r>
      <w:r>
        <w:rPr>
          <w:rFonts w:hint="eastAsia" w:ascii="仿宋" w:hAnsi="仿宋" w:eastAsia="仿宋" w:cs="仿宋"/>
          <w:color w:val="auto"/>
          <w:sz w:val="32"/>
          <w:szCs w:val="32"/>
          <w:highlight w:val="none"/>
        </w:rPr>
        <w:t>2022年度一般公共预算财政拨款支出</w:t>
      </w:r>
      <w:r>
        <w:rPr>
          <w:rFonts w:hint="default" w:ascii="Times New Roman" w:hAnsi="Times New Roman" w:eastAsia="仿宋_GB2312" w:cs="Times New Roman"/>
          <w:i w:val="0"/>
          <w:iCs w:val="0"/>
          <w:color w:val="auto"/>
          <w:kern w:val="0"/>
          <w:sz w:val="32"/>
          <w:szCs w:val="32"/>
          <w:highlight w:val="none"/>
          <w:u w:val="none"/>
          <w:lang w:val="en-US" w:eastAsia="zh-CN" w:bidi="ar"/>
        </w:rPr>
        <w:t>17634</w:t>
      </w:r>
      <w:r>
        <w:rPr>
          <w:rFonts w:hint="eastAsia" w:ascii="仿宋_GB2312" w:hAnsi="仿宋_GB2312" w:eastAsia="仿宋_GB2312" w:cs="仿宋_GB2312"/>
          <w:i w:val="0"/>
          <w:iCs w:val="0"/>
          <w:color w:val="auto"/>
          <w:kern w:val="0"/>
          <w:sz w:val="32"/>
          <w:szCs w:val="32"/>
          <w:highlight w:val="none"/>
          <w:u w:val="none"/>
          <w:lang w:val="en-US" w:eastAsia="zh-CN" w:bidi="ar"/>
        </w:rPr>
        <w:t>.</w:t>
      </w:r>
      <w:r>
        <w:rPr>
          <w:rFonts w:hint="default" w:ascii="Times New Roman" w:hAnsi="Times New Roman" w:eastAsia="仿宋_GB2312" w:cs="Times New Roman"/>
          <w:i w:val="0"/>
          <w:iCs w:val="0"/>
          <w:color w:val="auto"/>
          <w:kern w:val="0"/>
          <w:sz w:val="32"/>
          <w:szCs w:val="32"/>
          <w:highlight w:val="none"/>
          <w:u w:val="none"/>
          <w:lang w:val="en-US" w:eastAsia="zh-CN" w:bidi="ar"/>
        </w:rPr>
        <w:t>67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kern w:val="0"/>
          <w:sz w:val="32"/>
          <w:szCs w:val="32"/>
          <w:highlight w:val="none"/>
          <w:u w:val="none"/>
        </w:rPr>
        <w:t>较</w:t>
      </w:r>
      <w:r>
        <w:rPr>
          <w:rFonts w:hint="eastAsia" w:ascii="仿宋_GB2312" w:hAnsi="仿宋_GB2312" w:eastAsia="仿宋_GB2312" w:cs="仿宋_GB2312"/>
          <w:color w:val="auto"/>
          <w:kern w:val="0"/>
          <w:sz w:val="32"/>
          <w:szCs w:val="32"/>
          <w:highlight w:val="none"/>
          <w:u w:val="none"/>
          <w:lang w:eastAsia="zh-CN"/>
        </w:rPr>
        <w:t>2021</w:t>
      </w:r>
      <w:r>
        <w:rPr>
          <w:rFonts w:hint="eastAsia" w:ascii="仿宋_GB2312" w:hAnsi="仿宋_GB2312" w:eastAsia="仿宋_GB2312" w:cs="仿宋_GB2312"/>
          <w:color w:val="auto"/>
          <w:kern w:val="0"/>
          <w:sz w:val="32"/>
          <w:szCs w:val="32"/>
          <w:highlight w:val="none"/>
          <w:u w:val="none"/>
        </w:rPr>
        <w:t>年度决算数增加</w:t>
      </w:r>
      <w:r>
        <w:rPr>
          <w:rFonts w:hint="eastAsia" w:ascii="仿宋_GB2312" w:hAnsi="仿宋_GB2312" w:eastAsia="仿宋_GB2312" w:cs="仿宋_GB2312"/>
          <w:color w:val="auto"/>
          <w:kern w:val="0"/>
          <w:sz w:val="32"/>
          <w:szCs w:val="32"/>
          <w:highlight w:val="none"/>
          <w:u w:val="none"/>
          <w:lang w:val="en-US" w:eastAsia="zh-CN"/>
        </w:rPr>
        <w:t>4791.62</w:t>
      </w:r>
      <w:r>
        <w:rPr>
          <w:rFonts w:hint="eastAsia" w:ascii="仿宋_GB2312" w:hAnsi="仿宋_GB2312" w:eastAsia="仿宋_GB2312" w:cs="仿宋_GB2312"/>
          <w:color w:val="auto"/>
          <w:kern w:val="0"/>
          <w:sz w:val="32"/>
          <w:szCs w:val="32"/>
          <w:highlight w:val="none"/>
          <w:u w:val="none"/>
        </w:rPr>
        <w:t>万元，增长</w:t>
      </w:r>
      <w:r>
        <w:rPr>
          <w:rFonts w:hint="eastAsia" w:ascii="仿宋_GB2312" w:hAnsi="仿宋_GB2312" w:eastAsia="仿宋_GB2312" w:cs="仿宋_GB2312"/>
          <w:color w:val="auto"/>
          <w:kern w:val="0"/>
          <w:sz w:val="32"/>
          <w:szCs w:val="32"/>
          <w:highlight w:val="none"/>
          <w:u w:val="none"/>
          <w:lang w:eastAsia="zh-CN"/>
        </w:rPr>
        <w:t>了</w:t>
      </w:r>
      <w:r>
        <w:rPr>
          <w:rFonts w:hint="eastAsia" w:ascii="仿宋_GB2312" w:hAnsi="仿宋_GB2312" w:eastAsia="仿宋_GB2312" w:cs="仿宋_GB2312"/>
          <w:color w:val="auto"/>
          <w:kern w:val="0"/>
          <w:sz w:val="32"/>
          <w:szCs w:val="32"/>
          <w:highlight w:val="none"/>
          <w:u w:val="none"/>
          <w:lang w:val="en-US" w:eastAsia="zh-CN"/>
        </w:rPr>
        <w:t>36.34</w:t>
      </w:r>
      <w:r>
        <w:rPr>
          <w:rFonts w:hint="eastAsia" w:ascii="仿宋_GB2312" w:hAnsi="仿宋_GB2312" w:eastAsia="仿宋_GB2312" w:cs="仿宋_GB2312"/>
          <w:color w:val="auto"/>
          <w:kern w:val="0"/>
          <w:sz w:val="32"/>
          <w:szCs w:val="32"/>
          <w:highlight w:val="none"/>
          <w:u w:val="none"/>
        </w:rPr>
        <w:t>%。其中：基本支出</w:t>
      </w:r>
      <w:r>
        <w:rPr>
          <w:rFonts w:hint="eastAsia" w:ascii="仿宋_GB2312" w:hAnsi="仿宋_GB2312" w:eastAsia="仿宋_GB2312" w:cs="仿宋_GB2312"/>
          <w:color w:val="auto"/>
          <w:kern w:val="0"/>
          <w:sz w:val="32"/>
          <w:szCs w:val="32"/>
          <w:highlight w:val="none"/>
          <w:u w:val="none"/>
          <w:lang w:val="en-US" w:eastAsia="zh-CN"/>
        </w:rPr>
        <w:t>606.11</w:t>
      </w:r>
      <w:r>
        <w:rPr>
          <w:rFonts w:hint="eastAsia" w:ascii="仿宋_GB2312" w:hAnsi="仿宋_GB2312" w:eastAsia="仿宋_GB2312" w:cs="仿宋_GB2312"/>
          <w:color w:val="auto"/>
          <w:kern w:val="0"/>
          <w:sz w:val="32"/>
          <w:szCs w:val="32"/>
          <w:highlight w:val="none"/>
          <w:u w:val="none"/>
        </w:rPr>
        <w:t>万元，项目支出</w:t>
      </w:r>
      <w:r>
        <w:rPr>
          <w:rFonts w:hint="eastAsia" w:ascii="仿宋_GB2312" w:hAnsi="仿宋_GB2312" w:eastAsia="仿宋_GB2312" w:cs="仿宋_GB2312"/>
          <w:color w:val="auto"/>
          <w:kern w:val="0"/>
          <w:sz w:val="32"/>
          <w:szCs w:val="32"/>
          <w:highlight w:val="none"/>
          <w:u w:val="none"/>
          <w:lang w:val="en-US" w:eastAsia="zh-CN"/>
        </w:rPr>
        <w:t>17028.56</w:t>
      </w:r>
      <w:r>
        <w:rPr>
          <w:rFonts w:hint="eastAsia" w:ascii="仿宋_GB2312" w:hAnsi="仿宋_GB2312" w:eastAsia="仿宋_GB2312" w:cs="仿宋_GB2312"/>
          <w:color w:val="auto"/>
          <w:kern w:val="0"/>
          <w:sz w:val="32"/>
          <w:szCs w:val="32"/>
          <w:highlight w:val="none"/>
          <w:u w:val="none"/>
        </w:rPr>
        <w:t>万元。</w:t>
      </w: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kern w:val="0"/>
          <w:sz w:val="32"/>
          <w:szCs w:val="32"/>
          <w:highlight w:val="none"/>
          <w:u w:val="none"/>
          <w:lang w:eastAsia="zh-CN"/>
        </w:rPr>
        <w:t>2022</w:t>
      </w:r>
      <w:r>
        <w:rPr>
          <w:rFonts w:hint="eastAsia" w:ascii="仿宋_GB2312" w:hAnsi="仿宋_GB2312" w:eastAsia="仿宋_GB2312" w:cs="仿宋_GB2312"/>
          <w:color w:val="auto"/>
          <w:kern w:val="0"/>
          <w:sz w:val="32"/>
          <w:szCs w:val="32"/>
          <w:highlight w:val="none"/>
          <w:u w:val="none"/>
        </w:rPr>
        <w:t>年度</w:t>
      </w:r>
      <w:r>
        <w:rPr>
          <w:rFonts w:hint="eastAsia" w:ascii="仿宋_GB2312" w:hAnsi="仿宋_GB2312" w:eastAsia="仿宋_GB2312" w:cs="仿宋_GB2312"/>
          <w:color w:val="auto"/>
          <w:sz w:val="32"/>
          <w:szCs w:val="32"/>
          <w:highlight w:val="none"/>
          <w:u w:val="none"/>
        </w:rPr>
        <w:t>一般</w:t>
      </w:r>
      <w:r>
        <w:rPr>
          <w:rFonts w:hint="eastAsia" w:ascii="仿宋_GB2312" w:hAnsi="仿宋_GB2312" w:eastAsia="仿宋_GB2312" w:cs="仿宋_GB2312"/>
          <w:color w:val="auto"/>
          <w:kern w:val="0"/>
          <w:sz w:val="32"/>
          <w:szCs w:val="32"/>
          <w:highlight w:val="none"/>
          <w:u w:val="none"/>
        </w:rPr>
        <w:t>公共预算财政拨款支出年初预算为</w:t>
      </w:r>
      <w:r>
        <w:rPr>
          <w:rFonts w:hint="eastAsia" w:ascii="仿宋_GB2312" w:hAnsi="仿宋_GB2312" w:eastAsia="仿宋_GB2312" w:cs="仿宋_GB2312"/>
          <w:color w:val="auto"/>
          <w:kern w:val="0"/>
          <w:sz w:val="32"/>
          <w:szCs w:val="32"/>
          <w:highlight w:val="none"/>
          <w:u w:val="none"/>
          <w:lang w:val="en-US" w:eastAsia="zh-CN"/>
        </w:rPr>
        <w:t>482.09</w:t>
      </w:r>
      <w:r>
        <w:rPr>
          <w:rFonts w:hint="eastAsia" w:ascii="仿宋_GB2312" w:hAnsi="仿宋_GB2312" w:eastAsia="仿宋_GB2312" w:cs="仿宋_GB2312"/>
          <w:color w:val="auto"/>
          <w:kern w:val="0"/>
          <w:sz w:val="32"/>
          <w:szCs w:val="32"/>
          <w:highlight w:val="none"/>
          <w:u w:val="none"/>
        </w:rPr>
        <w:t>万元，支出决算为</w:t>
      </w:r>
      <w:r>
        <w:rPr>
          <w:rFonts w:hint="eastAsia" w:ascii="仿宋_GB2312" w:hAnsi="仿宋_GB2312" w:eastAsia="仿宋_GB2312" w:cs="仿宋_GB2312"/>
          <w:i w:val="0"/>
          <w:iCs w:val="0"/>
          <w:color w:val="auto"/>
          <w:kern w:val="0"/>
          <w:sz w:val="32"/>
          <w:szCs w:val="32"/>
          <w:highlight w:val="none"/>
          <w:u w:val="none"/>
          <w:lang w:val="en-US" w:eastAsia="zh-CN" w:bidi="ar"/>
        </w:rPr>
        <w:t>17634.67</w:t>
      </w:r>
      <w:r>
        <w:rPr>
          <w:rFonts w:hint="eastAsia" w:ascii="仿宋_GB2312" w:hAnsi="仿宋_GB2312" w:eastAsia="仿宋_GB2312" w:cs="仿宋_GB2312"/>
          <w:color w:val="auto"/>
          <w:kern w:val="0"/>
          <w:sz w:val="32"/>
          <w:szCs w:val="32"/>
          <w:highlight w:val="none"/>
          <w:u w:val="none"/>
        </w:rPr>
        <w:t>万元，完成年初预算的</w:t>
      </w:r>
      <w:r>
        <w:rPr>
          <w:rFonts w:hint="eastAsia" w:ascii="仿宋_GB2312" w:hAnsi="仿宋_GB2312" w:eastAsia="仿宋_GB2312" w:cs="仿宋_GB2312"/>
          <w:color w:val="auto"/>
          <w:kern w:val="0"/>
          <w:sz w:val="32"/>
          <w:szCs w:val="32"/>
          <w:highlight w:val="none"/>
          <w:u w:val="none"/>
          <w:lang w:val="en-US" w:eastAsia="zh-CN"/>
        </w:rPr>
        <w:t>3557.97</w:t>
      </w:r>
      <w:r>
        <w:rPr>
          <w:rFonts w:hint="eastAsia" w:ascii="仿宋_GB2312" w:hAnsi="仿宋_GB2312" w:eastAsia="仿宋_GB2312" w:cs="仿宋_GB2312"/>
          <w:color w:val="auto"/>
          <w:kern w:val="0"/>
          <w:sz w:val="32"/>
          <w:szCs w:val="32"/>
          <w:highlight w:val="none"/>
          <w:u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u w:val="none"/>
        </w:rPr>
        <w:t>一般公共服务支出</w:t>
      </w:r>
      <w:r>
        <w:rPr>
          <w:rFonts w:hint="eastAsia" w:ascii="仿宋_GB2312" w:hAnsi="仿宋_GB2312" w:eastAsia="仿宋_GB2312" w:cs="仿宋_GB2312"/>
          <w:color w:val="auto"/>
          <w:sz w:val="32"/>
          <w:szCs w:val="32"/>
          <w:highlight w:val="none"/>
          <w:lang w:val="en-US" w:eastAsia="zh-CN" w:bidi="ar"/>
        </w:rPr>
        <w:t>（201类）5.72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rPr>
        <w:t>万元，完成年初预算的10</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%。预决算</w:t>
      </w:r>
      <w:r>
        <w:rPr>
          <w:rFonts w:hint="eastAsia" w:ascii="仿宋_GB2312" w:hAnsi="仿宋_GB2312" w:eastAsia="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kern w:val="2"/>
          <w:sz w:val="32"/>
          <w:szCs w:val="32"/>
          <w:highlight w:val="none"/>
          <w:lang w:val="en-US" w:eastAsia="zh-CN" w:bidi="ar"/>
        </w:rPr>
        <w:t>。</w:t>
      </w:r>
    </w:p>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5.72</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5.72</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5.72</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5.72</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社会保障和就业支出</w:t>
      </w:r>
      <w:r>
        <w:rPr>
          <w:rFonts w:hint="eastAsia" w:ascii="仿宋_GB2312" w:hAnsi="仿宋_GB2312" w:eastAsia="仿宋_GB2312" w:cs="仿宋_GB2312"/>
          <w:color w:val="auto"/>
          <w:sz w:val="32"/>
          <w:szCs w:val="32"/>
          <w:u w:color="auto"/>
        </w:rPr>
        <w:t>（208</w:t>
      </w:r>
      <w:r>
        <w:rPr>
          <w:rFonts w:hint="eastAsia" w:ascii="仿宋_GB2312" w:hAnsi="仿宋_GB2312" w:eastAsia="仿宋_GB2312" w:cs="仿宋_GB2312"/>
          <w:color w:val="auto"/>
          <w:sz w:val="32"/>
          <w:szCs w:val="32"/>
          <w:highlight w:val="none"/>
        </w:rPr>
        <w:t>类）年初预算为</w:t>
      </w:r>
      <w:r>
        <w:rPr>
          <w:rFonts w:hint="eastAsia" w:ascii="仿宋_GB2312" w:hAnsi="仿宋_GB2312" w:eastAsia="仿宋_GB2312" w:cs="仿宋_GB2312"/>
          <w:color w:val="auto"/>
          <w:sz w:val="32"/>
          <w:szCs w:val="32"/>
          <w:highlight w:val="none"/>
          <w:lang w:val="en-US" w:eastAsia="zh-CN" w:bidi="ar"/>
        </w:rPr>
        <w:t>45.77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bidi="ar"/>
        </w:rPr>
        <w:t>41.81</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91.33</w:t>
      </w:r>
      <w:r>
        <w:rPr>
          <w:rFonts w:hint="eastAsia" w:ascii="仿宋_GB2312" w:hAnsi="仿宋_GB2312" w:eastAsia="仿宋_GB2312" w:cs="仿宋_GB2312"/>
          <w:color w:val="auto"/>
          <w:sz w:val="32"/>
          <w:szCs w:val="32"/>
          <w:highlight w:val="none"/>
        </w:rPr>
        <w:t>%。预决算</w:t>
      </w:r>
      <w:r>
        <w:rPr>
          <w:rFonts w:hint="eastAsia" w:ascii="仿宋_GB2312" w:hAnsi="仿宋_GB2312" w:eastAsia="仿宋_GB2312" w:cs="仿宋_GB2312"/>
          <w:color w:val="auto"/>
          <w:sz w:val="32"/>
          <w:szCs w:val="32"/>
          <w:highlight w:val="none"/>
          <w:lang w:val="en-US" w:eastAsia="zh-CN"/>
        </w:rPr>
        <w:t>存有</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lang w:val="en-US" w:eastAsia="zh-CN"/>
        </w:rPr>
        <w:t>原因：</w:t>
      </w:r>
      <w:r>
        <w:rPr>
          <w:rFonts w:hint="eastAsia" w:ascii="仿宋_GB2312" w:hAnsi="仿宋_GB2312" w:eastAsia="仿宋_GB2312" w:cs="仿宋_GB2312"/>
          <w:color w:val="auto"/>
          <w:kern w:val="0"/>
          <w:sz w:val="32"/>
          <w:szCs w:val="32"/>
          <w:highlight w:val="none"/>
          <w:u w:val="none"/>
          <w:lang w:val="en-US" w:eastAsia="zh-CN"/>
        </w:rPr>
        <w:t>2022年度部门在职人员数量有所变动。</w:t>
      </w:r>
    </w:p>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45.77</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41.81</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91.33%</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kern w:val="0"/>
                <w:sz w:val="20"/>
                <w:szCs w:val="20"/>
                <w:highlight w:val="none"/>
                <w:u w:val="none"/>
                <w:lang w:val="en-US" w:eastAsia="zh-CN"/>
              </w:rPr>
              <w:t>职工养老保险缴费支出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45.77</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41.81</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91.33%</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 w:val="32"/>
          <w:szCs w:val="32"/>
          <w:highlight w:val="none"/>
        </w:rPr>
        <w:t>农林水支出</w:t>
      </w:r>
      <w:r>
        <w:rPr>
          <w:rFonts w:hint="eastAsia" w:ascii="仿宋_GB2312" w:hAnsi="仿宋_GB2312" w:eastAsia="仿宋_GB2312" w:cs="仿宋_GB2312"/>
          <w:color w:val="auto"/>
          <w:sz w:val="32"/>
          <w:u w:color="auto"/>
        </w:rPr>
        <w:t>（213</w:t>
      </w:r>
      <w:r>
        <w:rPr>
          <w:rFonts w:hint="eastAsia" w:ascii="仿宋_GB2312" w:hAnsi="仿宋_GB2312" w:eastAsia="仿宋_GB2312" w:cs="仿宋_GB2312"/>
          <w:color w:val="auto"/>
          <w:sz w:val="32"/>
          <w:szCs w:val="32"/>
          <w:highlight w:val="none"/>
        </w:rPr>
        <w:t>类）年初预算为</w:t>
      </w:r>
      <w:r>
        <w:rPr>
          <w:rFonts w:hint="eastAsia" w:ascii="仿宋_GB2312" w:hAnsi="仿宋_GB2312" w:eastAsia="仿宋_GB2312" w:cs="仿宋_GB2312"/>
          <w:color w:val="auto"/>
          <w:sz w:val="32"/>
          <w:szCs w:val="32"/>
          <w:highlight w:val="none"/>
          <w:lang w:val="en-US" w:eastAsia="zh-CN"/>
        </w:rPr>
        <w:t>396.26</w:t>
      </w:r>
      <w:r>
        <w:rPr>
          <w:rFonts w:hint="eastAsia" w:ascii="仿宋_GB2312" w:hAnsi="仿宋_GB2312" w:eastAsia="仿宋_GB2312" w:cs="仿宋_GB2312"/>
          <w:color w:val="auto"/>
          <w:sz w:val="32"/>
          <w:szCs w:val="32"/>
          <w:highlight w:val="none"/>
        </w:rPr>
        <w:t>万元，支出决算为17476.54万元，完成年初预算的</w:t>
      </w:r>
      <w:r>
        <w:rPr>
          <w:rFonts w:hint="eastAsia" w:ascii="仿宋_GB2312" w:hAnsi="仿宋_GB2312" w:eastAsia="仿宋_GB2312" w:cs="仿宋_GB2312"/>
          <w:color w:val="auto"/>
          <w:sz w:val="32"/>
          <w:szCs w:val="32"/>
          <w:highlight w:val="none"/>
          <w:lang w:val="en-US" w:eastAsia="zh-CN"/>
        </w:rPr>
        <w:t>4410.36</w:t>
      </w:r>
      <w:r>
        <w:rPr>
          <w:rFonts w:hint="eastAsia" w:ascii="仿宋_GB2312" w:hAnsi="仿宋_GB2312" w:eastAsia="仿宋_GB2312" w:cs="仿宋_GB2312"/>
          <w:color w:val="auto"/>
          <w:sz w:val="32"/>
          <w:szCs w:val="32"/>
          <w:highlight w:val="none"/>
        </w:rPr>
        <w:t>%。预决算</w:t>
      </w:r>
      <w:r>
        <w:rPr>
          <w:rFonts w:hint="eastAsia" w:ascii="仿宋_GB2312" w:hAnsi="仿宋_GB2312" w:eastAsia="仿宋_GB2312" w:cs="仿宋_GB2312"/>
          <w:color w:val="auto"/>
          <w:sz w:val="32"/>
          <w:szCs w:val="32"/>
          <w:highlight w:val="none"/>
          <w:lang w:val="en-US" w:eastAsia="zh-CN"/>
        </w:rPr>
        <w:t>存有</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lang w:val="en-US" w:eastAsia="zh-CN"/>
        </w:rPr>
        <w:t>原因：衔接资金项目年初无预算。</w:t>
      </w:r>
    </w:p>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1"/>
        <w:gridCol w:w="840"/>
        <w:gridCol w:w="994"/>
        <w:gridCol w:w="976"/>
        <w:gridCol w:w="1276"/>
        <w:gridCol w:w="1434"/>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21300104</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24.98</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死亡抚恤金支出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2130501</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291.29</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554.87</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190.49%</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auto"/>
                <w:sz w:val="21"/>
                <w:szCs w:val="21"/>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工资福利、商品和服务支出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2130504</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农村基础设施建设</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6986.64</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100.00%</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衔接资金</w:t>
            </w:r>
            <w:r>
              <w:rPr>
                <w:rFonts w:hint="eastAsia" w:asciiTheme="minorEastAsia" w:hAnsiTheme="minorEastAsia" w:eastAsiaTheme="minorEastAsia" w:cstheme="minorEastAsia"/>
                <w:color w:val="auto"/>
                <w:kern w:val="0"/>
                <w:sz w:val="20"/>
                <w:szCs w:val="20"/>
                <w:highlight w:val="none"/>
                <w:u w:val="none"/>
                <w:lang w:val="en-US" w:eastAsia="zh-CN"/>
              </w:rPr>
              <w:t>农村基础设施建设项目支出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2130505</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生产发展</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4730.27</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100.00%</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衔接资金</w:t>
            </w:r>
            <w:r>
              <w:rPr>
                <w:rFonts w:hint="eastAsia" w:asciiTheme="minorEastAsia" w:hAnsiTheme="minorEastAsia" w:cstheme="minorEastAsia"/>
                <w:color w:val="auto"/>
                <w:kern w:val="0"/>
                <w:sz w:val="20"/>
                <w:szCs w:val="20"/>
                <w:highlight w:val="none"/>
                <w:u w:val="none"/>
                <w:lang w:val="en-US" w:eastAsia="zh-CN"/>
              </w:rPr>
              <w:t>产业道路硬化建设</w:t>
            </w:r>
            <w:r>
              <w:rPr>
                <w:rFonts w:hint="eastAsia" w:asciiTheme="minorEastAsia" w:hAnsiTheme="minorEastAsia" w:eastAsiaTheme="minorEastAsia" w:cstheme="minorEastAsia"/>
                <w:color w:val="auto"/>
                <w:kern w:val="0"/>
                <w:sz w:val="20"/>
                <w:szCs w:val="20"/>
                <w:highlight w:val="none"/>
                <w:u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2130507</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贷款奖补和贴息</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1645.6</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100.00%</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cstheme="minorEastAsia"/>
                <w:color w:val="auto"/>
                <w:sz w:val="20"/>
                <w:szCs w:val="20"/>
                <w:highlight w:val="none"/>
                <w:lang w:val="en-US" w:eastAsia="zh-CN"/>
              </w:rPr>
              <w:t>小额信贷贴息支出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2130550</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40.38</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39.78</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98.51%</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绩效工资</w:t>
            </w:r>
            <w:r>
              <w:rPr>
                <w:rFonts w:hint="eastAsia" w:asciiTheme="minorEastAsia" w:hAnsiTheme="minorEastAsia" w:cstheme="minorEastAsia"/>
                <w:color w:val="auto"/>
                <w:sz w:val="20"/>
                <w:szCs w:val="20"/>
                <w:highlight w:val="none"/>
                <w:lang w:val="en-US" w:eastAsia="zh-CN"/>
              </w:rPr>
              <w:t>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sz w:val="20"/>
                <w:szCs w:val="20"/>
                <w:highlight w:val="none"/>
                <w:u w:val="none"/>
                <w:lang w:val="en-US" w:eastAsia="zh-CN"/>
              </w:rPr>
              <w:t>2130599</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sz w:val="20"/>
                <w:szCs w:val="20"/>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64.60</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3494.4</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5409.29%</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i w:val="0"/>
                <w:iCs w:val="0"/>
                <w:color w:val="auto"/>
                <w:kern w:val="2"/>
                <w:sz w:val="20"/>
                <w:szCs w:val="20"/>
                <w:highlight w:val="none"/>
                <w:u w:val="none"/>
                <w:lang w:val="en-US" w:eastAsia="zh-CN" w:bidi="ar-SA"/>
              </w:rPr>
            </w:pPr>
            <w:r>
              <w:rPr>
                <w:rFonts w:hint="eastAsia" w:asciiTheme="minorEastAsia" w:hAnsiTheme="minorEastAsia" w:cstheme="minorEastAsia"/>
                <w:i w:val="0"/>
                <w:iCs w:val="0"/>
                <w:color w:val="auto"/>
                <w:kern w:val="2"/>
                <w:sz w:val="20"/>
                <w:szCs w:val="20"/>
                <w:highlight w:val="none"/>
                <w:u w:val="none"/>
                <w:lang w:val="en-US" w:eastAsia="zh-CN" w:bidi="ar-SA"/>
              </w:rPr>
              <w:t>乡村振兴指挥部日常支出、雨露计划等其它</w:t>
            </w:r>
            <w:r>
              <w:rPr>
                <w:rFonts w:hint="eastAsia" w:asciiTheme="minorEastAsia" w:hAnsiTheme="minorEastAsia" w:eastAsiaTheme="minorEastAsia" w:cstheme="minorEastAsia"/>
                <w:color w:val="auto"/>
                <w:sz w:val="20"/>
                <w:szCs w:val="20"/>
                <w:highlight w:val="none"/>
                <w:lang w:val="en-US" w:eastAsia="zh-CN"/>
              </w:rPr>
              <w:t>衔接资金</w:t>
            </w:r>
            <w:r>
              <w:rPr>
                <w:rFonts w:hint="eastAsia" w:asciiTheme="minorEastAsia" w:hAnsiTheme="minorEastAsia" w:cstheme="minorEastAsia"/>
                <w:color w:val="auto"/>
                <w:kern w:val="0"/>
                <w:sz w:val="20"/>
                <w:szCs w:val="20"/>
                <w:highlight w:val="none"/>
                <w:u w:val="none"/>
                <w:lang w:val="en-US" w:eastAsia="zh-CN"/>
              </w:rPr>
              <w:t>建设</w:t>
            </w:r>
            <w:r>
              <w:rPr>
                <w:rFonts w:hint="eastAsia" w:asciiTheme="minorEastAsia" w:hAnsiTheme="minorEastAsia" w:eastAsiaTheme="minorEastAsia" w:cstheme="minorEastAsia"/>
                <w:color w:val="auto"/>
                <w:kern w:val="0"/>
                <w:sz w:val="20"/>
                <w:szCs w:val="20"/>
                <w:highlight w:val="none"/>
                <w:u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19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84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396.26</w:t>
            </w:r>
          </w:p>
        </w:tc>
        <w:tc>
          <w:tcPr>
            <w:tcW w:w="9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17476.54</w:t>
            </w:r>
          </w:p>
        </w:tc>
        <w:tc>
          <w:tcPr>
            <w:tcW w:w="12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4410.36%</w:t>
            </w:r>
          </w:p>
        </w:tc>
        <w:tc>
          <w:tcPr>
            <w:tcW w:w="143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 w:val="32"/>
          <w:szCs w:val="32"/>
          <w:highlight w:val="none"/>
        </w:rPr>
        <w:t>住房保障支出</w:t>
      </w:r>
      <w:r>
        <w:rPr>
          <w:rFonts w:hint="eastAsia" w:ascii="仿宋_GB2312" w:hAnsi="仿宋_GB2312" w:eastAsia="仿宋_GB2312" w:cs="仿宋_GB2312"/>
          <w:color w:val="auto"/>
          <w:sz w:val="32"/>
          <w:u w:color="auto"/>
        </w:rPr>
        <w:t>（221</w:t>
      </w:r>
      <w:r>
        <w:rPr>
          <w:rFonts w:hint="eastAsia" w:ascii="仿宋_GB2312" w:hAnsi="仿宋_GB2312" w:eastAsia="仿宋_GB2312" w:cs="仿宋_GB2312"/>
          <w:color w:val="auto"/>
          <w:sz w:val="32"/>
          <w:szCs w:val="32"/>
          <w:highlight w:val="none"/>
        </w:rPr>
        <w:t>类）年初预算为</w:t>
      </w:r>
      <w:r>
        <w:rPr>
          <w:rFonts w:hint="eastAsia" w:ascii="仿宋_GB2312" w:hAnsi="仿宋_GB2312" w:eastAsia="仿宋_GB2312" w:cs="仿宋_GB2312"/>
          <w:color w:val="auto"/>
          <w:sz w:val="32"/>
          <w:szCs w:val="32"/>
          <w:highlight w:val="none"/>
          <w:lang w:val="en-US" w:eastAsia="zh-CN"/>
        </w:rPr>
        <w:t>34.33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32.12</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93.56</w:t>
      </w:r>
      <w:r>
        <w:rPr>
          <w:rFonts w:hint="eastAsia" w:ascii="仿宋_GB2312" w:hAnsi="仿宋_GB2312" w:eastAsia="仿宋_GB2312" w:cs="仿宋_GB2312"/>
          <w:color w:val="auto"/>
          <w:sz w:val="32"/>
          <w:szCs w:val="32"/>
          <w:highlight w:val="none"/>
        </w:rPr>
        <w:t>%。预决算</w:t>
      </w:r>
      <w:r>
        <w:rPr>
          <w:rFonts w:hint="eastAsia" w:ascii="仿宋_GB2312" w:hAnsi="仿宋_GB2312" w:eastAsia="仿宋_GB2312" w:cs="仿宋_GB2312"/>
          <w:color w:val="auto"/>
          <w:sz w:val="32"/>
          <w:szCs w:val="32"/>
          <w:highlight w:val="none"/>
          <w:lang w:eastAsia="zh-CN"/>
        </w:rPr>
        <w:t>存有</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lang w:val="en-US" w:eastAsia="zh-CN"/>
        </w:rPr>
        <w:t>原因：</w:t>
      </w:r>
      <w:r>
        <w:rPr>
          <w:rFonts w:hint="eastAsia" w:ascii="仿宋_GB2312" w:hAnsi="仿宋_GB2312" w:eastAsia="仿宋_GB2312" w:cs="仿宋_GB2312"/>
          <w:color w:val="auto"/>
          <w:kern w:val="0"/>
          <w:sz w:val="32"/>
          <w:szCs w:val="32"/>
          <w:highlight w:val="none"/>
          <w:u w:val="none"/>
          <w:lang w:val="en-US" w:eastAsia="zh-CN"/>
        </w:rPr>
        <w:t>2022年度部门在职人员数量有所变动。</w:t>
      </w:r>
    </w:p>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34.33</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32.12</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93.56%</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kern w:val="0"/>
                <w:sz w:val="20"/>
                <w:szCs w:val="20"/>
                <w:highlight w:val="none"/>
                <w:u w:val="none"/>
                <w:lang w:val="en-US" w:eastAsia="zh-CN"/>
              </w:rPr>
              <w:t>职工住房公积金补贴支出</w:t>
            </w: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34.33</w:t>
            </w:r>
          </w:p>
        </w:tc>
        <w:tc>
          <w:tcPr>
            <w:tcW w:w="806"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32.12</w:t>
            </w:r>
          </w:p>
        </w:tc>
        <w:tc>
          <w:tcPr>
            <w:tcW w:w="109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93.56%</w:t>
            </w:r>
          </w:p>
        </w:tc>
        <w:tc>
          <w:tcPr>
            <w:tcW w:w="178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2022年度一般公共预算财政拨款基本支出</w:t>
      </w:r>
      <w:r>
        <w:rPr>
          <w:rFonts w:hint="eastAsia" w:ascii="仿宋_GB2312" w:hAnsi="仿宋_GB2312" w:eastAsia="仿宋_GB2312" w:cs="仿宋_GB2312"/>
          <w:color w:val="auto"/>
          <w:sz w:val="32"/>
          <w:u w:color="auto"/>
          <w:lang w:val="en-US" w:eastAsia="zh-CN"/>
        </w:rPr>
        <w:t>555.14万元，其中：人员经费支出472.84万元，公用经费支出82.30万元，</w:t>
      </w:r>
      <w:r>
        <w:rPr>
          <w:rFonts w:hint="eastAsia" w:ascii="仿宋_GB2312" w:hAnsi="仿宋_GB2312" w:eastAsia="仿宋_GB2312" w:cs="仿宋_GB2312"/>
          <w:color w:val="auto"/>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工资福利支出</w:t>
      </w:r>
      <w:r>
        <w:rPr>
          <w:rFonts w:hint="eastAsia" w:ascii="仿宋_GB2312" w:hAnsi="仿宋_GB2312" w:eastAsia="仿宋_GB2312" w:cs="仿宋_GB2312"/>
          <w:color w:val="auto"/>
          <w:sz w:val="32"/>
          <w:u w:color="auto"/>
        </w:rPr>
        <w:t>430.95万</w:t>
      </w:r>
      <w:r>
        <w:rPr>
          <w:rFonts w:hint="eastAsia" w:ascii="仿宋_GB2312" w:hAnsi="仿宋_GB2312" w:eastAsia="仿宋_GB2312" w:cs="仿宋_GB2312"/>
          <w:color w:val="auto"/>
          <w:sz w:val="32"/>
          <w:szCs w:val="32"/>
          <w:highlight w:val="none"/>
        </w:rPr>
        <w:t>元，完成年初预算</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120.63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highlight w:val="none"/>
          <w:u w:val="none"/>
          <w:lang w:val="en-US" w:eastAsia="zh-CN"/>
        </w:rPr>
        <w:t>2022年度部门在职人员数量有所变动。</w:t>
      </w:r>
    </w:p>
    <w:p>
      <w:pPr>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30101基本工资114.95万元，30102津贴补贴26.61万元，30103奖金107.63万元，30107绩效工资38.29万元，30108机关事业单位基本养老保险缴费47.72万元，30110职工基本医疗保险缴费18.5万元，30112其他社会保障缴费1.67万元，30113住房公积金40.36万元，30199其他工资福利支出35.22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商品和服务支出</w:t>
      </w:r>
      <w:r>
        <w:rPr>
          <w:rFonts w:hint="eastAsia" w:ascii="仿宋_GB2312" w:hAnsi="仿宋_GB2312" w:eastAsia="仿宋_GB2312" w:cs="仿宋_GB2312"/>
          <w:color w:val="auto"/>
          <w:sz w:val="32"/>
          <w:u w:color="auto"/>
          <w:lang w:val="en-US" w:eastAsia="zh-CN"/>
        </w:rPr>
        <w:t>79.72</w:t>
      </w:r>
      <w:r>
        <w:rPr>
          <w:rFonts w:hint="eastAsia" w:ascii="仿宋_GB2312" w:hAnsi="仿宋_GB2312" w:eastAsia="仿宋_GB2312" w:cs="仿宋_GB2312"/>
          <w:color w:val="auto"/>
          <w:sz w:val="32"/>
          <w:u w:color="auto"/>
        </w:rPr>
        <w:t>万元，</w:t>
      </w:r>
      <w:r>
        <w:rPr>
          <w:rFonts w:hint="eastAsia" w:ascii="仿宋_GB2312" w:hAnsi="仿宋_GB2312" w:eastAsia="仿宋_GB2312" w:cs="仿宋_GB2312"/>
          <w:color w:val="auto"/>
          <w:sz w:val="32"/>
          <w:szCs w:val="32"/>
          <w:highlight w:val="none"/>
        </w:rPr>
        <w:t>完成年初预算</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68.65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主要原因是：财政资金未到位。</w:t>
      </w:r>
    </w:p>
    <w:p>
      <w:pPr>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30201办公费33.26万元，30202印刷费0.14万元，30205水费0.52万元，30206电费2.66万元，30207邮电费2.52万元，30209物业管理费0.03万元，30211差旅费14.06万元，30213维修（护）费0.10万元，30216培训费1.65万元，30217公务接待费10.92万元，30226劳务费0.96万元，30228工会经费5.72万元，30231公务用车运行维护费2.85万元，30239其他交通费用2.23万元，30299其他商品和服务支出2.11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对个人和家庭的补助</w:t>
      </w:r>
      <w:r>
        <w:rPr>
          <w:rFonts w:hint="eastAsia" w:ascii="仿宋_GB2312" w:hAnsi="仿宋_GB2312" w:eastAsia="仿宋_GB2312" w:cs="仿宋_GB2312"/>
          <w:color w:val="auto"/>
          <w:sz w:val="32"/>
          <w:u w:color="auto"/>
          <w:lang w:val="en-US" w:eastAsia="zh-CN"/>
        </w:rPr>
        <w:t>41.88</w:t>
      </w:r>
      <w:r>
        <w:rPr>
          <w:rFonts w:hint="eastAsia" w:ascii="仿宋_GB2312" w:hAnsi="仿宋_GB2312" w:eastAsia="仿宋_GB2312" w:cs="仿宋_GB2312"/>
          <w:color w:val="auto"/>
          <w:sz w:val="32"/>
          <w:u w:color="auto"/>
        </w:rPr>
        <w:t>万元，</w:t>
      </w:r>
      <w:r>
        <w:rPr>
          <w:rFonts w:hint="eastAsia" w:ascii="仿宋_GB2312" w:hAnsi="仿宋_GB2312" w:eastAsia="仿宋_GB2312" w:cs="仿宋_GB2312"/>
          <w:color w:val="auto"/>
          <w:sz w:val="32"/>
          <w:u w:color="auto"/>
          <w:lang w:val="en-US" w:eastAsia="zh-CN"/>
        </w:rPr>
        <w:t>完成年初预算的</w:t>
      </w:r>
      <w:r>
        <w:rPr>
          <w:rFonts w:hint="eastAsia" w:ascii="仿宋_GB2312" w:hAnsi="仿宋_GB2312" w:eastAsia="仿宋_GB2312" w:cs="仿宋_GB2312"/>
          <w:color w:val="auto"/>
          <w:sz w:val="32"/>
          <w:szCs w:val="32"/>
          <w:highlight w:val="none"/>
          <w:lang w:val="en-US" w:eastAsia="zh-CN"/>
        </w:rPr>
        <w:t>479.73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sz w:val="32"/>
          <w:szCs w:val="32"/>
          <w:highlight w:val="none"/>
          <w:lang w:val="en-US" w:eastAsia="zh-CN"/>
        </w:rPr>
        <w:t>抚恤金年初无预算。</w:t>
      </w:r>
    </w:p>
    <w:p>
      <w:pPr>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30304抚恤金24.98万元，30305生活补助9.15万元，30309奖励金0.01万元，30399其他对个人和家庭的补助7.74万元。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625725"/>
            <wp:effectExtent l="4445" t="4445" r="16510"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both"/>
        <w:rPr>
          <w:rFonts w:hint="eastAsia" w:ascii="仿宋_GB2312" w:hAnsi="仿宋_GB2312" w:eastAsia="仿宋_GB2312" w:cs="仿宋_GB2312"/>
          <w:color w:val="auto"/>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资本性支出</w:t>
      </w:r>
      <w:r>
        <w:rPr>
          <w:rFonts w:hint="eastAsia" w:ascii="仿宋_GB2312" w:hAnsi="仿宋_GB2312" w:eastAsia="仿宋_GB2312" w:cs="仿宋_GB2312"/>
          <w:color w:val="auto"/>
          <w:sz w:val="32"/>
          <w:u w:color="auto"/>
          <w:lang w:val="en-US" w:eastAsia="zh-CN"/>
        </w:rPr>
        <w:t>2.58</w:t>
      </w:r>
      <w:r>
        <w:rPr>
          <w:rFonts w:hint="eastAsia" w:ascii="仿宋_GB2312" w:hAnsi="仿宋_GB2312" w:eastAsia="仿宋_GB2312" w:cs="仿宋_GB2312"/>
          <w:color w:val="auto"/>
          <w:sz w:val="32"/>
          <w:u w:color="auto"/>
        </w:rPr>
        <w:t>万元，完成年初预算的</w:t>
      </w:r>
      <w:r>
        <w:rPr>
          <w:rFonts w:hint="eastAsia" w:ascii="仿宋_GB2312" w:hAnsi="仿宋_GB2312" w:eastAsia="仿宋_GB2312" w:cs="仿宋_GB2312"/>
          <w:color w:val="auto"/>
          <w:sz w:val="32"/>
          <w:u w:color="auto"/>
          <w:lang w:val="en-US" w:eastAsia="zh-CN"/>
        </w:rPr>
        <w:t>10</w:t>
      </w:r>
      <w:r>
        <w:rPr>
          <w:rFonts w:hint="eastAsia" w:ascii="仿宋_GB2312" w:hAnsi="仿宋_GB2312" w:eastAsia="仿宋_GB2312" w:cs="仿宋_GB2312"/>
          <w:color w:val="auto"/>
          <w:sz w:val="32"/>
          <w:u w:color="auto"/>
        </w:rPr>
        <w:t>0%</w:t>
      </w:r>
      <w:r>
        <w:rPr>
          <w:rFonts w:hint="eastAsia" w:ascii="仿宋_GB2312" w:hAnsi="仿宋_GB2312" w:eastAsia="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sz w:val="32"/>
          <w:szCs w:val="32"/>
          <w:highlight w:val="none"/>
        </w:rPr>
        <w:t>预决算</w:t>
      </w:r>
      <w:r>
        <w:rPr>
          <w:rFonts w:hint="eastAsia" w:ascii="仿宋_GB2312" w:hAnsi="仿宋_GB2312" w:eastAsia="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kern w:val="2"/>
          <w:sz w:val="32"/>
          <w:szCs w:val="32"/>
          <w:highlight w:val="none"/>
          <w:lang w:val="en-US" w:eastAsia="zh-CN" w:bidi="ar"/>
        </w:rPr>
        <w:t>。</w:t>
      </w:r>
    </w:p>
    <w:p>
      <w:pPr>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支出具体情况如下</w:t>
      </w:r>
      <w:r>
        <w:rPr>
          <w:rFonts w:hint="eastAsia" w:ascii="仿宋_GB2312" w:hAnsi="仿宋_GB2312" w:eastAsia="仿宋_GB2312" w:cs="仿宋_GB2312"/>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我单位</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hint="default" w:ascii="仿宋" w:hAnsi="仿宋" w:eastAsia="仿宋_GB2312" w:cs="仿宋"/>
          <w:color w:val="auto"/>
          <w:sz w:val="32"/>
          <w:szCs w:val="32"/>
          <w:highlight w:val="none"/>
          <w:lang w:val="en-US" w:eastAsia="zh-CN"/>
        </w:rPr>
      </w:pPr>
      <w:bookmarkStart w:id="4" w:name="PO_part3A5B1C1DiffReason1"/>
      <w:r>
        <w:rPr>
          <w:rFonts w:hint="eastAsia" w:ascii="仿宋_GB2312" w:hAnsi="Times New Roman" w:eastAsia="仿宋_GB2312" w:cs="Times New Roman"/>
          <w:color w:val="auto"/>
          <w:sz w:val="32"/>
          <w:szCs w:val="32"/>
          <w:lang w:eastAsia="zh-CN"/>
        </w:rPr>
        <w:t>我单位</w:t>
      </w:r>
      <w:r>
        <w:rPr>
          <w:rFonts w:ascii="仿宋_GB2312" w:hAnsi="仿宋_GB2312" w:eastAsia="仿宋_GB2312" w:cs="仿宋_GB2312"/>
          <w:color w:val="auto"/>
          <w:sz w:val="32"/>
          <w:u w:color="auto"/>
        </w:rPr>
        <w:t>没有国有资本经营预算收入，也没有国有资本经营预算收入</w:t>
      </w:r>
      <w:bookmarkEnd w:id="4"/>
      <w:r>
        <w:rPr>
          <w:rFonts w:hint="eastAsia" w:ascii="仿宋_GB2312" w:hAnsi="仿宋_GB2312" w:eastAsia="仿宋_GB2312" w:cs="仿宋_GB2312"/>
          <w:color w:val="auto"/>
          <w:sz w:val="32"/>
          <w:u w:color="auto"/>
          <w:lang w:val="en-US" w:eastAsia="zh-CN"/>
        </w:rPr>
        <w:t>的支出。</w:t>
      </w:r>
      <w:bookmarkStart w:id="5" w:name="_GoBack"/>
      <w:bookmarkEnd w:id="5"/>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2022年度一般公共预算财政拨款安排的“三公”经费支出</w:t>
      </w:r>
      <w:r>
        <w:rPr>
          <w:rFonts w:hint="eastAsia" w:ascii="仿宋_GB2312" w:hAnsi="仿宋_GB2312" w:eastAsia="仿宋_GB2312" w:cs="仿宋_GB2312"/>
          <w:color w:val="auto"/>
          <w:sz w:val="32"/>
          <w:szCs w:val="32"/>
          <w:highlight w:val="none"/>
          <w:lang w:val="en-US" w:eastAsia="zh-CN"/>
        </w:rPr>
        <w:t>22.21</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%，比上年增加</w:t>
      </w:r>
      <w:r>
        <w:rPr>
          <w:rFonts w:hint="eastAsia" w:ascii="仿宋_GB2312" w:hAnsi="仿宋_GB2312" w:eastAsia="仿宋_GB2312" w:cs="仿宋_GB2312"/>
          <w:color w:val="auto"/>
          <w:sz w:val="32"/>
          <w:szCs w:val="32"/>
          <w:highlight w:val="none"/>
          <w:lang w:val="en-US" w:eastAsia="zh-CN"/>
        </w:rPr>
        <w:t>8.75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kern w:val="2"/>
          <w:sz w:val="32"/>
          <w:szCs w:val="32"/>
          <w:highlight w:val="none"/>
          <w:lang w:val="en-US" w:eastAsia="zh-CN" w:bidi="ar"/>
        </w:rPr>
        <w:t>主要原因是：</w:t>
      </w:r>
      <w:r>
        <w:rPr>
          <w:rFonts w:hint="eastAsia" w:ascii="仿宋_GB2312" w:hAnsi="仿宋_GB2312" w:eastAsia="仿宋_GB2312" w:cs="仿宋_GB2312"/>
          <w:color w:val="auto"/>
          <w:sz w:val="32"/>
          <w:szCs w:val="32"/>
          <w:highlight w:val="none"/>
          <w:lang w:eastAsia="zh-CN"/>
        </w:rPr>
        <w:t>日常公用经费</w:t>
      </w:r>
      <w:r>
        <w:rPr>
          <w:rFonts w:hint="eastAsia" w:ascii="仿宋_GB2312" w:hAnsi="仿宋_GB2312" w:eastAsia="仿宋_GB2312" w:cs="仿宋_GB2312"/>
          <w:color w:val="auto"/>
          <w:kern w:val="2"/>
          <w:sz w:val="32"/>
          <w:szCs w:val="32"/>
          <w:highlight w:val="none"/>
          <w:lang w:val="en-US" w:eastAsia="zh-CN" w:bidi="ar"/>
        </w:rPr>
        <w:t>跨年度报账。</w:t>
      </w:r>
      <w:r>
        <w:rPr>
          <w:rFonts w:hint="eastAsia" w:ascii="仿宋_GB2312" w:hAnsi="仿宋_GB2312" w:eastAsia="仿宋_GB2312" w:cs="仿宋_GB2312"/>
          <w:color w:val="auto"/>
          <w:sz w:val="32"/>
          <w:szCs w:val="32"/>
          <w:highlight w:val="none"/>
        </w:rPr>
        <w:t>其中：因公出国（境）费支出决算0.00万元，公务用车购置及运行费支出决算</w:t>
      </w:r>
      <w:r>
        <w:rPr>
          <w:rFonts w:hint="eastAsia" w:ascii="仿宋_GB2312" w:hAnsi="仿宋_GB2312" w:eastAsia="仿宋_GB2312" w:cs="仿宋_GB2312"/>
          <w:color w:val="auto"/>
          <w:sz w:val="32"/>
          <w:szCs w:val="32"/>
          <w:highlight w:val="none"/>
          <w:lang w:val="en-US" w:eastAsia="zh-CN"/>
        </w:rPr>
        <w:t>2.85</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19.37</w:t>
      </w:r>
      <w:r>
        <w:rPr>
          <w:rFonts w:hint="eastAsia" w:ascii="仿宋_GB2312" w:hAnsi="仿宋_GB2312" w:eastAsia="仿宋_GB2312" w:cs="仿宋_GB2312"/>
          <w:color w:val="auto"/>
          <w:sz w:val="32"/>
          <w:szCs w:val="32"/>
          <w:highlight w:val="none"/>
        </w:rPr>
        <w:t>万元。</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具体情况如下：</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（一）因公出国（境）费支出0.00万元，完成年初预算的0%，比上年增加0.00万元。全年因公出国（境）团组共计0个，累计0人次。</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（二）公务用车购置及运行维护费</w:t>
      </w:r>
      <w:r>
        <w:rPr>
          <w:rFonts w:hint="eastAsia" w:ascii="仿宋_GB2312" w:hAnsi="仿宋_GB2312" w:eastAsia="仿宋_GB2312" w:cs="仿宋_GB2312"/>
          <w:color w:val="auto"/>
          <w:sz w:val="32"/>
          <w:u w:color="auto"/>
          <w:lang w:val="en-US" w:eastAsia="zh-CN"/>
        </w:rPr>
        <w:t>2.85</w:t>
      </w:r>
      <w:r>
        <w:rPr>
          <w:rFonts w:hint="eastAsia" w:ascii="仿宋_GB2312" w:hAnsi="仿宋_GB2312" w:eastAsia="仿宋_GB2312" w:cs="仿宋_GB2312"/>
          <w:color w:val="auto"/>
          <w:sz w:val="32"/>
          <w:szCs w:val="32"/>
          <w:highlight w:val="none"/>
        </w:rPr>
        <w:t>万元。其中：公务用车购置支出</w:t>
      </w:r>
      <w:r>
        <w:rPr>
          <w:rFonts w:hint="eastAsia" w:ascii="仿宋_GB2312" w:hAnsi="仿宋_GB2312" w:eastAsia="仿宋_GB2312" w:cs="仿宋_GB2312"/>
          <w:color w:val="auto"/>
          <w:sz w:val="32"/>
          <w:u w:color="auto"/>
        </w:rPr>
        <w:t>0.00</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u w:color="auto"/>
          <w:lang w:val="en-US" w:eastAsia="zh-CN"/>
        </w:rPr>
        <w:t>123.91</w:t>
      </w:r>
      <w:r>
        <w:rPr>
          <w:rFonts w:hint="eastAsia" w:ascii="仿宋_GB2312" w:hAnsi="仿宋_GB2312" w:eastAsia="仿宋_GB2312" w:cs="仿宋_GB2312"/>
          <w:color w:val="auto"/>
          <w:sz w:val="32"/>
          <w:u w:color="auto"/>
        </w:rPr>
        <w:t>%</w:t>
      </w:r>
      <w:r>
        <w:rPr>
          <w:rFonts w:hint="eastAsia" w:ascii="仿宋_GB2312" w:hAnsi="仿宋_GB2312" w:eastAsia="仿宋_GB2312" w:cs="仿宋_GB2312"/>
          <w:color w:val="auto"/>
          <w:sz w:val="32"/>
          <w:szCs w:val="32"/>
          <w:highlight w:val="none"/>
        </w:rPr>
        <w:t>，比上年</w:t>
      </w:r>
      <w:r>
        <w:rPr>
          <w:rFonts w:hint="eastAsia" w:ascii="仿宋_GB2312" w:hAnsi="仿宋_GB2312" w:eastAsia="仿宋_GB2312" w:cs="仿宋_GB2312"/>
          <w:color w:val="auto"/>
          <w:kern w:val="0"/>
          <w:sz w:val="32"/>
          <w:szCs w:val="32"/>
          <w:highlight w:val="none"/>
          <w:u w:val="none"/>
          <w:lang w:eastAsia="zh-CN"/>
        </w:rPr>
        <w:t>下降</w:t>
      </w:r>
      <w:r>
        <w:rPr>
          <w:rFonts w:hint="eastAsia" w:ascii="仿宋_GB2312" w:hAnsi="仿宋_GB2312" w:eastAsia="仿宋_GB2312" w:cs="仿宋_GB2312"/>
          <w:color w:val="auto"/>
          <w:kern w:val="0"/>
          <w:sz w:val="32"/>
          <w:szCs w:val="32"/>
          <w:highlight w:val="none"/>
          <w:u w:val="none"/>
          <w:lang w:val="en-US" w:eastAsia="zh-CN"/>
        </w:rPr>
        <w:t>1.06</w:t>
      </w:r>
      <w:r>
        <w:rPr>
          <w:rFonts w:hint="eastAsia" w:ascii="仿宋_GB2312" w:hAnsi="仿宋_GB2312" w:eastAsia="仿宋_GB2312" w:cs="仿宋_GB2312"/>
          <w:color w:val="auto"/>
          <w:kern w:val="0"/>
          <w:sz w:val="32"/>
          <w:szCs w:val="32"/>
          <w:highlight w:val="none"/>
          <w:u w:val="none"/>
        </w:rPr>
        <w:t>万元</w:t>
      </w:r>
      <w:r>
        <w:rPr>
          <w:rFonts w:hint="eastAsia" w:ascii="仿宋_GB2312" w:hAnsi="仿宋_GB2312" w:eastAsia="仿宋_GB2312" w:cs="仿宋_GB2312"/>
          <w:color w:val="auto"/>
          <w:sz w:val="32"/>
          <w:szCs w:val="32"/>
        </w:rPr>
        <w:t>。</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公务用车运行维护支出</w:t>
      </w:r>
      <w:r>
        <w:rPr>
          <w:rFonts w:hint="eastAsia" w:ascii="仿宋_GB2312" w:hAnsi="仿宋_GB2312" w:eastAsia="仿宋_GB2312" w:cs="仿宋_GB2312"/>
          <w:color w:val="auto"/>
          <w:sz w:val="32"/>
          <w:u w:color="auto"/>
          <w:lang w:val="en-US" w:eastAsia="zh-CN"/>
        </w:rPr>
        <w:t>2.85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u w:color="auto"/>
          <w:lang w:val="en-US" w:eastAsia="zh-CN"/>
        </w:rPr>
        <w:t>123.91</w:t>
      </w:r>
      <w:r>
        <w:rPr>
          <w:rFonts w:hint="eastAsia" w:ascii="仿宋_GB2312" w:hAnsi="仿宋_GB2312" w:eastAsia="仿宋_GB2312" w:cs="仿宋_GB2312"/>
          <w:color w:val="auto"/>
          <w:sz w:val="32"/>
          <w:u w:color="auto"/>
        </w:rPr>
        <w:t>%</w:t>
      </w:r>
      <w:r>
        <w:rPr>
          <w:rFonts w:hint="eastAsia" w:ascii="仿宋_GB2312" w:hAnsi="仿宋_GB2312" w:eastAsia="仿宋_GB2312" w:cs="仿宋_GB2312"/>
          <w:color w:val="auto"/>
          <w:sz w:val="32"/>
          <w:szCs w:val="32"/>
          <w:highlight w:val="none"/>
        </w:rPr>
        <w:t>，比上年</w:t>
      </w:r>
      <w:r>
        <w:rPr>
          <w:rFonts w:hint="eastAsia" w:ascii="仿宋_GB2312" w:hAnsi="仿宋_GB2312" w:eastAsia="仿宋_GB2312" w:cs="仿宋_GB2312"/>
          <w:color w:val="auto"/>
          <w:kern w:val="0"/>
          <w:sz w:val="32"/>
          <w:szCs w:val="32"/>
          <w:highlight w:val="none"/>
          <w:u w:val="none"/>
          <w:lang w:eastAsia="zh-CN"/>
        </w:rPr>
        <w:t>下降</w:t>
      </w:r>
      <w:r>
        <w:rPr>
          <w:rFonts w:hint="eastAsia" w:ascii="仿宋_GB2312" w:hAnsi="仿宋_GB2312" w:eastAsia="仿宋_GB2312" w:cs="仿宋_GB2312"/>
          <w:color w:val="auto"/>
          <w:sz w:val="32"/>
          <w:u w:color="auto"/>
          <w:lang w:val="en-US" w:eastAsia="zh-CN"/>
        </w:rPr>
        <w:t>1.06</w:t>
      </w:r>
      <w:r>
        <w:rPr>
          <w:rFonts w:hint="eastAsia" w:ascii="仿宋_GB2312" w:hAnsi="仿宋_GB2312" w:eastAsia="仿宋_GB2312" w:cs="仿宋_GB2312"/>
          <w:color w:val="auto"/>
          <w:sz w:val="32"/>
          <w:szCs w:val="32"/>
          <w:highlight w:val="none"/>
        </w:rPr>
        <w:t>万元。2022年，</w:t>
      </w:r>
      <w:r>
        <w:rPr>
          <w:rFonts w:hint="eastAsia" w:ascii="仿宋_GB2312" w:hAnsi="仿宋_GB2312" w:eastAsia="仿宋_GB2312" w:cs="仿宋_GB2312"/>
          <w:color w:val="auto"/>
          <w:sz w:val="32"/>
          <w:u w:color="auto"/>
          <w:lang w:eastAsia="zh-CN"/>
        </w:rPr>
        <w:t>我单位</w:t>
      </w:r>
      <w:r>
        <w:rPr>
          <w:rFonts w:hint="eastAsia" w:ascii="仿宋_GB2312" w:hAnsi="仿宋_GB2312" w:eastAsia="仿宋_GB2312" w:cs="仿宋_GB2312"/>
          <w:color w:val="auto"/>
          <w:sz w:val="32"/>
          <w:szCs w:val="32"/>
          <w:highlight w:val="none"/>
        </w:rPr>
        <w:t>开支财政拨款的公务用车保有量为</w:t>
      </w:r>
      <w:r>
        <w:rPr>
          <w:rFonts w:hint="eastAsia" w:ascii="仿宋_GB2312" w:hAnsi="仿宋_GB2312" w:eastAsia="仿宋_GB2312" w:cs="仿宋_GB2312"/>
          <w:color w:val="auto"/>
          <w:sz w:val="32"/>
          <w:u w:color="auto"/>
          <w:lang w:val="en-US" w:eastAsia="zh-CN"/>
        </w:rPr>
        <w:t>1</w:t>
      </w:r>
      <w:r>
        <w:rPr>
          <w:rFonts w:hint="eastAsia" w:ascii="仿宋_GB2312" w:hAnsi="仿宋_GB2312" w:eastAsia="仿宋_GB2312" w:cs="仿宋_GB2312"/>
          <w:color w:val="auto"/>
          <w:sz w:val="32"/>
          <w:szCs w:val="32"/>
          <w:highlight w:val="none"/>
        </w:rPr>
        <w:t>辆，全年运行费支出</w:t>
      </w:r>
      <w:r>
        <w:rPr>
          <w:rFonts w:hint="eastAsia" w:ascii="仿宋_GB2312" w:hAnsi="仿宋_GB2312" w:eastAsia="仿宋_GB2312" w:cs="仿宋_GB2312"/>
          <w:color w:val="auto"/>
          <w:sz w:val="32"/>
          <w:u w:color="auto"/>
          <w:lang w:val="en-US" w:eastAsia="zh-CN"/>
        </w:rPr>
        <w:t>2.85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平均每辆</w:t>
      </w:r>
      <w:r>
        <w:rPr>
          <w:rFonts w:hint="eastAsia" w:ascii="仿宋_GB2312" w:hAnsi="仿宋_GB2312" w:eastAsia="仿宋_GB2312" w:cs="仿宋_GB2312"/>
          <w:color w:val="auto"/>
          <w:sz w:val="32"/>
          <w:szCs w:val="32"/>
          <w:highlight w:val="none"/>
          <w:lang w:val="en-US" w:eastAsia="zh-CN"/>
        </w:rPr>
        <w:t>2.85</w:t>
      </w:r>
      <w:r>
        <w:rPr>
          <w:rFonts w:hint="eastAsia" w:ascii="仿宋_GB2312" w:hAnsi="仿宋_GB2312" w:eastAsia="仿宋_GB2312" w:cs="仿宋_GB2312"/>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（三）公务接待费支出</w:t>
      </w:r>
      <w:r>
        <w:rPr>
          <w:rFonts w:hint="eastAsia" w:ascii="仿宋_GB2312" w:hAnsi="仿宋_GB2312" w:eastAsia="仿宋_GB2312" w:cs="仿宋_GB2312"/>
          <w:color w:val="auto"/>
          <w:sz w:val="32"/>
          <w:szCs w:val="32"/>
          <w:highlight w:val="none"/>
          <w:lang w:val="en-US" w:eastAsia="zh-CN"/>
        </w:rPr>
        <w:t>19.37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%，比上年增加</w:t>
      </w:r>
      <w:r>
        <w:rPr>
          <w:rFonts w:hint="eastAsia" w:ascii="仿宋_GB2312" w:hAnsi="仿宋_GB2312" w:eastAsia="仿宋_GB2312" w:cs="仿宋_GB2312"/>
          <w:color w:val="auto"/>
          <w:sz w:val="32"/>
          <w:szCs w:val="32"/>
          <w:highlight w:val="none"/>
          <w:lang w:val="en-US" w:eastAsia="zh-CN"/>
        </w:rPr>
        <w:t>9.81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kern w:val="2"/>
          <w:sz w:val="32"/>
          <w:szCs w:val="32"/>
          <w:highlight w:val="none"/>
          <w:lang w:val="en-US" w:eastAsia="zh-CN" w:bidi="ar"/>
        </w:rPr>
        <w:t>主要原因是：跨年度报账。</w:t>
      </w:r>
      <w:r>
        <w:rPr>
          <w:rFonts w:hint="eastAsia" w:ascii="仿宋_GB2312" w:hAnsi="仿宋_GB2312" w:eastAsia="仿宋_GB2312" w:cs="仿宋_GB2312"/>
          <w:color w:val="auto"/>
          <w:sz w:val="32"/>
          <w:szCs w:val="32"/>
          <w:highlight w:val="none"/>
        </w:rPr>
        <w:t>国内公务接待批次</w:t>
      </w: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次，人次</w:t>
      </w:r>
      <w:r>
        <w:rPr>
          <w:rFonts w:hint="eastAsia" w:ascii="仿宋_GB2312" w:hAnsi="仿宋_GB2312" w:eastAsia="仿宋_GB2312" w:cs="仿宋_GB2312"/>
          <w:color w:val="auto"/>
          <w:sz w:val="32"/>
          <w:szCs w:val="32"/>
          <w:highlight w:val="none"/>
          <w:lang w:val="en-US" w:eastAsia="zh-CN"/>
        </w:rPr>
        <w:t>1614</w:t>
      </w:r>
      <w:r>
        <w:rPr>
          <w:rFonts w:hint="eastAsia" w:ascii="仿宋_GB2312" w:hAnsi="仿宋_GB2312" w:eastAsia="仿宋_GB2312" w:cs="仿宋_GB2312"/>
          <w:color w:val="auto"/>
          <w:sz w:val="32"/>
          <w:szCs w:val="32"/>
          <w:highlight w:val="none"/>
        </w:rPr>
        <w:t>次，国（境）外公务接待批次0次，人次0次。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（一）机关运行经费支出情况说明</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　</w:t>
      </w:r>
      <w:r>
        <w:rPr>
          <w:rFonts w:hint="eastAsia" w:ascii="仿宋_GB2312" w:hAnsi="仿宋_GB2312" w:eastAsia="仿宋_GB2312" w:cs="仿宋_GB2312"/>
          <w:color w:val="auto"/>
          <w:sz w:val="32"/>
          <w:szCs w:val="32"/>
          <w:highlight w:val="none"/>
          <w:lang w:eastAsia="zh-CN"/>
        </w:rPr>
        <w:t>　我单位</w:t>
      </w:r>
      <w:r>
        <w:rPr>
          <w:rFonts w:hint="eastAsia" w:ascii="仿宋_GB2312" w:hAnsi="仿宋_GB2312" w:eastAsia="仿宋_GB2312" w:cs="仿宋_GB2312"/>
          <w:color w:val="auto"/>
          <w:sz w:val="32"/>
          <w:szCs w:val="32"/>
          <w:highlight w:val="none"/>
        </w:rPr>
        <w:t>2022年度机关运行经费支出</w:t>
      </w:r>
      <w:r>
        <w:rPr>
          <w:rFonts w:hint="eastAsia" w:ascii="仿宋_GB2312" w:hAnsi="仿宋_GB2312" w:eastAsia="仿宋_GB2312" w:cs="仿宋_GB2312"/>
          <w:color w:val="auto"/>
          <w:sz w:val="32"/>
          <w:szCs w:val="32"/>
          <w:highlight w:val="none"/>
          <w:lang w:val="en-US" w:eastAsia="zh-CN"/>
        </w:rPr>
        <w:t>133.27</w:t>
      </w:r>
      <w:r>
        <w:rPr>
          <w:rFonts w:hint="eastAsia" w:ascii="仿宋_GB2312" w:hAnsi="仿宋_GB2312" w:eastAsia="仿宋_GB2312" w:cs="仿宋_GB2312"/>
          <w:color w:val="auto"/>
          <w:sz w:val="32"/>
          <w:szCs w:val="32"/>
          <w:highlight w:val="none"/>
        </w:rPr>
        <w:t>万元，比年初预算数增加</w:t>
      </w:r>
      <w:r>
        <w:rPr>
          <w:rFonts w:hint="eastAsia" w:ascii="仿宋_GB2312" w:hAnsi="仿宋_GB2312" w:eastAsia="仿宋_GB2312" w:cs="仿宋_GB2312"/>
          <w:color w:val="auto"/>
          <w:sz w:val="32"/>
          <w:szCs w:val="32"/>
          <w:highlight w:val="none"/>
          <w:lang w:val="en-US" w:eastAsia="zh-CN"/>
        </w:rPr>
        <w:t>107.83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423.75</w:t>
      </w:r>
      <w:r>
        <w:rPr>
          <w:rFonts w:hint="eastAsia" w:ascii="仿宋_GB2312" w:hAnsi="仿宋_GB2312" w:eastAsia="仿宋_GB2312" w:cs="仿宋_GB2312"/>
          <w:color w:val="auto"/>
          <w:sz w:val="32"/>
          <w:szCs w:val="32"/>
          <w:highlight w:val="none"/>
        </w:rPr>
        <w:t>%，比上年决算数增加</w:t>
      </w:r>
      <w:r>
        <w:rPr>
          <w:rFonts w:hint="eastAsia" w:ascii="仿宋_GB2312" w:hAnsi="仿宋_GB2312" w:eastAsia="仿宋_GB2312" w:cs="仿宋_GB2312"/>
          <w:color w:val="auto"/>
          <w:sz w:val="32"/>
          <w:szCs w:val="32"/>
          <w:highlight w:val="none"/>
          <w:lang w:val="en-US" w:eastAsia="zh-CN"/>
        </w:rPr>
        <w:t>101.11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314.40</w:t>
      </w:r>
      <w:r>
        <w:rPr>
          <w:rFonts w:hint="eastAsia" w:ascii="仿宋_GB2312" w:hAnsi="仿宋_GB2312" w:eastAsia="仿宋_GB2312" w:cs="仿宋_GB2312"/>
          <w:color w:val="auto"/>
          <w:sz w:val="32"/>
          <w:szCs w:val="32"/>
          <w:highlight w:val="none"/>
        </w:rPr>
        <w:t>%。原因是：主要原因是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人员数量增加</w:t>
      </w:r>
      <w:r>
        <w:rPr>
          <w:rFonts w:hint="eastAsia" w:ascii="仿宋_GB2312" w:hAnsi="仿宋_GB2312" w:eastAsia="仿宋_GB2312" w:cs="仿宋_GB2312"/>
          <w:color w:val="auto"/>
          <w:sz w:val="32"/>
          <w:szCs w:val="32"/>
          <w:highlight w:val="none"/>
          <w:lang w:eastAsia="zh-CN"/>
        </w:rPr>
        <w:t>和日常公用经费</w:t>
      </w:r>
      <w:r>
        <w:rPr>
          <w:rFonts w:hint="eastAsia" w:ascii="仿宋_GB2312" w:hAnsi="仿宋_GB2312" w:eastAsia="仿宋_GB2312" w:cs="仿宋_GB2312"/>
          <w:color w:val="auto"/>
          <w:kern w:val="2"/>
          <w:sz w:val="32"/>
          <w:szCs w:val="32"/>
          <w:highlight w:val="none"/>
          <w:lang w:val="en-US" w:eastAsia="zh-CN" w:bidi="ar"/>
        </w:rPr>
        <w:t>跨年度报账</w:t>
      </w:r>
      <w:r>
        <w:rPr>
          <w:rFonts w:hint="eastAsia" w:ascii="仿宋_GB2312" w:hAnsi="仿宋_GB2312" w:eastAsia="仿宋_GB2312" w:cs="仿宋_GB2312"/>
          <w:color w:val="auto"/>
          <w:sz w:val="32"/>
          <w:szCs w:val="32"/>
          <w:highlight w:val="none"/>
        </w:rPr>
        <w:t>。</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2022年度政府采购支出总额</w:t>
      </w:r>
      <w:r>
        <w:rPr>
          <w:rFonts w:hint="eastAsia" w:ascii="仿宋_GB2312" w:hAnsi="仿宋_GB2312" w:eastAsia="仿宋_GB2312" w:cs="仿宋_GB2312"/>
          <w:color w:val="auto"/>
          <w:sz w:val="32"/>
          <w:szCs w:val="32"/>
          <w:highlight w:val="none"/>
          <w:lang w:val="en-US" w:eastAsia="zh-CN"/>
        </w:rPr>
        <w:t>13441.66</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2212.39</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11003.07</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226.20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13441.66</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%，其中：授予小微企业合同金额10221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97万元，占授予中小企业合同金额的</w:t>
      </w:r>
      <w:r>
        <w:rPr>
          <w:rFonts w:hint="eastAsia" w:ascii="仿宋_GB2312" w:hAnsi="仿宋_GB2312" w:eastAsia="仿宋_GB2312" w:cs="仿宋_GB2312"/>
          <w:color w:val="auto"/>
          <w:sz w:val="32"/>
          <w:szCs w:val="32"/>
          <w:highlight w:val="none"/>
          <w:lang w:val="en-US" w:eastAsia="zh-CN"/>
        </w:rPr>
        <w:t>76.05</w:t>
      </w:r>
      <w:r>
        <w:rPr>
          <w:rFonts w:hint="eastAsia" w:ascii="仿宋_GB2312" w:hAnsi="仿宋_GB2312" w:eastAsia="仿宋_GB2312" w:cs="仿宋_GB2312"/>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截至2022年12月31日，</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辆，其中：副部（省）级领导干部用车0辆、机要通信用车0辆、应急保障用车0辆、执法执勤用车0辆、特种专业技术用车0辆、其他用车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辆；单位价值50万元以上通用设备0台（套）；单位价值</w:t>
      </w:r>
      <w:r>
        <w:rPr>
          <w:rFonts w:hint="eastAsia" w:ascii="仿宋_GB2312" w:hAnsi="仿宋_GB2312" w:eastAsia="仿宋_GB2312" w:cs="仿宋_GB2312"/>
          <w:color w:val="auto"/>
          <w:sz w:val="32"/>
          <w:szCs w:val="32"/>
          <w:highlight w:val="none"/>
          <w:lang w:val="en-US" w:eastAsia="zh-CN"/>
        </w:rPr>
        <w:t>100万</w:t>
      </w:r>
      <w:r>
        <w:rPr>
          <w:rFonts w:hint="eastAsia" w:ascii="仿宋_GB2312" w:hAnsi="仿宋_GB2312" w:eastAsia="仿宋_GB2312" w:cs="仿宋_GB2312"/>
          <w:color w:val="auto"/>
          <w:sz w:val="32"/>
          <w:szCs w:val="32"/>
          <w:highlight w:val="none"/>
        </w:rPr>
        <w:t>元以上专用设备0台（套）。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1.绩效管理工作开展情况。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根据财政预算绩效管理要求，</w:t>
      </w:r>
      <w:r>
        <w:rPr>
          <w:rFonts w:hint="eastAsia" w:ascii="仿宋_GB2312" w:hAnsi="仿宋_GB2312" w:eastAsia="仿宋_GB2312" w:cs="仿宋_GB2312"/>
          <w:i w:val="0"/>
          <w:iCs w:val="0"/>
          <w:caps w:val="0"/>
          <w:color w:val="auto"/>
          <w:spacing w:val="0"/>
          <w:sz w:val="32"/>
          <w:szCs w:val="32"/>
          <w:shd w:val="clear" w:fill="FFFFFF"/>
          <w:lang w:eastAsia="zh-CN"/>
        </w:rPr>
        <w:t>我单位</w:t>
      </w:r>
      <w:r>
        <w:rPr>
          <w:rFonts w:hint="eastAsia" w:ascii="仿宋_GB2312" w:hAnsi="仿宋_GB2312" w:eastAsia="仿宋_GB2312" w:cs="仿宋_GB2312"/>
          <w:i w:val="0"/>
          <w:iCs w:val="0"/>
          <w:caps w:val="0"/>
          <w:color w:val="auto"/>
          <w:spacing w:val="0"/>
          <w:sz w:val="32"/>
          <w:szCs w:val="32"/>
          <w:shd w:val="clear" w:fill="FFFFFF"/>
        </w:rPr>
        <w:t>组织对2022年度</w:t>
      </w:r>
      <w:r>
        <w:rPr>
          <w:rFonts w:hint="eastAsia" w:ascii="仿宋_GB2312" w:hAnsi="仿宋_GB2312" w:eastAsia="仿宋_GB2312" w:cs="仿宋_GB2312"/>
          <w:i w:val="0"/>
          <w:iCs w:val="0"/>
          <w:caps w:val="0"/>
          <w:color w:val="auto"/>
          <w:spacing w:val="0"/>
          <w:sz w:val="32"/>
          <w:szCs w:val="32"/>
          <w:shd w:val="clear" w:fill="FFFFFF"/>
          <w:lang w:val="en-US" w:eastAsia="zh-CN"/>
        </w:rPr>
        <w:t>42</w:t>
      </w:r>
      <w:r>
        <w:rPr>
          <w:rFonts w:hint="eastAsia" w:ascii="仿宋_GB2312" w:hAnsi="仿宋_GB2312" w:eastAsia="仿宋_GB2312" w:cs="仿宋_GB2312"/>
          <w:i w:val="0"/>
          <w:iCs w:val="0"/>
          <w:caps w:val="0"/>
          <w:color w:val="auto"/>
          <w:spacing w:val="0"/>
          <w:sz w:val="32"/>
          <w:szCs w:val="32"/>
          <w:shd w:val="clear" w:fill="FFFFFF"/>
        </w:rPr>
        <w:t>个一般公共预算项目支出开展绩效自评，共涉及一般公共预算财政拨款</w:t>
      </w:r>
      <w:r>
        <w:rPr>
          <w:rFonts w:hint="eastAsia" w:ascii="仿宋_GB2312" w:hAnsi="仿宋_GB2312" w:eastAsia="仿宋_GB2312" w:cs="仿宋_GB2312"/>
          <w:color w:val="auto"/>
          <w:sz w:val="32"/>
          <w:szCs w:val="32"/>
          <w:lang w:val="en-US" w:eastAsia="zh-CN"/>
        </w:rPr>
        <w:t>16992.50</w:t>
      </w:r>
      <w:r>
        <w:rPr>
          <w:rFonts w:hint="eastAsia" w:ascii="仿宋_GB2312" w:hAnsi="仿宋_GB2312" w:eastAsia="仿宋_GB2312" w:cs="仿宋_GB2312"/>
          <w:i w:val="0"/>
          <w:iCs w:val="0"/>
          <w:caps w:val="0"/>
          <w:color w:val="auto"/>
          <w:spacing w:val="0"/>
          <w:sz w:val="32"/>
          <w:szCs w:val="32"/>
          <w:shd w:val="clear" w:fill="FFFFFF"/>
        </w:rPr>
        <w:t>万元，占一般公共预算项目支出总额的99.</w:t>
      </w:r>
      <w:r>
        <w:rPr>
          <w:rFonts w:hint="eastAsia" w:ascii="仿宋_GB2312" w:hAnsi="仿宋_GB2312" w:eastAsia="仿宋_GB2312" w:cs="仿宋_GB2312"/>
          <w:i w:val="0"/>
          <w:iCs w:val="0"/>
          <w:caps w:val="0"/>
          <w:color w:val="auto"/>
          <w:spacing w:val="0"/>
          <w:sz w:val="32"/>
          <w:szCs w:val="32"/>
          <w:shd w:val="clear" w:fill="FFFFFF"/>
          <w:lang w:val="en-US" w:eastAsia="zh-CN"/>
        </w:rPr>
        <w:t>49</w:t>
      </w:r>
      <w:r>
        <w:rPr>
          <w:rFonts w:hint="eastAsia" w:ascii="仿宋_GB2312" w:hAnsi="仿宋_GB2312" w:eastAsia="仿宋_GB2312" w:cs="仿宋_GB2312"/>
          <w:i w:val="0"/>
          <w:iCs w:val="0"/>
          <w:caps w:val="0"/>
          <w:color w:val="auto"/>
          <w:spacing w:val="0"/>
          <w:sz w:val="32"/>
          <w:szCs w:val="32"/>
          <w:shd w:val="clear" w:fill="FFFFFF"/>
        </w:rPr>
        <w:t>%。</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组织对</w:t>
      </w:r>
      <w:r>
        <w:rPr>
          <w:rFonts w:hint="eastAsia" w:ascii="仿宋_GB2312" w:hAnsi="仿宋_GB2312" w:eastAsia="仿宋_GB2312" w:cs="仿宋_GB2312"/>
          <w:color w:val="auto"/>
          <w:sz w:val="32"/>
          <w:szCs w:val="32"/>
          <w:lang w:val="en-US" w:eastAsia="zh-CN"/>
        </w:rPr>
        <w:t>桂整合〔2021〕34号中央财政衔接推进乡村振兴补助资金雨露计划、桂整合〔2021〕34号农村基础设施建设(自治区资金)、桂整合〔2022〕9号基础设施项目(含产业配套设施)、(县本级)农村基础设施建设(含产业路)、桂整合〔2022〕9号农村基础设施建设、脱贫攻坚指挥部工作经费</w:t>
      </w:r>
      <w:r>
        <w:rPr>
          <w:rFonts w:hint="eastAsia" w:ascii="仿宋_GB2312" w:hAnsi="仿宋_GB2312" w:eastAsia="仿宋_GB2312" w:cs="仿宋_GB2312"/>
          <w:bCs w:val="0"/>
          <w:color w:val="auto"/>
          <w:spacing w:val="0"/>
          <w:kern w:val="2"/>
          <w:sz w:val="32"/>
          <w:szCs w:val="32"/>
          <w:lang w:val="en-US" w:eastAsia="zh-CN" w:bidi="ar-SA"/>
        </w:rPr>
        <w:t>等</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个项目进行了部门评价，项目全年预算数为</w:t>
      </w:r>
      <w:r>
        <w:rPr>
          <w:rFonts w:hint="eastAsia" w:ascii="仿宋_GB2312" w:hAnsi="仿宋_GB2312" w:eastAsia="仿宋_GB2312" w:cs="仿宋_GB2312"/>
          <w:color w:val="auto"/>
          <w:sz w:val="32"/>
          <w:szCs w:val="32"/>
          <w:lang w:val="en-US" w:eastAsia="zh-CN"/>
        </w:rPr>
        <w:t>17087.60万元，执行数为16992.50万元，总体执行率99.44%</w:t>
      </w:r>
      <w:r>
        <w:rPr>
          <w:rFonts w:hint="eastAsia" w:ascii="仿宋_GB2312" w:hAnsi="仿宋_GB2312" w:eastAsia="仿宋_GB2312" w:cs="仿宋_GB2312"/>
          <w:color w:val="auto"/>
          <w:sz w:val="32"/>
          <w:szCs w:val="32"/>
        </w:rPr>
        <w:t>。从评价情况来看，</w:t>
      </w:r>
      <w:r>
        <w:rPr>
          <w:rFonts w:hint="eastAsia" w:ascii="仿宋_GB2312" w:hAnsi="仿宋_GB2312" w:eastAsia="仿宋_GB2312" w:cs="仿宋_GB2312"/>
          <w:color w:val="auto"/>
          <w:sz w:val="32"/>
          <w:szCs w:val="32"/>
          <w:lang w:eastAsia="zh-CN"/>
        </w:rPr>
        <w:t>一年来，我单位能认真履行职责，做好统筹协调，业务管理和财务管理制度比较健全，并能得到认真贯彻执行</w:t>
      </w:r>
      <w:r>
        <w:rPr>
          <w:rFonts w:hint="eastAsia" w:ascii="仿宋_GB2312" w:hAnsi="仿宋_GB2312" w:eastAsia="仿宋_GB2312" w:cs="仿宋_GB2312"/>
          <w:color w:val="auto"/>
          <w:sz w:val="32"/>
          <w:szCs w:val="32"/>
        </w:rPr>
        <w:t>。</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组织对</w:t>
      </w:r>
      <w:r>
        <w:rPr>
          <w:rFonts w:hint="eastAsia" w:ascii="仿宋_GB2312" w:hAnsi="仿宋_GB2312" w:eastAsia="仿宋_GB2312" w:cs="仿宋_GB2312"/>
          <w:color w:val="auto"/>
          <w:sz w:val="32"/>
          <w:szCs w:val="32"/>
          <w:lang w:eastAsia="zh-CN"/>
        </w:rPr>
        <w:t>我单位</w:t>
      </w:r>
      <w:r>
        <w:rPr>
          <w:rFonts w:hint="eastAsia" w:ascii="仿宋_GB2312" w:hAnsi="仿宋_GB2312" w:eastAsia="仿宋_GB2312" w:cs="仿宋_GB2312"/>
          <w:color w:val="auto"/>
          <w:sz w:val="32"/>
          <w:szCs w:val="32"/>
        </w:rPr>
        <w:t>开展整体支出绩效评价试点，涉及一般公共预算支出</w:t>
      </w:r>
      <w:r>
        <w:rPr>
          <w:rFonts w:hint="eastAsia" w:ascii="仿宋_GB2312" w:hAnsi="仿宋_GB2312" w:eastAsia="仿宋_GB2312" w:cs="仿宋_GB2312"/>
          <w:color w:val="auto"/>
          <w:sz w:val="32"/>
          <w:szCs w:val="32"/>
          <w:lang w:val="en-US" w:eastAsia="zh-CN"/>
        </w:rPr>
        <w:t>17634.67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预算执行率</w:t>
      </w:r>
      <w:r>
        <w:rPr>
          <w:rFonts w:hint="eastAsia" w:ascii="仿宋_GB2312" w:hAnsi="仿宋_GB2312" w:eastAsia="仿宋_GB2312" w:cs="仿宋_GB2312"/>
          <w:color w:val="auto"/>
          <w:sz w:val="32"/>
          <w:szCs w:val="32"/>
          <w:lang w:val="en-US" w:eastAsia="zh-CN"/>
        </w:rPr>
        <w:t>99.46%，自评为一等，</w:t>
      </w:r>
      <w:r>
        <w:rPr>
          <w:rFonts w:hint="eastAsia" w:ascii="仿宋_GB2312" w:hAnsi="仿宋_GB2312" w:eastAsia="仿宋_GB2312" w:cs="仿宋_GB2312"/>
          <w:i w:val="0"/>
          <w:iCs w:val="0"/>
          <w:caps w:val="0"/>
          <w:color w:val="auto"/>
          <w:spacing w:val="0"/>
          <w:sz w:val="32"/>
          <w:szCs w:val="32"/>
          <w:shd w:val="clear" w:fill="FFFFFF"/>
        </w:rPr>
        <w:t>自评发现存在问题主要是预算调整项目较多，预算调整率偏大。下一步</w:t>
      </w:r>
      <w:r>
        <w:rPr>
          <w:rFonts w:hint="eastAsia" w:ascii="仿宋_GB2312" w:hAnsi="仿宋_GB2312" w:eastAsia="仿宋_GB2312" w:cs="仿宋_GB2312"/>
          <w:i w:val="0"/>
          <w:iCs w:val="0"/>
          <w:caps w:val="0"/>
          <w:color w:val="auto"/>
          <w:spacing w:val="0"/>
          <w:sz w:val="32"/>
          <w:szCs w:val="32"/>
          <w:shd w:val="clear" w:fill="FFFFFF"/>
          <w:lang w:eastAsia="zh-CN"/>
        </w:rPr>
        <w:t>我单位</w:t>
      </w:r>
      <w:r>
        <w:rPr>
          <w:rFonts w:hint="eastAsia" w:ascii="仿宋_GB2312" w:hAnsi="仿宋_GB2312" w:eastAsia="仿宋_GB2312" w:cs="仿宋_GB2312"/>
          <w:i w:val="0"/>
          <w:iCs w:val="0"/>
          <w:caps w:val="0"/>
          <w:color w:val="auto"/>
          <w:spacing w:val="0"/>
          <w:sz w:val="32"/>
          <w:szCs w:val="32"/>
          <w:shd w:val="clear" w:fill="FFFFFF"/>
        </w:rPr>
        <w:t>将认真评估预算项目开展条件，针对客观原因导致的目标变化，及时申请目标调整，及时纠正预算执行中的偏差，确保绩效目标如期保质保量实现。</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部门决算中项目绩效自评结果。</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14:textFill>
            <w14:solidFill>
              <w14:schemeClr w14:val="tx1"/>
            </w14:solidFill>
          </w14:textFill>
        </w:rPr>
        <w:t>根据年初设定的绩效目标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val="en-US" w:eastAsia="zh-CN"/>
        </w:rPr>
        <w:t>对2022年度预算项目支出全面开展绩效自评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涉及42个项目，其中</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“富民贷”风险补偿金</w:t>
      </w:r>
      <w:r>
        <w:rPr>
          <w:rFonts w:hint="eastAsia" w:ascii="仿宋_GB2312" w:hAnsi="仿宋_GB2312" w:eastAsia="仿宋_GB2312" w:cs="仿宋_GB2312"/>
          <w:color w:val="auto"/>
          <w:sz w:val="32"/>
          <w:szCs w:val="32"/>
          <w:lang w:eastAsia="zh-CN"/>
        </w:rPr>
        <w:t>、2022年乡村建设公益性岗位意外保险金、桂整合〔2022〕9号农村污水处理、(县本级)农村基础设施建设(含产业路)、桂财农〔2020〕23号2020年广东帮扶广西扶贫协作资金、桂整合〔2021〕34号2022年中央和自治区提前批财政衔接推进乡村振兴补助资金(产业配套基础设施建设)、桂整合〔2022〕9号小额信贷贴息、桂整合〔2022〕9号农村基础设施建设</w:t>
      </w:r>
      <w:r>
        <w:rPr>
          <w:rFonts w:hint="eastAsia" w:ascii="仿宋_GB2312" w:hAnsi="仿宋_GB2312" w:eastAsia="仿宋_GB2312" w:cs="仿宋_GB2312"/>
          <w:color w:val="auto"/>
          <w:sz w:val="32"/>
          <w:szCs w:val="32"/>
          <w:lang w:val="en-US" w:eastAsia="zh-CN"/>
        </w:rPr>
        <w:t>等30个项目</w:t>
      </w:r>
      <w:r>
        <w:rPr>
          <w:rFonts w:hint="eastAsia" w:ascii="仿宋_GB2312" w:hAnsi="仿宋_GB2312" w:eastAsia="仿宋_GB2312" w:cs="仿宋_GB2312"/>
          <w:color w:val="auto"/>
          <w:sz w:val="32"/>
          <w:szCs w:val="32"/>
        </w:rPr>
        <w:t>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分。“防返贫守底线”工作经费</w:t>
      </w:r>
      <w:r>
        <w:rPr>
          <w:rFonts w:hint="eastAsia" w:ascii="仿宋_GB2312" w:hAnsi="仿宋_GB2312" w:eastAsia="仿宋_GB2312" w:cs="仿宋_GB2312"/>
          <w:color w:val="auto"/>
          <w:sz w:val="32"/>
          <w:szCs w:val="32"/>
          <w:lang w:eastAsia="zh-CN"/>
        </w:rPr>
        <w:t>、乡村建设信息采集工作经费、巩固拓展脱贫攻坚成果同乡村振兴有效衔接核查全覆盖工作经费等</w:t>
      </w:r>
      <w:r>
        <w:rPr>
          <w:rFonts w:hint="eastAsia" w:ascii="仿宋_GB2312" w:hAnsi="仿宋_GB2312" w:eastAsia="仿宋_GB2312" w:cs="仿宋_GB2312"/>
          <w:color w:val="auto"/>
          <w:sz w:val="32"/>
          <w:szCs w:val="32"/>
          <w:lang w:val="en-US" w:eastAsia="zh-CN"/>
        </w:rPr>
        <w:t>7个项目</w:t>
      </w:r>
      <w:r>
        <w:rPr>
          <w:rFonts w:hint="eastAsia" w:ascii="仿宋_GB2312" w:hAnsi="仿宋_GB2312" w:eastAsia="仿宋_GB2312" w:cs="仿宋_GB2312"/>
          <w:color w:val="auto"/>
          <w:sz w:val="32"/>
          <w:szCs w:val="32"/>
        </w:rPr>
        <w:t>自评得分为</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革命老区促进会工作经费项目自评得分为</w:t>
      </w:r>
      <w:r>
        <w:rPr>
          <w:rFonts w:hint="eastAsia" w:ascii="仿宋_GB2312" w:hAnsi="仿宋_GB2312" w:eastAsia="仿宋_GB2312" w:cs="仿宋_GB2312"/>
          <w:color w:val="auto"/>
          <w:sz w:val="32"/>
          <w:szCs w:val="32"/>
          <w:lang w:val="en-US" w:eastAsia="zh-CN"/>
        </w:rPr>
        <w:t>99.83</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扶贫办年度单位业务费项目自评得分为</w:t>
      </w:r>
      <w:r>
        <w:rPr>
          <w:rFonts w:hint="eastAsia" w:ascii="仿宋_GB2312" w:hAnsi="仿宋_GB2312" w:eastAsia="仿宋_GB2312" w:cs="仿宋_GB2312"/>
          <w:color w:val="auto"/>
          <w:sz w:val="32"/>
          <w:szCs w:val="32"/>
          <w:lang w:val="en-US" w:eastAsia="zh-CN"/>
        </w:rPr>
        <w:t>99.51</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脱贫攻坚指挥部工作经费项目自评得分为</w:t>
      </w:r>
      <w:r>
        <w:rPr>
          <w:rFonts w:hint="eastAsia" w:ascii="仿宋_GB2312" w:hAnsi="仿宋_GB2312" w:eastAsia="仿宋_GB2312" w:cs="仿宋_GB2312"/>
          <w:color w:val="auto"/>
          <w:sz w:val="32"/>
          <w:szCs w:val="32"/>
          <w:lang w:val="en-US" w:eastAsia="zh-CN"/>
        </w:rPr>
        <w:t>98.88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追加2022年办公经费项目自评得分为</w:t>
      </w:r>
      <w:r>
        <w:rPr>
          <w:rFonts w:hint="eastAsia" w:ascii="仿宋_GB2312" w:hAnsi="仿宋_GB2312" w:eastAsia="仿宋_GB2312" w:cs="仿宋_GB2312"/>
          <w:color w:val="auto"/>
          <w:sz w:val="32"/>
          <w:szCs w:val="32"/>
          <w:lang w:val="en-US" w:eastAsia="zh-CN"/>
        </w:rPr>
        <w:t>99.87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自治县乡村振兴指挥部办公室设备购置经费项目自评得分为</w:t>
      </w:r>
      <w:r>
        <w:rPr>
          <w:rFonts w:hint="eastAsia" w:ascii="仿宋_GB2312" w:hAnsi="仿宋_GB2312" w:eastAsia="仿宋_GB2312" w:cs="仿宋_GB2312"/>
          <w:color w:val="auto"/>
          <w:sz w:val="32"/>
          <w:szCs w:val="32"/>
          <w:lang w:val="en-US" w:eastAsia="zh-CN"/>
        </w:rPr>
        <w:t>98.34</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发现的主要问题及原因：</w:t>
      </w:r>
      <w:r>
        <w:rPr>
          <w:rFonts w:hint="eastAsia" w:ascii="仿宋_GB2312" w:hAnsi="仿宋_GB2312" w:eastAsia="仿宋_GB2312" w:cs="仿宋_GB2312"/>
          <w:i w:val="0"/>
          <w:iCs w:val="0"/>
          <w:caps w:val="0"/>
          <w:color w:val="auto"/>
          <w:spacing w:val="0"/>
          <w:sz w:val="32"/>
          <w:szCs w:val="32"/>
          <w:shd w:val="clear" w:fill="FFFFFF"/>
          <w:lang w:val="en-US" w:eastAsia="zh-CN"/>
        </w:rPr>
        <w:t>一是</w:t>
      </w:r>
      <w:r>
        <w:rPr>
          <w:rFonts w:hint="eastAsia" w:ascii="仿宋_GB2312" w:hAnsi="仿宋_GB2312" w:eastAsia="仿宋_GB2312" w:cs="仿宋_GB2312"/>
          <w:i w:val="0"/>
          <w:iCs w:val="0"/>
          <w:caps w:val="0"/>
          <w:color w:val="auto"/>
          <w:spacing w:val="0"/>
          <w:sz w:val="32"/>
          <w:szCs w:val="32"/>
          <w:shd w:val="clear" w:fill="FFFFFF"/>
        </w:rPr>
        <w:t>预算绩效管理工作</w:t>
      </w:r>
      <w:r>
        <w:rPr>
          <w:rFonts w:hint="eastAsia" w:ascii="仿宋_GB2312" w:hAnsi="仿宋_GB2312" w:eastAsia="仿宋_GB2312" w:cs="仿宋_GB2312"/>
          <w:i w:val="0"/>
          <w:iCs w:val="0"/>
          <w:caps w:val="0"/>
          <w:color w:val="auto"/>
          <w:spacing w:val="0"/>
          <w:sz w:val="32"/>
          <w:szCs w:val="32"/>
          <w:shd w:val="clear" w:fill="FFFFFF"/>
          <w:lang w:val="en-US" w:eastAsia="zh-CN"/>
        </w:rPr>
        <w:t>机制</w:t>
      </w:r>
      <w:r>
        <w:rPr>
          <w:rFonts w:hint="eastAsia" w:ascii="仿宋_GB2312" w:hAnsi="仿宋_GB2312" w:eastAsia="仿宋_GB2312" w:cs="仿宋_GB2312"/>
          <w:i w:val="0"/>
          <w:iCs w:val="0"/>
          <w:caps w:val="0"/>
          <w:color w:val="auto"/>
          <w:spacing w:val="0"/>
          <w:sz w:val="32"/>
          <w:szCs w:val="32"/>
          <w:shd w:val="clear" w:fill="FFFFFF"/>
        </w:rPr>
        <w:t>不健全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二是有些绩效项目是开展完成，但没能及时支付，资金年底被收回，执行率较低。下一步改进措施是：一是进一步建立健全预算绩效考评工作机制；二是学习各相关部门的先进经验，加强配合，争取把绩效考评工作运用到工作当中去，并把工作做得更好。</w:t>
      </w:r>
    </w:p>
    <w:p>
      <w:pPr>
        <w:jc w:val="left"/>
        <w:rPr>
          <w:rFonts w:hint="eastAsia" w:ascii="仿宋_GB2312" w:hAnsi="仿宋_GB2312" w:eastAsia="仿宋_GB2312" w:cs="仿宋_GB2312"/>
          <w:color w:val="auto"/>
          <w:sz w:val="32"/>
          <w:szCs w:val="32"/>
          <w:highlight w:val="none"/>
        </w:rPr>
      </w:pPr>
      <w:r>
        <w:rPr>
          <w:rFonts w:hint="eastAsia" w:ascii="仿宋" w:hAnsi="仿宋" w:eastAsia="仿宋" w:cs="仿宋"/>
          <w:color w:val="auto"/>
          <w:sz w:val="32"/>
          <w:szCs w:val="32"/>
          <w:highlight w:val="none"/>
          <w:lang w:eastAsia="zh-CN"/>
        </w:rPr>
        <w:t>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2022年巩固脱贫攻坚成果同乡村振兴有效衔接资金项目绩效自评结果。</w:t>
      </w:r>
    </w:p>
    <w:p>
      <w:pPr>
        <w:ind w:firstLine="64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对本单位2022年巩固脱贫攻坚同乡村振兴有效衔接资金项目绩效进行了自评，涉及</w:t>
      </w:r>
      <w:r>
        <w:rPr>
          <w:rFonts w:hint="eastAsia" w:ascii="仿宋_GB2312" w:hAnsi="仿宋_GB2312" w:eastAsia="仿宋_GB2312" w:cs="仿宋_GB2312"/>
          <w:color w:val="auto"/>
          <w:sz w:val="32"/>
          <w:szCs w:val="32"/>
          <w:highlight w:val="none"/>
          <w:lang w:val="en-US" w:eastAsia="zh-CN"/>
        </w:rPr>
        <w:t>19个</w:t>
      </w:r>
      <w:r>
        <w:rPr>
          <w:rFonts w:hint="eastAsia" w:ascii="仿宋_GB2312" w:hAnsi="仿宋_GB2312" w:eastAsia="仿宋_GB2312" w:cs="仿宋_GB2312"/>
          <w:color w:val="auto"/>
          <w:sz w:val="32"/>
          <w:szCs w:val="32"/>
          <w:highlight w:val="none"/>
        </w:rPr>
        <w:t>衔接资金</w:t>
      </w:r>
      <w:r>
        <w:rPr>
          <w:rFonts w:hint="eastAsia" w:ascii="仿宋_GB2312" w:hAnsi="仿宋_GB2312" w:eastAsia="仿宋_GB2312" w:cs="仿宋_GB2312"/>
          <w:color w:val="auto"/>
          <w:sz w:val="32"/>
          <w:szCs w:val="32"/>
          <w:highlight w:val="none"/>
          <w:lang w:eastAsia="zh-CN"/>
        </w:rPr>
        <w:t>项目共计</w:t>
      </w:r>
      <w:r>
        <w:rPr>
          <w:rFonts w:hint="eastAsia" w:ascii="仿宋_GB2312" w:hAnsi="仿宋_GB2312" w:eastAsia="仿宋_GB2312" w:cs="仿宋_GB2312"/>
          <w:color w:val="auto"/>
          <w:sz w:val="32"/>
          <w:szCs w:val="32"/>
          <w:highlight w:val="none"/>
          <w:lang w:val="en-US" w:eastAsia="zh-CN"/>
        </w:rPr>
        <w:t>16337.46万元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桂整合〔2021〕34号产业配套基础设施建设(中央资金)、桂整合〔2022〕9号产业配套基础设施、桂整合〔2022〕15号产业配套设施(产业道路)、桂整合〔2021〕34号中央财政衔接推进乡村振兴补助资金雨露计划、桂整合〔2021〕34号农村基础设施建设(自治区资金)、桂整合〔2022〕9号农村污水处理、2022小额信贷贴息等</w:t>
      </w:r>
      <w:r>
        <w:rPr>
          <w:rFonts w:hint="eastAsia" w:ascii="仿宋_GB2312" w:hAnsi="仿宋_GB2312" w:eastAsia="仿宋_GB2312" w:cs="仿宋_GB2312"/>
          <w:color w:val="auto"/>
          <w:sz w:val="32"/>
          <w:szCs w:val="32"/>
          <w:lang w:val="en-US" w:eastAsia="zh-CN"/>
        </w:rPr>
        <w:t>17个项目</w:t>
      </w:r>
      <w:r>
        <w:rPr>
          <w:rFonts w:hint="eastAsia" w:ascii="仿宋_GB2312" w:hAnsi="仿宋_GB2312" w:eastAsia="仿宋_GB2312" w:cs="仿宋_GB2312"/>
          <w:color w:val="auto"/>
          <w:sz w:val="32"/>
          <w:szCs w:val="32"/>
        </w:rPr>
        <w:t>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。(县本级)农村基础设施-先建后补、桂整合〔2022〕9号基础设施项目(含产业配套设施)</w:t>
      </w:r>
      <w:r>
        <w:rPr>
          <w:rFonts w:hint="eastAsia" w:ascii="仿宋_GB2312" w:hAnsi="仿宋_GB2312" w:eastAsia="仿宋_GB2312" w:cs="仿宋_GB2312"/>
          <w:color w:val="auto"/>
          <w:sz w:val="32"/>
          <w:szCs w:val="32"/>
          <w:lang w:val="en-US" w:eastAsia="zh-CN"/>
        </w:rPr>
        <w:t>2个项目</w:t>
      </w:r>
      <w:r>
        <w:rPr>
          <w:rFonts w:hint="eastAsia" w:ascii="仿宋_GB2312" w:hAnsi="仿宋_GB2312" w:eastAsia="仿宋_GB2312" w:cs="仿宋_GB2312"/>
          <w:color w:val="auto"/>
          <w:sz w:val="32"/>
          <w:szCs w:val="32"/>
        </w:rPr>
        <w:t>自评得分为</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从评价情况来看，</w:t>
      </w:r>
      <w:r>
        <w:rPr>
          <w:rFonts w:hint="eastAsia" w:ascii="仿宋_GB2312" w:hAnsi="仿宋_GB2312" w:eastAsia="仿宋_GB2312" w:cs="仿宋_GB2312"/>
          <w:color w:val="auto"/>
          <w:sz w:val="32"/>
          <w:szCs w:val="32"/>
          <w:highlight w:val="none"/>
          <w:lang w:val="en-US" w:eastAsia="zh-CN"/>
        </w:rPr>
        <w:t>乡村振兴局</w:t>
      </w:r>
      <w:r>
        <w:rPr>
          <w:rFonts w:hint="eastAsia" w:ascii="仿宋_GB2312" w:hAnsi="仿宋_GB2312" w:eastAsia="仿宋_GB2312" w:cs="仿宋_GB2312"/>
          <w:color w:val="auto"/>
          <w:sz w:val="32"/>
          <w:szCs w:val="32"/>
          <w:highlight w:val="none"/>
        </w:rPr>
        <w:t>衔接资金的高效执行，不仅提高该资金的必要性与重要性，而且巩固了</w:t>
      </w:r>
      <w:r>
        <w:rPr>
          <w:rFonts w:hint="eastAsia" w:ascii="仿宋_GB2312" w:hAnsi="仿宋_GB2312" w:eastAsia="仿宋_GB2312" w:cs="仿宋_GB2312"/>
          <w:color w:val="auto"/>
          <w:sz w:val="32"/>
          <w:szCs w:val="32"/>
          <w:highlight w:val="none"/>
          <w:lang w:eastAsia="zh-CN"/>
        </w:rPr>
        <w:t>全县</w:t>
      </w:r>
      <w:r>
        <w:rPr>
          <w:rFonts w:hint="eastAsia" w:ascii="仿宋_GB2312" w:hAnsi="仿宋_GB2312" w:eastAsia="仿宋_GB2312" w:cs="仿宋_GB2312"/>
          <w:color w:val="auto"/>
          <w:sz w:val="32"/>
          <w:szCs w:val="32"/>
          <w:highlight w:val="none"/>
        </w:rPr>
        <w:t>脱贫攻坚成果，为推进乡村振兴工作夯实</w:t>
      </w:r>
      <w:r>
        <w:rPr>
          <w:rFonts w:hint="eastAsia" w:ascii="仿宋_GB2312" w:hAnsi="仿宋_GB2312" w:eastAsia="仿宋_GB2312" w:cs="仿宋_GB2312"/>
          <w:color w:val="auto"/>
          <w:sz w:val="32"/>
          <w:szCs w:val="32"/>
          <w:highlight w:val="none"/>
          <w:lang w:eastAsia="zh-CN"/>
        </w:rPr>
        <w:t>坚实的</w:t>
      </w:r>
      <w:r>
        <w:rPr>
          <w:rFonts w:hint="eastAsia" w:ascii="仿宋_GB2312" w:hAnsi="仿宋_GB2312" w:eastAsia="仿宋_GB2312" w:cs="仿宋_GB2312"/>
          <w:color w:val="auto"/>
          <w:sz w:val="32"/>
          <w:szCs w:val="32"/>
          <w:highlight w:val="none"/>
        </w:rPr>
        <w:t>基础。</w:t>
      </w:r>
    </w:p>
    <w:p>
      <w:pPr>
        <w:jc w:val="left"/>
        <w:rPr>
          <w:rFonts w:hint="eastAsia" w:ascii="仿宋_GB2312" w:hAnsi="仿宋_GB2312" w:eastAsia="仿宋_GB2312" w:cs="仿宋_GB2312"/>
          <w:color w:val="auto"/>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仿宋"/>
          <w:color w:val="auto"/>
          <w:sz w:val="32"/>
          <w:szCs w:val="32"/>
          <w:highlight w:val="none"/>
        </w:rPr>
      </w:pPr>
    </w:p>
    <w:sectPr>
      <w:pgSz w:w="11906" w:h="16838"/>
      <w:pgMar w:top="1440" w:right="1800" w:bottom="1440" w:left="1800"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b w:val="0"/>
                              <w:bCs w:val="0"/>
                              <w:sz w:val="32"/>
                              <w:szCs w:val="32"/>
                            </w:rPr>
                            <w:t>—</w:t>
                          </w:r>
                          <w:r>
                            <w:rPr>
                              <w:b w:val="0"/>
                              <w:bCs w:val="0"/>
                              <w:sz w:val="32"/>
                              <w:szCs w:val="32"/>
                            </w:rPr>
                            <w:fldChar w:fldCharType="begin"/>
                          </w:r>
                          <w:r>
                            <w:rPr>
                              <w:b w:val="0"/>
                              <w:bCs w:val="0"/>
                              <w:sz w:val="32"/>
                              <w:szCs w:val="32"/>
                            </w:rPr>
                            <w:instrText xml:space="preserve"> PAGE  \* MERGEFORMAT </w:instrText>
                          </w:r>
                          <w:r>
                            <w:rPr>
                              <w:b w:val="0"/>
                              <w:bCs w:val="0"/>
                              <w:sz w:val="32"/>
                              <w:szCs w:val="32"/>
                            </w:rPr>
                            <w:fldChar w:fldCharType="separate"/>
                          </w:r>
                          <w:r>
                            <w:rPr>
                              <w:b w:val="0"/>
                              <w:bCs w:val="0"/>
                              <w:sz w:val="32"/>
                              <w:szCs w:val="32"/>
                            </w:rPr>
                            <w:t>1</w:t>
                          </w:r>
                          <w:r>
                            <w:rPr>
                              <w:b w:val="0"/>
                              <w:bCs w:val="0"/>
                              <w:sz w:val="32"/>
                              <w:szCs w:val="32"/>
                            </w:rPr>
                            <w:fldChar w:fldCharType="end"/>
                          </w:r>
                          <w:r>
                            <w:rPr>
                              <w:b w:val="0"/>
                              <w:bCs w:val="0"/>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rPr>
                        <w:b w:val="0"/>
                        <w:bCs w:val="0"/>
                        <w:sz w:val="32"/>
                        <w:szCs w:val="32"/>
                      </w:rPr>
                      <w:t>—</w:t>
                    </w:r>
                    <w:r>
                      <w:rPr>
                        <w:b w:val="0"/>
                        <w:bCs w:val="0"/>
                        <w:sz w:val="32"/>
                        <w:szCs w:val="32"/>
                      </w:rPr>
                      <w:fldChar w:fldCharType="begin"/>
                    </w:r>
                    <w:r>
                      <w:rPr>
                        <w:b w:val="0"/>
                        <w:bCs w:val="0"/>
                        <w:sz w:val="32"/>
                        <w:szCs w:val="32"/>
                      </w:rPr>
                      <w:instrText xml:space="preserve"> PAGE  \* MERGEFORMAT </w:instrText>
                    </w:r>
                    <w:r>
                      <w:rPr>
                        <w:b w:val="0"/>
                        <w:bCs w:val="0"/>
                        <w:sz w:val="32"/>
                        <w:szCs w:val="32"/>
                      </w:rPr>
                      <w:fldChar w:fldCharType="separate"/>
                    </w:r>
                    <w:r>
                      <w:rPr>
                        <w:b w:val="0"/>
                        <w:bCs w:val="0"/>
                        <w:sz w:val="32"/>
                        <w:szCs w:val="32"/>
                      </w:rPr>
                      <w:t>1</w:t>
                    </w:r>
                    <w:r>
                      <w:rPr>
                        <w:b w:val="0"/>
                        <w:bCs w:val="0"/>
                        <w:sz w:val="32"/>
                        <w:szCs w:val="32"/>
                      </w:rPr>
                      <w:fldChar w:fldCharType="end"/>
                    </w:r>
                    <w:r>
                      <w:rPr>
                        <w:b w:val="0"/>
                        <w:bCs w:val="0"/>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rPr>
                          </w:pPr>
                          <w:r>
                            <w:rPr>
                              <w:sz w:val="32"/>
                              <w:szCs w:val="32"/>
                            </w:rPr>
                            <w:t>—</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
                      <w:rPr>
                        <w:sz w:val="32"/>
                        <w:szCs w:val="32"/>
                      </w:rPr>
                    </w:pPr>
                    <w:r>
                      <w:rPr>
                        <w:sz w:val="32"/>
                        <w:szCs w:val="32"/>
                      </w:rPr>
                      <w:t>—</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r>
                      <w:rPr>
                        <w:sz w:val="32"/>
                        <w:szCs w:val="3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06036"/>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225469"/>
    <w:rsid w:val="04E54546"/>
    <w:rsid w:val="05184DD4"/>
    <w:rsid w:val="058C06A6"/>
    <w:rsid w:val="05992762"/>
    <w:rsid w:val="07B0770E"/>
    <w:rsid w:val="0942143F"/>
    <w:rsid w:val="099561FE"/>
    <w:rsid w:val="0A61390E"/>
    <w:rsid w:val="0A685658"/>
    <w:rsid w:val="0A8D0153"/>
    <w:rsid w:val="0AC27E84"/>
    <w:rsid w:val="0BF6332B"/>
    <w:rsid w:val="0D100297"/>
    <w:rsid w:val="0D202B45"/>
    <w:rsid w:val="0F8D4C87"/>
    <w:rsid w:val="10505FAA"/>
    <w:rsid w:val="105F7E7E"/>
    <w:rsid w:val="11E56B5B"/>
    <w:rsid w:val="125C77AB"/>
    <w:rsid w:val="13082DEE"/>
    <w:rsid w:val="140F70C1"/>
    <w:rsid w:val="14CB726E"/>
    <w:rsid w:val="15863D5C"/>
    <w:rsid w:val="15E51B78"/>
    <w:rsid w:val="17E92249"/>
    <w:rsid w:val="18D304F1"/>
    <w:rsid w:val="19F32577"/>
    <w:rsid w:val="19F45B80"/>
    <w:rsid w:val="1A13022B"/>
    <w:rsid w:val="1A5756B2"/>
    <w:rsid w:val="1B0C078D"/>
    <w:rsid w:val="1B2B31E2"/>
    <w:rsid w:val="1B4C295A"/>
    <w:rsid w:val="1B973C63"/>
    <w:rsid w:val="1BA1001E"/>
    <w:rsid w:val="1CD23133"/>
    <w:rsid w:val="1D317259"/>
    <w:rsid w:val="1D602F62"/>
    <w:rsid w:val="1E664F5B"/>
    <w:rsid w:val="1E795906"/>
    <w:rsid w:val="1EB34BE1"/>
    <w:rsid w:val="20A00AB5"/>
    <w:rsid w:val="20A91107"/>
    <w:rsid w:val="215E639F"/>
    <w:rsid w:val="21EC3183"/>
    <w:rsid w:val="225E72CD"/>
    <w:rsid w:val="246E2F77"/>
    <w:rsid w:val="254B4E2B"/>
    <w:rsid w:val="25587F81"/>
    <w:rsid w:val="25781204"/>
    <w:rsid w:val="27A22014"/>
    <w:rsid w:val="283D7C94"/>
    <w:rsid w:val="29480E03"/>
    <w:rsid w:val="2983634D"/>
    <w:rsid w:val="2BB02055"/>
    <w:rsid w:val="2C575A56"/>
    <w:rsid w:val="2DB3638D"/>
    <w:rsid w:val="2EDD2A58"/>
    <w:rsid w:val="2F257714"/>
    <w:rsid w:val="2F3275E5"/>
    <w:rsid w:val="30AA08EF"/>
    <w:rsid w:val="30D23D1C"/>
    <w:rsid w:val="31221CF5"/>
    <w:rsid w:val="31400178"/>
    <w:rsid w:val="321E3342"/>
    <w:rsid w:val="327759C8"/>
    <w:rsid w:val="33185FE3"/>
    <w:rsid w:val="34EE2E36"/>
    <w:rsid w:val="35030B5A"/>
    <w:rsid w:val="36777241"/>
    <w:rsid w:val="382F312B"/>
    <w:rsid w:val="38A951DB"/>
    <w:rsid w:val="38B31605"/>
    <w:rsid w:val="38EF3F0A"/>
    <w:rsid w:val="39003F4F"/>
    <w:rsid w:val="39850DD4"/>
    <w:rsid w:val="3C07002B"/>
    <w:rsid w:val="3C345307"/>
    <w:rsid w:val="3C5D1E98"/>
    <w:rsid w:val="3D0D152A"/>
    <w:rsid w:val="3DC34DDA"/>
    <w:rsid w:val="3DF62756"/>
    <w:rsid w:val="3F1B7587"/>
    <w:rsid w:val="41E57B4F"/>
    <w:rsid w:val="42F3509C"/>
    <w:rsid w:val="43100A68"/>
    <w:rsid w:val="432F26F6"/>
    <w:rsid w:val="43880F63"/>
    <w:rsid w:val="43B45922"/>
    <w:rsid w:val="441C5A6F"/>
    <w:rsid w:val="44563B89"/>
    <w:rsid w:val="44C44FCC"/>
    <w:rsid w:val="44CC7369"/>
    <w:rsid w:val="457F5108"/>
    <w:rsid w:val="46951B6B"/>
    <w:rsid w:val="48AA1299"/>
    <w:rsid w:val="49A34401"/>
    <w:rsid w:val="4A3E30AB"/>
    <w:rsid w:val="4A583E90"/>
    <w:rsid w:val="4AC14DAC"/>
    <w:rsid w:val="4BA4499E"/>
    <w:rsid w:val="4C03595D"/>
    <w:rsid w:val="4C9322AA"/>
    <w:rsid w:val="4D154C85"/>
    <w:rsid w:val="4D3B063E"/>
    <w:rsid w:val="4EC8553A"/>
    <w:rsid w:val="508F4E24"/>
    <w:rsid w:val="51461E90"/>
    <w:rsid w:val="51463753"/>
    <w:rsid w:val="51DA2591"/>
    <w:rsid w:val="52553A93"/>
    <w:rsid w:val="53521F8B"/>
    <w:rsid w:val="53E22F47"/>
    <w:rsid w:val="542D2CDC"/>
    <w:rsid w:val="54522FF8"/>
    <w:rsid w:val="54FB2816"/>
    <w:rsid w:val="55450629"/>
    <w:rsid w:val="56692963"/>
    <w:rsid w:val="568B0F48"/>
    <w:rsid w:val="5786217B"/>
    <w:rsid w:val="58D330CE"/>
    <w:rsid w:val="59337A15"/>
    <w:rsid w:val="59405DED"/>
    <w:rsid w:val="59810274"/>
    <w:rsid w:val="5CA96A00"/>
    <w:rsid w:val="5CF730BC"/>
    <w:rsid w:val="5DCD5499"/>
    <w:rsid w:val="5E5F0DCE"/>
    <w:rsid w:val="5F186471"/>
    <w:rsid w:val="5FA40A7B"/>
    <w:rsid w:val="5FD56D29"/>
    <w:rsid w:val="5FEC7F3F"/>
    <w:rsid w:val="60F74BC3"/>
    <w:rsid w:val="617D3BF8"/>
    <w:rsid w:val="61841F6A"/>
    <w:rsid w:val="623007A9"/>
    <w:rsid w:val="628A4897"/>
    <w:rsid w:val="637D7558"/>
    <w:rsid w:val="63AE3BBA"/>
    <w:rsid w:val="63FB6298"/>
    <w:rsid w:val="644F19AC"/>
    <w:rsid w:val="64A1507C"/>
    <w:rsid w:val="65AA4920"/>
    <w:rsid w:val="66B82DB7"/>
    <w:rsid w:val="67221143"/>
    <w:rsid w:val="67694F1E"/>
    <w:rsid w:val="676E395A"/>
    <w:rsid w:val="6771794B"/>
    <w:rsid w:val="69597934"/>
    <w:rsid w:val="69CD24B8"/>
    <w:rsid w:val="6A8753FD"/>
    <w:rsid w:val="6B964DDC"/>
    <w:rsid w:val="6BDB45CA"/>
    <w:rsid w:val="6C292713"/>
    <w:rsid w:val="6C783074"/>
    <w:rsid w:val="6D9E65C6"/>
    <w:rsid w:val="6DA81947"/>
    <w:rsid w:val="6E03170B"/>
    <w:rsid w:val="6E2177E0"/>
    <w:rsid w:val="6EB66DE2"/>
    <w:rsid w:val="6ED3075F"/>
    <w:rsid w:val="6F0D0AAF"/>
    <w:rsid w:val="6F2A2D4B"/>
    <w:rsid w:val="6F3F6C60"/>
    <w:rsid w:val="6F633766"/>
    <w:rsid w:val="6F8A0C1E"/>
    <w:rsid w:val="6FE33922"/>
    <w:rsid w:val="703F45D4"/>
    <w:rsid w:val="715D6546"/>
    <w:rsid w:val="71BE069E"/>
    <w:rsid w:val="73193962"/>
    <w:rsid w:val="73953409"/>
    <w:rsid w:val="73E069A3"/>
    <w:rsid w:val="75425644"/>
    <w:rsid w:val="770318E6"/>
    <w:rsid w:val="78104AA8"/>
    <w:rsid w:val="78E257C5"/>
    <w:rsid w:val="794B35BE"/>
    <w:rsid w:val="797056FB"/>
    <w:rsid w:val="7AC241D0"/>
    <w:rsid w:val="7B0A3A31"/>
    <w:rsid w:val="7B3360ED"/>
    <w:rsid w:val="7B41340B"/>
    <w:rsid w:val="7B5319F3"/>
    <w:rsid w:val="7BDF037E"/>
    <w:rsid w:val="7BF50948"/>
    <w:rsid w:val="7CE66A78"/>
    <w:rsid w:val="7D0066A0"/>
    <w:rsid w:val="7D23564C"/>
    <w:rsid w:val="7D5E062D"/>
    <w:rsid w:val="7DD8051E"/>
    <w:rsid w:val="7DF76CD8"/>
    <w:rsid w:val="7F025695"/>
    <w:rsid w:val="7F2563B0"/>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17634.67</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2.58</c:v>
                </c:pt>
              </c:numCache>
            </c:numRef>
          </c:cat>
          <c:val>
            <c:numRef>
              <c:f>Sheet1!$B$2</c:f>
              <c:numCache>
                <c:formatCode>General</c:formatCode>
                <c:ptCount val="1"/>
                <c:pt idx="0">
                  <c:v>31002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其它支出</c:v>
                </c:pt>
              </c:strCache>
            </c:strRef>
          </c:cat>
          <c:val>
            <c:numRef>
              <c:f>Sheet1!$B$2:$B$6</c:f>
              <c:numCache>
                <c:formatCode>General</c:formatCode>
                <c:ptCount val="5"/>
                <c:pt idx="0">
                  <c:v>300.62</c:v>
                </c:pt>
                <c:pt idx="1">
                  <c:v>42.87</c:v>
                </c:pt>
                <c:pt idx="2">
                  <c:v>12461.61</c:v>
                </c:pt>
                <c:pt idx="3">
                  <c:v>32.73</c:v>
                </c:pt>
                <c:pt idx="4">
                  <c:v>96.29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其它支出</c:v>
                </c:pt>
              </c:strCache>
            </c:strRef>
          </c:cat>
          <c:val>
            <c:numRef>
              <c:f>Sheet1!$C$2:$C$6</c:f>
              <c:numCache>
                <c:formatCode>General</c:formatCode>
                <c:ptCount val="5"/>
                <c:pt idx="0">
                  <c:v>5.7</c:v>
                </c:pt>
                <c:pt idx="1">
                  <c:v>41.84</c:v>
                </c:pt>
                <c:pt idx="2">
                  <c:v>17476.54</c:v>
                </c:pt>
                <c:pt idx="3">
                  <c:v>32.12</c:v>
                </c:pt>
                <c:pt idx="4">
                  <c:v>78.48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2012999</c:v>
                </c:pt>
              </c:numCache>
            </c:numRef>
          </c:cat>
          <c:val>
            <c:numRef>
              <c:f>Sheet1!$B$2</c:f>
              <c:numCache>
                <c:formatCode>General</c:formatCode>
                <c:ptCount val="1"/>
                <c:pt idx="0">
                  <c:v>5.72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Sheet1!$B$2</c:f>
              <c:numCache>
                <c:formatCode>General</c:formatCode>
                <c:ptCount val="1"/>
                <c:pt idx="0">
                  <c:v>41.81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Sheet1!$A$2:$A$8</c:f>
              <c:numCache>
                <c:formatCode>General</c:formatCode>
                <c:ptCount val="7"/>
                <c:pt idx="0">
                  <c:v>21300104</c:v>
                </c:pt>
                <c:pt idx="1">
                  <c:v>2130501</c:v>
                </c:pt>
                <c:pt idx="2">
                  <c:v>2130504</c:v>
                </c:pt>
                <c:pt idx="3">
                  <c:v>2130505</c:v>
                </c:pt>
                <c:pt idx="4">
                  <c:v>2130507</c:v>
                </c:pt>
                <c:pt idx="5">
                  <c:v>2130550</c:v>
                </c:pt>
                <c:pt idx="6">
                  <c:v>2130599</c:v>
                </c:pt>
              </c:numCache>
            </c:numRef>
          </c:cat>
          <c:val>
            <c:numRef>
              <c:f>Sheet1!$B$2:$B$8</c:f>
              <c:numCache>
                <c:formatCode>General</c:formatCode>
                <c:ptCount val="7"/>
                <c:pt idx="0">
                  <c:v>24.98</c:v>
                </c:pt>
                <c:pt idx="1">
                  <c:v>554.87</c:v>
                </c:pt>
                <c:pt idx="2">
                  <c:v>6986.64</c:v>
                </c:pt>
                <c:pt idx="3">
                  <c:v>4730.27</c:v>
                </c:pt>
                <c:pt idx="4">
                  <c:v>1645.6</c:v>
                </c:pt>
                <c:pt idx="5">
                  <c:v>39.78</c:v>
                </c:pt>
                <c:pt idx="6">
                  <c:v>3494.4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2210201</c:v>
                </c:pt>
              </c:numCache>
            </c:numRef>
          </c:cat>
          <c:val>
            <c:numRef>
              <c:f>Sheet1!$B$2</c:f>
              <c:numCache>
                <c:formatCode>General</c:formatCode>
                <c:ptCount val="1"/>
                <c:pt idx="0">
                  <c:v>32.12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Sheet1!$A$2:$A$10</c:f>
              <c:numCache>
                <c:formatCode>General</c:formatCode>
                <c:ptCount val="9"/>
                <c:pt idx="0">
                  <c:v>30101</c:v>
                </c:pt>
                <c:pt idx="1">
                  <c:v>30102</c:v>
                </c:pt>
                <c:pt idx="2">
                  <c:v>30103</c:v>
                </c:pt>
                <c:pt idx="3">
                  <c:v>30107</c:v>
                </c:pt>
                <c:pt idx="4">
                  <c:v>30108</c:v>
                </c:pt>
                <c:pt idx="5">
                  <c:v>30110</c:v>
                </c:pt>
                <c:pt idx="6">
                  <c:v>30112</c:v>
                </c:pt>
                <c:pt idx="7">
                  <c:v>30113</c:v>
                </c:pt>
                <c:pt idx="8">
                  <c:v>30199</c:v>
                </c:pt>
              </c:numCache>
            </c:numRef>
          </c:cat>
          <c:val>
            <c:numRef>
              <c:f>Sheet1!$B$2:$B$10</c:f>
              <c:numCache>
                <c:formatCode>General</c:formatCode>
                <c:ptCount val="9"/>
                <c:pt idx="0">
                  <c:v>114.95</c:v>
                </c:pt>
                <c:pt idx="1">
                  <c:v>26.61</c:v>
                </c:pt>
                <c:pt idx="2">
                  <c:v>107.63</c:v>
                </c:pt>
                <c:pt idx="3">
                  <c:v>38.29</c:v>
                </c:pt>
                <c:pt idx="4">
                  <c:v>47.72</c:v>
                </c:pt>
                <c:pt idx="5">
                  <c:v>18.5</c:v>
                </c:pt>
                <c:pt idx="6">
                  <c:v>1.67</c:v>
                </c:pt>
                <c:pt idx="7">
                  <c:v>40.36</c:v>
                </c:pt>
                <c:pt idx="8">
                  <c:v>35.22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Sheet1!$A$2:$A$16</c:f>
              <c:numCache>
                <c:formatCode>General</c:formatCode>
                <c:ptCount val="15"/>
                <c:pt idx="0">
                  <c:v>30201</c:v>
                </c:pt>
                <c:pt idx="1">
                  <c:v>30202</c:v>
                </c:pt>
                <c:pt idx="2">
                  <c:v>30205</c:v>
                </c:pt>
                <c:pt idx="3">
                  <c:v>30206</c:v>
                </c:pt>
                <c:pt idx="4">
                  <c:v>30207</c:v>
                </c:pt>
                <c:pt idx="5">
                  <c:v>30209</c:v>
                </c:pt>
                <c:pt idx="6">
                  <c:v>30211</c:v>
                </c:pt>
                <c:pt idx="7">
                  <c:v>30213</c:v>
                </c:pt>
                <c:pt idx="8">
                  <c:v>30216</c:v>
                </c:pt>
                <c:pt idx="9">
                  <c:v>30217</c:v>
                </c:pt>
                <c:pt idx="10">
                  <c:v>30226</c:v>
                </c:pt>
                <c:pt idx="11">
                  <c:v>30228</c:v>
                </c:pt>
                <c:pt idx="12">
                  <c:v>30231</c:v>
                </c:pt>
                <c:pt idx="13">
                  <c:v>30239</c:v>
                </c:pt>
                <c:pt idx="14">
                  <c:v>30299</c:v>
                </c:pt>
              </c:numCache>
            </c:numRef>
          </c:cat>
          <c:val>
            <c:numRef>
              <c:f>Sheet1!$B$2:$B$16</c:f>
              <c:numCache>
                <c:formatCode>General</c:formatCode>
                <c:ptCount val="15"/>
                <c:pt idx="0">
                  <c:v>2.64</c:v>
                </c:pt>
                <c:pt idx="1">
                  <c:v>0.14</c:v>
                </c:pt>
                <c:pt idx="2">
                  <c:v>0.52</c:v>
                </c:pt>
                <c:pt idx="3">
                  <c:v>2.66</c:v>
                </c:pt>
                <c:pt idx="4">
                  <c:v>2.52</c:v>
                </c:pt>
                <c:pt idx="5">
                  <c:v>0.03</c:v>
                </c:pt>
                <c:pt idx="6">
                  <c:v>14.06</c:v>
                </c:pt>
                <c:pt idx="7" c:formatCode="0.00_ ">
                  <c:v>0.1</c:v>
                </c:pt>
                <c:pt idx="8">
                  <c:v>1.65</c:v>
                </c:pt>
                <c:pt idx="9">
                  <c:v>10.92</c:v>
                </c:pt>
                <c:pt idx="10">
                  <c:v>0.96</c:v>
                </c:pt>
                <c:pt idx="11">
                  <c:v>5.72</c:v>
                </c:pt>
                <c:pt idx="12">
                  <c:v>2.85</c:v>
                </c:pt>
                <c:pt idx="13">
                  <c:v>2.23</c:v>
                </c:pt>
                <c:pt idx="14">
                  <c:v>2.11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30304</c:v>
                </c:pt>
                <c:pt idx="1">
                  <c:v>30305</c:v>
                </c:pt>
                <c:pt idx="2">
                  <c:v>30309</c:v>
                </c:pt>
                <c:pt idx="3">
                  <c:v>30399</c:v>
                </c:pt>
              </c:numCache>
            </c:numRef>
          </c:cat>
          <c:val>
            <c:numRef>
              <c:f>Sheet1!$B$2:$B$5</c:f>
              <c:numCache>
                <c:formatCode>General</c:formatCode>
                <c:ptCount val="4"/>
                <c:pt idx="0">
                  <c:v>24.98</c:v>
                </c:pt>
                <c:pt idx="1">
                  <c:v>9.15</c:v>
                </c:pt>
                <c:pt idx="2">
                  <c:v>0.01</c:v>
                </c:pt>
                <c:pt idx="3">
                  <c:v>7.74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2023-11-17T01:30:00Z</cp:lastPrinted>
  <dcterms:modified xsi:type="dcterms:W3CDTF">2023-11-23T08:31:47Z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6C8723D96A0345F38FE1E0934F3DDD14</vt:lpwstr>
  </property>
</Properties>
</file>