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52"/>
          <w:szCs w:val="52"/>
          <w:highlight w:val="none"/>
          <w:lang w:val="en-US" w:eastAsia="zh-CN"/>
        </w:rPr>
      </w:pPr>
      <w:r>
        <w:rPr>
          <w:rFonts w:hint="eastAsia" w:ascii="黑体" w:hAnsi="黑体" w:eastAsia="黑体" w:cs="黑体"/>
          <w:b/>
          <w:bCs/>
          <w:sz w:val="52"/>
          <w:szCs w:val="52"/>
          <w:highlight w:val="none"/>
          <w:lang w:val="en-US" w:eastAsia="zh-CN"/>
        </w:rPr>
        <w:t>环江毛南族自治县交通运输局</w:t>
      </w: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2022年度部门决算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2023年</w:t>
      </w:r>
      <w:r>
        <w:rPr>
          <w:rFonts w:hint="eastAsia" w:ascii="黑体" w:hAnsi="黑体" w:eastAsia="黑体" w:cs="黑体"/>
          <w:b/>
          <w:bCs/>
          <w:sz w:val="36"/>
          <w:szCs w:val="36"/>
          <w:highlight w:val="none"/>
          <w:lang w:val="en-US" w:eastAsia="zh-CN"/>
        </w:rPr>
        <w:t>10</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val="en-US" w:eastAsia="zh-CN"/>
        </w:rPr>
        <w:t>交通运输局</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val="en-US" w:eastAsia="zh-CN"/>
        </w:rPr>
        <w:t>交通运输局</w:t>
      </w:r>
      <w:r>
        <w:rPr>
          <w:rFonts w:hint="eastAsia" w:ascii="黑体" w:hAnsi="黑体" w:eastAsia="黑体" w:cs="黑体"/>
          <w:sz w:val="32"/>
          <w:szCs w:val="32"/>
          <w:highlight w:val="none"/>
        </w:rPr>
        <w:t>2022年度部门决算报表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val="en-US" w:eastAsia="zh-CN"/>
        </w:rPr>
        <w:t>交通运输局</w:t>
      </w:r>
      <w:r>
        <w:rPr>
          <w:rFonts w:hint="eastAsia" w:ascii="黑体" w:hAnsi="黑体" w:eastAsia="黑体" w:cs="黑体"/>
          <w:sz w:val="32"/>
          <w:szCs w:val="32"/>
          <w:highlight w:val="none"/>
        </w:rPr>
        <w:t>2022年度部门决算情况说明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bCs/>
          <w:sz w:val="32"/>
          <w:szCs w:val="32"/>
          <w:highlight w:val="none"/>
          <w:lang w:val="en-US" w:eastAsia="zh-CN"/>
        </w:rPr>
        <w:t>交通运输局</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ind w:firstLine="640" w:firstLineChars="200"/>
        <w:jc w:val="left"/>
        <w:rPr>
          <w:rFonts w:hint="eastAsia" w:ascii="仿宋" w:hAnsi="仿宋" w:eastAsia="仿宋" w:cs="仿宋"/>
          <w:color w:val="FF0000"/>
          <w:sz w:val="32"/>
          <w:szCs w:val="32"/>
          <w:lang w:val="en-US" w:eastAsia="zh-CN"/>
        </w:rPr>
      </w:pPr>
      <w:r>
        <w:rPr>
          <w:rFonts w:hint="eastAsia" w:ascii="仿宋_GB2312" w:hAnsi="仿宋_GB2312" w:eastAsia="仿宋_GB2312" w:cs="Times New Roman"/>
          <w:sz w:val="32"/>
          <w:szCs w:val="32"/>
        </w:rPr>
        <w:t>1.贯彻执行国家、自治区有关交通运输方针政策、法律法规，行业规划和标准，确保政令的畅通和各项交通政策法规的落实，组织拟订全县公路、水路交通运输以及交通基础设施建设发展规划和计划，并监督实施。根据自治县人民政府的委托，组织起草有关交通规范性文件和规章；2.承担全县农村公路、水路建设市场监管责任。组织协调公路、水路交通基础设施建设的工程质量、安全生产监督管理工作；3.指导全县公路、水路行业安全生产和应急管理工作。按规定组织协调重点物资和紧急客货运输；负责全县地方公路网安全运行监测和协调；承担国防动员有关工作 ；4.指导全县交通运输信息化建设、监测分析运行情况，开展相关统计工作，发布有关信息。指导公路、水路行业环境保护、科技开发、工程造价和节能减排工作。指导行业教育、培训和精神文明工作；指导交通运输行业单位内部治安保卫、综合治理及维护稳定工作；5.</w:t>
      </w:r>
      <w:r>
        <w:rPr>
          <w:rFonts w:hint="eastAsia" w:ascii="仿宋_GB2312" w:hAnsi="仿宋_GB2312" w:eastAsia="仿宋_GB2312" w:cs="Times New Roman"/>
          <w:sz w:val="32"/>
          <w:szCs w:val="32"/>
        </w:rPr>
        <w:tab/>
      </w:r>
      <w:r>
        <w:rPr>
          <w:rFonts w:hint="eastAsia" w:ascii="仿宋_GB2312" w:hAnsi="仿宋_GB2312" w:eastAsia="仿宋_GB2312" w:cs="Times New Roman"/>
          <w:sz w:val="32"/>
          <w:szCs w:val="32"/>
        </w:rPr>
        <w:t xml:space="preserve"> 负责全县农村公路建设、公路养护、公路路政管理工作；6.对机关、直属单位国有资产进行监督管理。组织实施交通运输行业内部审计工作；7.承办自治县党委、自治县人民政府和河池市交通运输局交办的其他事 .</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tbl>
      <w:tblPr>
        <w:tblStyle w:val="6"/>
        <w:tblW w:w="80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3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beforeAutospacing="0" w:after="0" w:afterAutospacing="0" w:line="520" w:lineRule="exact"/>
              <w:ind w:left="0" w:right="0"/>
              <w:jc w:val="left"/>
              <w:rPr>
                <w:rFonts w:hint="eastAsia" w:ascii="仿宋" w:hAnsi="仿宋" w:eastAsia="仿宋" w:cs="仿宋"/>
                <w:b/>
                <w:kern w:val="0"/>
                <w:sz w:val="32"/>
                <w:szCs w:val="32"/>
              </w:rPr>
            </w:pPr>
            <w:bookmarkStart w:id="0" w:name="_Hlk109379180"/>
            <w:r>
              <w:rPr>
                <w:rFonts w:hint="eastAsia" w:ascii="仿宋" w:hAnsi="仿宋" w:eastAsia="仿宋" w:cs="仿宋"/>
                <w:b/>
                <w:kern w:val="0"/>
                <w:sz w:val="32"/>
                <w:szCs w:val="32"/>
              </w:rPr>
              <w:t>单位名称</w:t>
            </w:r>
          </w:p>
        </w:tc>
        <w:tc>
          <w:tcPr>
            <w:tcW w:w="3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beforeAutospacing="0" w:after="0" w:afterAutospacing="0" w:line="520" w:lineRule="exact"/>
              <w:ind w:left="0" w:right="0"/>
              <w:jc w:val="left"/>
              <w:rPr>
                <w:rFonts w:hint="eastAsia" w:ascii="仿宋" w:hAnsi="仿宋" w:eastAsia="仿宋" w:cs="仿宋"/>
                <w:b/>
                <w:kern w:val="0"/>
                <w:sz w:val="32"/>
                <w:szCs w:val="32"/>
              </w:rPr>
            </w:pPr>
            <w:r>
              <w:rPr>
                <w:rFonts w:hint="eastAsia" w:ascii="仿宋" w:hAnsi="仿宋" w:eastAsia="仿宋" w:cs="仿宋"/>
                <w:b/>
                <w:kern w:val="0"/>
                <w:sz w:val="32"/>
                <w:szCs w:val="32"/>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8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交通运输局本级</w:t>
            </w:r>
          </w:p>
        </w:tc>
        <w:tc>
          <w:tcPr>
            <w:tcW w:w="317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行政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交通运输服务中心</w:t>
            </w:r>
          </w:p>
        </w:tc>
        <w:tc>
          <w:tcPr>
            <w:tcW w:w="3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交通运输综合行政大队</w:t>
            </w:r>
          </w:p>
        </w:tc>
        <w:tc>
          <w:tcPr>
            <w:tcW w:w="3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事业</w:t>
            </w:r>
          </w:p>
        </w:tc>
      </w:tr>
      <w:bookmarkEnd w:id="0"/>
    </w:tbl>
    <w:p>
      <w:pPr>
        <w:jc w:val="left"/>
        <w:rPr>
          <w:rFonts w:hint="eastAsia" w:ascii="仿宋" w:hAnsi="仿宋" w:eastAsia="仿宋" w:cs="仿宋"/>
          <w:sz w:val="32"/>
          <w:szCs w:val="32"/>
        </w:rPr>
      </w:pPr>
    </w:p>
    <w:p>
      <w:pPr>
        <w:ind w:firstLine="600" w:firstLineChars="200"/>
        <w:rPr>
          <w:sz w:val="30"/>
          <w:szCs w:val="30"/>
        </w:rPr>
      </w:pPr>
      <w:r>
        <w:rPr>
          <w:rFonts w:hint="eastAsia"/>
          <w:sz w:val="30"/>
          <w:szCs w:val="30"/>
        </w:rPr>
        <w:t>202</w:t>
      </w:r>
      <w:r>
        <w:rPr>
          <w:rFonts w:hint="eastAsia"/>
          <w:sz w:val="30"/>
          <w:szCs w:val="30"/>
          <w:lang w:val="en-US" w:eastAsia="zh-CN"/>
        </w:rPr>
        <w:t>2</w:t>
      </w:r>
      <w:r>
        <w:rPr>
          <w:rFonts w:hint="eastAsia"/>
          <w:sz w:val="30"/>
          <w:szCs w:val="30"/>
        </w:rPr>
        <w:t>年底止，全局实有职工共6</w:t>
      </w:r>
      <w:r>
        <w:rPr>
          <w:rFonts w:hint="eastAsia"/>
          <w:sz w:val="30"/>
          <w:szCs w:val="30"/>
          <w:lang w:val="en-US" w:eastAsia="zh-CN"/>
        </w:rPr>
        <w:t>5</w:t>
      </w:r>
      <w:r>
        <w:rPr>
          <w:rFonts w:hint="eastAsia"/>
          <w:sz w:val="30"/>
          <w:szCs w:val="30"/>
        </w:rPr>
        <w:t>人。其中：交通局行政本级职工</w:t>
      </w:r>
      <w:r>
        <w:rPr>
          <w:rFonts w:hint="eastAsia"/>
          <w:sz w:val="30"/>
          <w:szCs w:val="30"/>
          <w:lang w:val="en-US" w:eastAsia="zh-CN"/>
        </w:rPr>
        <w:t>8</w:t>
      </w:r>
      <w:r>
        <w:rPr>
          <w:rFonts w:hint="eastAsia"/>
          <w:sz w:val="30"/>
          <w:szCs w:val="30"/>
        </w:rPr>
        <w:t>人；交通运输服务中心和交通运输行政综合执法大队事业单位职工57人；（其中聘用职工6人）。</w:t>
      </w: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both"/>
        <w:rPr>
          <w:rFonts w:hint="default" w:ascii="黑体" w:hAnsi="黑体" w:eastAsia="黑体" w:cs="黑体"/>
          <w:sz w:val="32"/>
          <w:szCs w:val="32"/>
          <w:highlight w:val="none"/>
          <w:lang w:val="en-US" w:eastAsia="zh-CN"/>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val="en-US" w:eastAsia="zh-CN"/>
        </w:rPr>
        <w:t>交通运输局</w:t>
      </w:r>
      <w:r>
        <w:rPr>
          <w:rFonts w:hint="eastAsia" w:ascii="黑体" w:hAnsi="黑体" w:eastAsia="黑体" w:cs="黑体"/>
          <w:sz w:val="32"/>
          <w:szCs w:val="32"/>
          <w:highlight w:val="none"/>
        </w:rPr>
        <w:t xml:space="preserve"> 2022年度部门决算报表</w:t>
      </w:r>
    </w:p>
    <w:tbl>
      <w:tblPr>
        <w:tblStyle w:val="6"/>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交通运输局</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1673.96</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28.75</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154.45</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106.53</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154.45</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16249.84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66.20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222.64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16828.41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16828.41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16828.41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16828.41</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交通运输局</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16828.41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16828.41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2.80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2010101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行政运行</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28.75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28.75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20</w:t>
            </w:r>
            <w:r>
              <w:rPr>
                <w:rFonts w:hint="eastAsia" w:ascii="宋体" w:hAnsi="宋体" w:eastAsia="宋体" w:cs="宋体"/>
                <w:color w:val="000000"/>
                <w:kern w:val="0"/>
                <w:sz w:val="22"/>
                <w:szCs w:val="22"/>
                <w:highlight w:val="none"/>
                <w:lang w:val="en-US" w:eastAsia="zh-CN" w:bidi="ar"/>
              </w:rPr>
              <w:t>12999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16.69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16.69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106.53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106.53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2120803</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城市建设支出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126.85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126.85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0.0</w:t>
            </w:r>
            <w:r>
              <w:rPr>
                <w:rFonts w:hint="default" w:ascii="宋体" w:hAnsi="宋体" w:eastAsia="宋体" w:cs="宋体"/>
                <w:color w:val="000000"/>
                <w:kern w:val="0"/>
                <w:sz w:val="22"/>
                <w:szCs w:val="22"/>
                <w:highlight w:val="none"/>
                <w:lang w:bidi="ar"/>
              </w:rPr>
              <w:t>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2120804</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农村基础设施建设支出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27.6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27.6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20</w:t>
            </w:r>
            <w:r>
              <w:rPr>
                <w:rFonts w:hint="eastAsia" w:ascii="宋体" w:hAnsi="宋体" w:eastAsia="宋体" w:cs="宋体"/>
                <w:color w:val="000000"/>
                <w:kern w:val="0"/>
                <w:sz w:val="22"/>
                <w:szCs w:val="22"/>
                <w:highlight w:val="none"/>
                <w:lang w:val="en-US" w:eastAsia="zh-CN" w:bidi="ar"/>
              </w:rPr>
              <w:t>12999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12.06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12.06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2140101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行政运行</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415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415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2140103</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机关事务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9.01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9.01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2140104</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公路建设</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13691.44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13691.44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2140106</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公路养护</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1001.69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1001.69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2140110</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公路和运输安全</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34.99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34.99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2140112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公路运输管理</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32.55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32.55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2140199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其他公路水路运输</w:t>
            </w:r>
            <w:r>
              <w:rPr>
                <w:rFonts w:hint="default" w:ascii="宋体" w:hAnsi="宋体" w:eastAsia="宋体" w:cs="宋体"/>
                <w:color w:val="000000"/>
                <w:kern w:val="0"/>
                <w:sz w:val="22"/>
                <w:szCs w:val="22"/>
                <w:highlight w:val="none"/>
                <w:lang w:bidi="ar"/>
              </w:rPr>
              <w:t>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527.32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527.32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2140299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其他铁路运输支出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44.6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44.6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2140601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车辆购置税用于公路等基础设施建设支出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439.64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439.64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2149901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公共交通运营补助</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24.00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24.00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其他交通运输</w:t>
            </w:r>
            <w:r>
              <w:rPr>
                <w:rFonts w:hint="default" w:ascii="宋体" w:hAnsi="宋体" w:eastAsia="宋体" w:cs="宋体"/>
                <w:color w:val="000000"/>
                <w:kern w:val="0"/>
                <w:sz w:val="22"/>
                <w:szCs w:val="22"/>
                <w:highlight w:val="none"/>
                <w:lang w:bidi="ar"/>
              </w:rPr>
              <w:t>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29.60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29.60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66.20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66.20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2299999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222.64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222.64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交通运输局</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90"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16828.41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952.72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15875.68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2010101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行政运行</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28.75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28.75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20</w:t>
            </w:r>
            <w:r>
              <w:rPr>
                <w:rFonts w:hint="eastAsia" w:ascii="宋体" w:hAnsi="宋体" w:eastAsia="宋体" w:cs="宋体"/>
                <w:color w:val="000000"/>
                <w:kern w:val="0"/>
                <w:sz w:val="22"/>
                <w:szCs w:val="22"/>
                <w:highlight w:val="none"/>
                <w:lang w:val="en-US" w:eastAsia="zh-CN" w:bidi="ar"/>
              </w:rPr>
              <w:t>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16.69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16.69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106.53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106.53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2120803</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城市建设支出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126.85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126.85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20</w:t>
            </w:r>
            <w:r>
              <w:rPr>
                <w:rFonts w:hint="eastAsia" w:ascii="宋体" w:hAnsi="宋体" w:eastAsia="宋体" w:cs="宋体"/>
                <w:color w:val="000000"/>
                <w:kern w:val="0"/>
                <w:sz w:val="22"/>
                <w:szCs w:val="22"/>
                <w:highlight w:val="none"/>
                <w:lang w:val="en-US" w:eastAsia="zh-CN" w:bidi="ar"/>
              </w:rPr>
              <w:t>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12.06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12.06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2120804</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农村基础设施建设支</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27.6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27.6</w:t>
            </w:r>
            <w:r>
              <w:rPr>
                <w:rFonts w:hint="default" w:ascii="宋体" w:hAnsi="宋体" w:eastAsia="宋体" w:cs="宋体"/>
                <w:color w:val="000000"/>
                <w:kern w:val="0"/>
                <w:sz w:val="22"/>
                <w:szCs w:val="22"/>
                <w:highlight w:val="none"/>
                <w:lang w:bidi="ar"/>
              </w:rPr>
              <w:t>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2140101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行政运行</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415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414.58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2140103</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机关事务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9.01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9.01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2140104</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公路建设</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13691.44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13691.44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2140106</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公路养护</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1001.69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1001.69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2140110</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公路和运输安全</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34.99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34.99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2140112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公路运输管理</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32.55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32.55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2140199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其他公路水路运输</w:t>
            </w:r>
            <w:r>
              <w:rPr>
                <w:rFonts w:hint="default" w:ascii="宋体" w:hAnsi="宋体" w:eastAsia="宋体" w:cs="宋体"/>
                <w:color w:val="000000"/>
                <w:kern w:val="0"/>
                <w:sz w:val="22"/>
                <w:szCs w:val="22"/>
                <w:highlight w:val="none"/>
                <w:lang w:bidi="ar"/>
              </w:rPr>
              <w:t>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527.32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527.32</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2140299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其他铁路运输支出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44.6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44.6</w:t>
            </w:r>
            <w:r>
              <w:rPr>
                <w:rFonts w:hint="default" w:ascii="宋体" w:hAnsi="宋体" w:eastAsia="宋体" w:cs="宋体"/>
                <w:color w:val="000000"/>
                <w:kern w:val="0"/>
                <w:sz w:val="22"/>
                <w:szCs w:val="22"/>
                <w:highlight w:val="none"/>
                <w:lang w:bidi="ar"/>
              </w:rPr>
              <w:t>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2140601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车辆购置税用于公路等基础设施建设支出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439.64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439.64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2149901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公共交通运营补助</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24.00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98.52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24.00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其他交通运输</w:t>
            </w:r>
            <w:r>
              <w:rPr>
                <w:rFonts w:hint="default" w:ascii="宋体" w:hAnsi="宋体" w:eastAsia="宋体" w:cs="宋体"/>
                <w:color w:val="000000"/>
                <w:kern w:val="0"/>
                <w:sz w:val="22"/>
                <w:szCs w:val="22"/>
                <w:highlight w:val="none"/>
                <w:lang w:bidi="ar"/>
              </w:rPr>
              <w:t>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29.60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39.60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66.20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66.20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2299999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222.64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222.64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4965" w:type="pct"/>
        <w:tblInd w:w="0" w:type="dxa"/>
        <w:tblLayout w:type="fixed"/>
        <w:tblCellMar>
          <w:top w:w="0" w:type="dxa"/>
          <w:left w:w="108" w:type="dxa"/>
          <w:bottom w:w="0" w:type="dxa"/>
          <w:right w:w="108" w:type="dxa"/>
        </w:tblCellMar>
      </w:tblPr>
      <w:tblGrid>
        <w:gridCol w:w="2214"/>
        <w:gridCol w:w="785"/>
        <w:gridCol w:w="1307"/>
        <w:gridCol w:w="2360"/>
        <w:gridCol w:w="853"/>
        <w:gridCol w:w="1361"/>
        <w:gridCol w:w="1425"/>
        <w:gridCol w:w="1878"/>
        <w:gridCol w:w="1894"/>
      </w:tblGrid>
      <w:tr>
        <w:tblPrEx>
          <w:tblCellMar>
            <w:top w:w="0" w:type="dxa"/>
            <w:left w:w="108" w:type="dxa"/>
            <w:bottom w:w="0" w:type="dxa"/>
            <w:right w:w="108" w:type="dxa"/>
          </w:tblCellMar>
        </w:tblPrEx>
        <w:trPr>
          <w:trHeight w:val="759"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9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8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0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6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90" w:hRule="atLeast"/>
        </w:trPr>
        <w:tc>
          <w:tcPr>
            <w:tcW w:w="3154"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交通运输局</w:t>
            </w:r>
          </w:p>
        </w:tc>
        <w:tc>
          <w:tcPr>
            <w:tcW w:w="506"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67"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8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5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16673.96</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28.75</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154.45</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106.53</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106.53</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106.67</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106.67</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90"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154.45</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0.00</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154.45</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16249.84</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16249.84</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66.20</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66.20</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222.64</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222.64</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16828.41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16828.41</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16673.96</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154.45</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16828.41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16828.41</w:t>
            </w: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16673.96</w:t>
            </w:r>
          </w:p>
        </w:tc>
        <w:tc>
          <w:tcPr>
            <w:tcW w:w="6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154.45</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交通运输局</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16673.96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952.72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15721.23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2010101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行政运行</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28.75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28.75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20</w:t>
            </w:r>
            <w:r>
              <w:rPr>
                <w:rFonts w:hint="eastAsia" w:ascii="宋体" w:hAnsi="宋体" w:eastAsia="宋体" w:cs="宋体"/>
                <w:color w:val="000000"/>
                <w:kern w:val="0"/>
                <w:sz w:val="22"/>
                <w:szCs w:val="22"/>
                <w:highlight w:val="none"/>
                <w:lang w:val="en-US" w:eastAsia="zh-CN" w:bidi="ar"/>
              </w:rPr>
              <w:t>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16.69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16.69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106.53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106.53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20</w:t>
            </w:r>
            <w:r>
              <w:rPr>
                <w:rFonts w:hint="eastAsia" w:ascii="宋体" w:hAnsi="宋体" w:eastAsia="宋体" w:cs="宋体"/>
                <w:color w:val="000000"/>
                <w:kern w:val="0"/>
                <w:sz w:val="22"/>
                <w:szCs w:val="22"/>
                <w:highlight w:val="none"/>
                <w:lang w:val="en-US" w:eastAsia="zh-CN" w:bidi="ar"/>
              </w:rPr>
              <w:t>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12.06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12.06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2140101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行政运行</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415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414.58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2140103</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机关事务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9.01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9.01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2140104</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公路建设</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13691.44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13691.44</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2140106</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公路养护</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1001.69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1001.69</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2140110</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公路和运输安全</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34.99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34.99</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2140112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公路运输管理</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32.55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32.55</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2140199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其他公路水路运输</w:t>
            </w:r>
            <w:r>
              <w:rPr>
                <w:rFonts w:hint="default" w:ascii="宋体" w:hAnsi="宋体" w:eastAsia="宋体" w:cs="宋体"/>
                <w:color w:val="000000"/>
                <w:kern w:val="0"/>
                <w:sz w:val="22"/>
                <w:szCs w:val="22"/>
                <w:highlight w:val="none"/>
                <w:lang w:bidi="ar"/>
              </w:rPr>
              <w:t>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527.32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527.32</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2140299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其他铁路运输支出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44.6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44.6</w:t>
            </w:r>
            <w:r>
              <w:rPr>
                <w:rFonts w:hint="default" w:ascii="宋体" w:hAnsi="宋体" w:eastAsia="宋体" w:cs="宋体"/>
                <w:color w:val="000000"/>
                <w:kern w:val="0"/>
                <w:sz w:val="22"/>
                <w:szCs w:val="22"/>
                <w:highlight w:val="none"/>
                <w:lang w:bidi="ar"/>
              </w:rPr>
              <w:t>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2140601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车辆购置税用于公路等基础设施建设支出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439.64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439.64</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2149901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公共交通运营补助</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24.00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98.52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24.00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2149999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其他交通运输</w:t>
            </w:r>
            <w:r>
              <w:rPr>
                <w:rFonts w:hint="default" w:ascii="宋体" w:hAnsi="宋体" w:eastAsia="宋体" w:cs="宋体"/>
                <w:color w:val="000000"/>
                <w:kern w:val="0"/>
                <w:sz w:val="22"/>
                <w:szCs w:val="22"/>
                <w:highlight w:val="none"/>
                <w:lang w:bidi="ar"/>
              </w:rPr>
              <w:t>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29.60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39.60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66.20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66.20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222.64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222.64</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交通运输局</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1" w:name="OLE_LINK3"/>
            <w:bookmarkStart w:id="2" w:name="OLE_LINK4"/>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842.53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34.89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245.8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17.21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41.22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214.72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11.8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92.87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106.53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1.46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39.85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3.2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8.00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66.20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0.24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20.32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75.31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0.18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5.27</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31.78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29.58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0.16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12.06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13.94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3.75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1"/>
          <w:bookmarkEnd w:id="2"/>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917.84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34.89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交通运输局</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2120803</w:t>
            </w: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城市建设支出</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126.85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126.85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2120804</w:t>
            </w: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农村基础设施建设支出</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27.6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27.6</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交通运输局</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交通运输局</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25.00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20.16</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15.92</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eastAsiaTheme="minorEastAsia"/>
                <w:highlight w:val="none"/>
                <w:lang w:val="en-US" w:eastAsia="zh-CN"/>
              </w:rPr>
            </w:pPr>
            <w:r>
              <w:rPr>
                <w:rFonts w:hint="eastAsia"/>
                <w:highlight w:val="none"/>
                <w:lang w:val="en-US" w:eastAsia="zh-CN"/>
              </w:rPr>
              <w:t>3.00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eastAsiaTheme="minorEastAsia"/>
                <w:highlight w:val="none"/>
                <w:lang w:val="en-US" w:eastAsia="zh-CN"/>
              </w:rPr>
            </w:pPr>
            <w:r>
              <w:rPr>
                <w:rFonts w:hint="eastAsia" w:ascii="宋体" w:hAnsi="宋体" w:eastAsia="宋体" w:cs="宋体"/>
                <w:color w:val="000000"/>
                <w:kern w:val="0"/>
                <w:sz w:val="22"/>
                <w:szCs w:val="22"/>
                <w:highlight w:val="none"/>
                <w:lang w:val="en-US" w:eastAsia="zh-CN" w:bidi="ar"/>
              </w:rPr>
              <w:t>1.24</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val="en-US" w:eastAsia="zh-CN"/>
        </w:rPr>
        <w:t>交通运输局</w:t>
      </w:r>
      <w:r>
        <w:rPr>
          <w:rFonts w:hint="eastAsia" w:ascii="黑体" w:hAnsi="黑体" w:eastAsia="黑体" w:cs="黑体"/>
          <w:sz w:val="32"/>
          <w:szCs w:val="32"/>
          <w:highlight w:val="none"/>
        </w:rPr>
        <w:t>2022年度部门决算情况说明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一、2022年度收入支出决算总体情况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（一）本部门2022年度总收入</w:t>
      </w:r>
      <w:r>
        <w:rPr>
          <w:rFonts w:hint="eastAsia" w:ascii="仿宋" w:hAnsi="仿宋" w:eastAsia="仿宋" w:cs="仿宋"/>
          <w:sz w:val="32"/>
          <w:u w:color="auto"/>
          <w:lang w:val="en-US" w:eastAsia="zh-CN"/>
        </w:rPr>
        <w:t>16828.41</w:t>
      </w:r>
      <w:r>
        <w:rPr>
          <w:rFonts w:hint="eastAsia" w:ascii="仿宋" w:hAnsi="仿宋" w:eastAsia="仿宋" w:cs="仿宋"/>
          <w:sz w:val="32"/>
          <w:szCs w:val="32"/>
          <w:highlight w:val="none"/>
        </w:rPr>
        <w:t>万元，较2021年度决算数</w:t>
      </w:r>
      <w:r>
        <w:rPr>
          <w:rFonts w:ascii="仿宋" w:hAnsi="仿宋" w:eastAsia="仿宋" w:cs="仿宋"/>
          <w:sz w:val="32"/>
          <w:u w:color="auto"/>
        </w:rPr>
        <w:t>减少</w:t>
      </w:r>
      <w:r>
        <w:rPr>
          <w:rFonts w:hint="eastAsia" w:ascii="仿宋" w:hAnsi="仿宋" w:eastAsia="仿宋" w:cs="仿宋"/>
          <w:sz w:val="32"/>
          <w:u w:color="auto"/>
          <w:lang w:val="en-US" w:eastAsia="zh-CN"/>
        </w:rPr>
        <w:t>7589.05</w:t>
      </w:r>
      <w:r>
        <w:rPr>
          <w:rFonts w:hint="eastAsia" w:ascii="仿宋" w:hAnsi="仿宋" w:eastAsia="仿宋" w:cs="仿宋"/>
          <w:sz w:val="32"/>
          <w:szCs w:val="32"/>
          <w:highlight w:val="none"/>
        </w:rPr>
        <w:t>万元，</w:t>
      </w:r>
      <w:r>
        <w:rPr>
          <w:rFonts w:ascii="仿宋" w:hAnsi="仿宋" w:eastAsia="仿宋" w:cs="仿宋"/>
          <w:sz w:val="32"/>
          <w:u w:color="auto"/>
        </w:rPr>
        <w:t>下降</w:t>
      </w:r>
      <w:r>
        <w:rPr>
          <w:rFonts w:hint="eastAsia" w:ascii="仿宋" w:hAnsi="仿宋" w:eastAsia="仿宋" w:cs="仿宋"/>
          <w:sz w:val="32"/>
          <w:u w:color="auto"/>
          <w:lang w:val="en-US" w:eastAsia="zh-CN"/>
        </w:rPr>
        <w:t>45.09</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16828.41</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16673.96</w:t>
      </w:r>
      <w:r>
        <w:rPr>
          <w:rFonts w:hint="eastAsia" w:ascii="仿宋" w:hAnsi="仿宋" w:eastAsia="仿宋" w:cs="仿宋"/>
          <w:kern w:val="2"/>
          <w:sz w:val="32"/>
          <w:szCs w:val="32"/>
          <w:highlight w:val="none"/>
          <w:lang w:val="en-US" w:eastAsia="zh-CN" w:bidi="ar"/>
        </w:rPr>
        <w:t>万元。较2021年度决算数</w:t>
      </w:r>
      <w:r>
        <w:rPr>
          <w:rFonts w:ascii="仿宋" w:hAnsi="仿宋" w:eastAsia="仿宋" w:cs="仿宋"/>
          <w:sz w:val="32"/>
          <w:u w:color="auto"/>
        </w:rPr>
        <w:t>减少</w:t>
      </w:r>
      <w:r>
        <w:rPr>
          <w:rFonts w:hint="eastAsia" w:ascii="仿宋" w:hAnsi="仿宋" w:eastAsia="仿宋" w:cs="仿宋"/>
          <w:sz w:val="32"/>
          <w:u w:color="auto"/>
          <w:lang w:val="en-US" w:eastAsia="zh-CN"/>
        </w:rPr>
        <w:t>7743.5</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46.44</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主要原因：上级拨专款没有支出，结存专款太多。</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2.政府性基金预算财政拨款收入</w:t>
      </w:r>
      <w:r>
        <w:rPr>
          <w:rFonts w:hint="eastAsia" w:ascii="仿宋" w:hAnsi="仿宋" w:eastAsia="仿宋" w:cs="仿宋"/>
          <w:sz w:val="32"/>
          <w:u w:color="auto"/>
          <w:lang w:val="en-US" w:eastAsia="zh-CN"/>
        </w:rPr>
        <w:t>154.45</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val="en-US" w:eastAsia="zh-CN"/>
        </w:rPr>
        <w:t>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w:t>
      </w:r>
      <w:r>
        <w:rPr>
          <w:rFonts w:hint="eastAsia" w:ascii="仿宋" w:hAnsi="仿宋" w:eastAsia="仿宋" w:cs="仿宋"/>
          <w:sz w:val="32"/>
          <w:u w:color="auto"/>
          <w:lang w:val="en-US" w:eastAsia="zh-CN"/>
        </w:rPr>
        <w:t>154.45</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主要原因：财政用路府性基金拨三桥冲毁及重建资金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3.国有资本经营预算财政拨款收入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val="en-US" w:eastAsia="zh-CN"/>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w:t>
      </w:r>
      <w:r>
        <w:rPr>
          <w:rFonts w:hint="eastAsia" w:ascii="仿宋" w:hAnsi="仿宋" w:eastAsia="仿宋" w:cs="仿宋"/>
          <w:kern w:val="2"/>
          <w:sz w:val="32"/>
          <w:szCs w:val="32"/>
          <w:highlight w:val="none"/>
          <w:lang w:val="en-US" w:eastAsia="zh-CN" w:bidi="ar"/>
        </w:rPr>
        <w:t>国有资本经营预算财政拨款收入。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u w:color="auto"/>
          <w:lang w:val="en-US" w:eastAsia="zh-CN"/>
        </w:rPr>
        <w:t>15721.23</w:t>
      </w:r>
      <w:r>
        <w:rPr>
          <w:rFonts w:hint="eastAsia" w:ascii="仿宋" w:hAnsi="仿宋" w:eastAsia="仿宋" w:cs="仿宋"/>
          <w:kern w:val="2"/>
          <w:sz w:val="32"/>
          <w:szCs w:val="32"/>
          <w:highlight w:val="none"/>
          <w:lang w:val="en-US" w:eastAsia="zh-CN" w:bidi="ar"/>
        </w:rPr>
        <w:t>万元，为上级部门当年拨付的资金。较2021年度决算数</w:t>
      </w:r>
      <w:r>
        <w:rPr>
          <w:rFonts w:hint="eastAsia" w:ascii="仿宋" w:hAnsi="仿宋" w:eastAsia="仿宋" w:cs="仿宋"/>
          <w:sz w:val="32"/>
          <w:u w:color="auto"/>
          <w:lang w:val="en-US" w:eastAsia="zh-CN"/>
        </w:rPr>
        <w:t>减少10975.55</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69.81</w:t>
      </w:r>
      <w:r>
        <w:rPr>
          <w:rFonts w:ascii="仿宋" w:hAnsi="仿宋" w:eastAsia="仿宋" w:cs="仿宋"/>
          <w:sz w:val="32"/>
          <w:u w:color="auto"/>
        </w:rPr>
        <w:t>261.14%</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主要原因是：上级拨专款没有支出，结存专款太多。</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5.事业收入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万元，为事业单位开展业务活动取得的收入。较2021年度决算数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0万,为事业单位在业务活动之外开展非独立核算经营活动取得的收入。较2021年度决算数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7.附属单位上缴收入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万元。较2021年度决算数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8.其他收入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万元,为预算单位在“财政拨款收入”“事业收入”“经营收入”之外取得的收入。较2021年度决算数</w:t>
      </w:r>
      <w:r>
        <w:rPr>
          <w:rFonts w:ascii="仿宋" w:hAnsi="仿宋" w:eastAsia="仿宋" w:cs="仿宋"/>
          <w:sz w:val="32"/>
          <w:u w:color="auto"/>
        </w:rPr>
        <w:t>减少</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万元,主要是所属事业单位在当年的“财政拨款收入”“事业收入”“经营收入”及“其他收入”不能保证其支出的情况下，使用以前年度积累的非财政拨款结余弥补本年度收支缺口的资金。较2021年度决算数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651375" cy="2962910"/>
            <wp:effectExtent l="4445" t="4445" r="11430" b="234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（二）本部门2022年度总支出</w:t>
      </w:r>
      <w:r>
        <w:rPr>
          <w:rFonts w:hint="eastAsia" w:ascii="仿宋" w:hAnsi="仿宋" w:eastAsia="仿宋" w:cs="仿宋"/>
          <w:sz w:val="32"/>
          <w:u w:color="auto"/>
          <w:lang w:val="en-US" w:eastAsia="zh-CN"/>
        </w:rPr>
        <w:t>16828.41</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16828.41</w:t>
      </w:r>
      <w:r>
        <w:rPr>
          <w:rFonts w:hint="eastAsia" w:ascii="仿宋" w:hAnsi="仿宋" w:eastAsia="仿宋" w:cs="仿宋"/>
          <w:sz w:val="32"/>
          <w:szCs w:val="32"/>
          <w:highlight w:val="none"/>
        </w:rPr>
        <w:t>万元，较2021年度决算数</w:t>
      </w:r>
      <w:r>
        <w:rPr>
          <w:rFonts w:ascii="仿宋" w:hAnsi="仿宋" w:eastAsia="仿宋" w:cs="仿宋"/>
          <w:sz w:val="32"/>
          <w:u w:color="auto"/>
        </w:rPr>
        <w:t>减少</w:t>
      </w:r>
      <w:r>
        <w:rPr>
          <w:rFonts w:hint="eastAsia" w:ascii="仿宋" w:hAnsi="仿宋" w:eastAsia="仿宋" w:cs="仿宋"/>
          <w:sz w:val="32"/>
          <w:u w:color="auto"/>
          <w:lang w:val="en-US" w:eastAsia="zh-CN"/>
        </w:rPr>
        <w:t>7589.05</w:t>
      </w:r>
      <w:r>
        <w:rPr>
          <w:rFonts w:hint="eastAsia" w:ascii="仿宋" w:hAnsi="仿宋" w:eastAsia="仿宋" w:cs="仿宋"/>
          <w:sz w:val="32"/>
          <w:szCs w:val="32"/>
          <w:highlight w:val="none"/>
        </w:rPr>
        <w:t>万元，</w:t>
      </w:r>
      <w:r>
        <w:rPr>
          <w:rFonts w:ascii="仿宋" w:hAnsi="仿宋" w:eastAsia="仿宋" w:cs="仿宋"/>
          <w:sz w:val="32"/>
          <w:u w:color="auto"/>
        </w:rPr>
        <w:t>下降</w:t>
      </w:r>
      <w:r>
        <w:rPr>
          <w:rFonts w:hint="eastAsia" w:ascii="仿宋" w:hAnsi="仿宋" w:eastAsia="仿宋" w:cs="仿宋"/>
          <w:sz w:val="32"/>
          <w:u w:color="auto"/>
          <w:lang w:val="en-US" w:eastAsia="zh-CN"/>
        </w:rPr>
        <w:t>45.09</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val="en-US" w:eastAsia="zh-CN" w:bidi="ar"/>
        </w:rPr>
        <w:t>一般公共服务</w:t>
      </w:r>
      <w:r>
        <w:rPr>
          <w:rFonts w:hint="eastAsia" w:ascii="仿宋" w:hAnsi="仿宋" w:eastAsia="仿宋" w:cs="仿宋"/>
          <w:sz w:val="32"/>
          <w:szCs w:val="32"/>
          <w:highlight w:val="none"/>
          <w:lang w:bidi="ar"/>
        </w:rPr>
        <w:t>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w:t>
      </w:r>
      <w:r>
        <w:rPr>
          <w:rFonts w:hint="eastAsia" w:ascii="仿宋" w:hAnsi="仿宋" w:eastAsia="仿宋" w:cs="仿宋"/>
          <w:sz w:val="32"/>
          <w:szCs w:val="32"/>
          <w:highlight w:val="none"/>
          <w:lang w:val="en-US" w:eastAsia="zh-CN" w:bidi="ar"/>
        </w:rPr>
        <w:t>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57.5</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退休干部生活补贴及日常运转工作经费</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rPr>
        <w:t>没有用这个科目</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0</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主要原因是：2021年没用这个科目。</w:t>
      </w:r>
    </w:p>
    <w:p>
      <w:pPr>
        <w:keepNext w:val="0"/>
        <w:keepLines w:val="0"/>
        <w:widowControl w:val="0"/>
        <w:suppressLineNumbers w:val="0"/>
        <w:spacing w:before="0" w:beforeAutospacing="0" w:after="0" w:afterAutospacing="0"/>
        <w:ind w:right="0" w:firstLine="320" w:firstLineChars="1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val="en-US" w:eastAsia="zh-CN"/>
        </w:rPr>
        <w:t>2</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106.53</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在职干部职工养老保险支出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bidi="ar"/>
        </w:rPr>
        <w:t>增加8.98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增长6.4</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主要原因是：2022年人员增加和养老保险基数增加。</w:t>
      </w:r>
    </w:p>
    <w:p>
      <w:pPr>
        <w:keepNext w:val="0"/>
        <w:keepLines w:val="0"/>
        <w:widowControl w:val="0"/>
        <w:suppressLineNumbers w:val="0"/>
        <w:spacing w:before="0" w:beforeAutospacing="0" w:after="0" w:afterAutospacing="0"/>
        <w:ind w:right="0" w:firstLine="320" w:firstLineChars="1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lang w:val="en-US" w:eastAsia="zh-CN"/>
        </w:rPr>
        <w:t>3</w:t>
      </w:r>
      <w:r>
        <w:rPr>
          <w:rFonts w:ascii="仿宋" w:hAnsi="仿宋" w:eastAsia="仿宋" w:cs="仿宋"/>
          <w:sz w:val="32"/>
          <w:u w:color="auto"/>
        </w:rPr>
        <w:t>.</w:t>
      </w:r>
      <w:r>
        <w:rPr>
          <w:rFonts w:hint="eastAsia" w:ascii="仿宋" w:hAnsi="仿宋" w:eastAsia="仿宋" w:cs="仿宋"/>
          <w:sz w:val="32"/>
          <w:szCs w:val="32"/>
          <w:highlight w:val="none"/>
          <w:lang w:val="en-US" w:eastAsia="zh-CN" w:bidi="ar"/>
        </w:rPr>
        <w:t>城乡社区</w:t>
      </w:r>
      <w:r>
        <w:rPr>
          <w:rFonts w:hint="eastAsia" w:ascii="仿宋" w:hAnsi="仿宋" w:eastAsia="仿宋" w:cs="仿宋"/>
          <w:sz w:val="32"/>
          <w:szCs w:val="32"/>
          <w:highlight w:val="none"/>
          <w:lang w:bidi="ar"/>
        </w:rPr>
        <w:t>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21</w:t>
      </w:r>
      <w:r>
        <w:rPr>
          <w:rFonts w:hint="eastAsia" w:ascii="仿宋" w:hAnsi="仿宋" w:eastAsia="仿宋" w:cs="仿宋"/>
          <w:sz w:val="32"/>
          <w:szCs w:val="32"/>
          <w:highlight w:val="none"/>
          <w:lang w:val="en-US" w:eastAsia="zh-CN" w:bidi="ar"/>
        </w:rPr>
        <w:t>2</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154.45</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三桥冲毁及重建资金，</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0</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主要原因是：年初没有预算该项资金，根据工作需要年中</w:t>
      </w:r>
      <w:r>
        <w:rPr>
          <w:rFonts w:ascii="宋体" w:hAnsi="宋体" w:eastAsia="宋体" w:cs="宋体"/>
          <w:sz w:val="24"/>
          <w:szCs w:val="24"/>
        </w:rPr>
        <w:t>追</w:t>
      </w:r>
      <w:r>
        <w:rPr>
          <w:rFonts w:hint="eastAsia" w:ascii="宋体" w:hAnsi="宋体" w:eastAsia="宋体" w:cs="宋体"/>
          <w:sz w:val="24"/>
          <w:szCs w:val="24"/>
          <w:lang w:val="en-US" w:eastAsia="zh-CN"/>
        </w:rPr>
        <w:t>加。</w:t>
      </w:r>
    </w:p>
    <w:p>
      <w:pPr>
        <w:keepNext w:val="0"/>
        <w:keepLines w:val="0"/>
        <w:widowControl w:val="0"/>
        <w:suppressLineNumbers w:val="0"/>
        <w:spacing w:before="0" w:beforeAutospacing="0" w:after="0" w:afterAutospacing="0"/>
        <w:ind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val="en-US" w:eastAsia="zh-CN"/>
        </w:rPr>
        <w:t>4</w:t>
      </w:r>
      <w:r>
        <w:rPr>
          <w:rFonts w:ascii="仿宋" w:hAnsi="仿宋" w:eastAsia="仿宋" w:cs="仿宋"/>
          <w:sz w:val="32"/>
          <w:u w:color="auto"/>
        </w:rPr>
        <w:t>.</w:t>
      </w:r>
      <w:r>
        <w:rPr>
          <w:rFonts w:hint="eastAsia" w:ascii="仿宋" w:hAnsi="仿宋" w:eastAsia="仿宋" w:cs="仿宋"/>
          <w:sz w:val="32"/>
          <w:szCs w:val="32"/>
          <w:highlight w:val="none"/>
          <w:lang w:val="en-US" w:eastAsia="zh-CN" w:bidi="ar"/>
        </w:rPr>
        <w:t>交通</w:t>
      </w:r>
      <w:r>
        <w:rPr>
          <w:rFonts w:hint="eastAsia" w:ascii="仿宋" w:hAnsi="仿宋" w:eastAsia="仿宋" w:cs="仿宋"/>
          <w:sz w:val="32"/>
          <w:szCs w:val="32"/>
          <w:highlight w:val="none"/>
          <w:lang w:bidi="ar"/>
        </w:rPr>
        <w:t>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21</w:t>
      </w:r>
      <w:r>
        <w:rPr>
          <w:rFonts w:hint="eastAsia" w:ascii="仿宋" w:hAnsi="仿宋" w:eastAsia="仿宋" w:cs="仿宋"/>
          <w:sz w:val="32"/>
          <w:szCs w:val="32"/>
          <w:highlight w:val="none"/>
          <w:lang w:val="en-US" w:eastAsia="zh-CN" w:bidi="ar"/>
        </w:rPr>
        <w:t>4</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16248.84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职工工资福利支出和日常正常工作运转支出；机关服务支出；公路建设支出；公路养护支出；公路和运输安全支出；公路支输支出；其他公路水路运输支出；其他铁路支出；车辆购置税用于公路基础设施建设支出；公共交通运营补助支出；其他交通支输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10751.08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66.16</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主要原因是：上级拨公路建设款没有得支付。</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lang w:val="en-US" w:eastAsia="zh-CN"/>
        </w:rPr>
        <w:t>5</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66.20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缴在职在编职工住房公积金</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bidi="ar"/>
        </w:rPr>
        <w:t>增加0.32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增长0.48</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主要原因是：增加人员。</w:t>
      </w:r>
    </w:p>
    <w:p>
      <w:pPr>
        <w:keepNext w:val="0"/>
        <w:keepLines w:val="0"/>
        <w:widowControl w:val="0"/>
        <w:suppressLineNumbers w:val="0"/>
        <w:spacing w:before="0" w:beforeAutospacing="0" w:after="0" w:afterAutospacing="0"/>
        <w:ind w:left="0" w:right="0" w:firstLine="620" w:firstLineChars="200"/>
        <w:jc w:val="left"/>
        <w:rPr>
          <w:rFonts w:hint="default" w:ascii="仿宋_GB2312" w:hAnsi="微软雅黑" w:eastAsia="仿宋_GB2312" w:cs="仿宋_GB2312"/>
          <w:i w:val="0"/>
          <w:iCs w:val="0"/>
          <w:caps w:val="0"/>
          <w:color w:val="000000"/>
          <w:spacing w:val="0"/>
          <w:sz w:val="31"/>
          <w:szCs w:val="31"/>
          <w:highlight w:val="none"/>
          <w:shd w:val="clear" w:color="auto" w:fill="FFFFFF"/>
          <w:lang w:val="en-US" w:eastAsia="zh-CN"/>
        </w:rPr>
      </w:pP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6.其支出（229类）222.64万元：主要用于：2022年在职在编职工绩效考评奖。</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：2022年以收代支，没有结余资金。</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。较2021年度决算数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813935" cy="2603500"/>
            <wp:effectExtent l="4445" t="4445" r="20320" b="2095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二、2022 年度</w:t>
      </w:r>
      <w:bookmarkStart w:id="3" w:name="OLE_LINK1"/>
      <w:r>
        <w:rPr>
          <w:rFonts w:hint="eastAsia" w:ascii="黑体" w:hAnsi="黑体" w:eastAsia="黑体" w:cs="黑体"/>
          <w:sz w:val="32"/>
          <w:szCs w:val="32"/>
          <w:highlight w:val="none"/>
        </w:rPr>
        <w:t>一般公共预算财政拨款支出决算情况</w:t>
      </w:r>
      <w:bookmarkEnd w:id="3"/>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交通运输局</w:t>
      </w:r>
      <w:r>
        <w:rPr>
          <w:rFonts w:hint="eastAsia" w:ascii="仿宋" w:hAnsi="仿宋" w:eastAsia="仿宋" w:cs="仿宋"/>
          <w:sz w:val="32"/>
          <w:szCs w:val="32"/>
          <w:highlight w:val="none"/>
        </w:rPr>
        <w:t>2022年度一般公共预算财政拨款支出</w:t>
      </w:r>
      <w:r>
        <w:rPr>
          <w:rFonts w:hint="eastAsia" w:ascii="仿宋" w:hAnsi="仿宋" w:eastAsia="仿宋" w:cs="仿宋"/>
          <w:sz w:val="32"/>
          <w:u w:color="auto"/>
          <w:lang w:val="en-US" w:eastAsia="zh-CN"/>
        </w:rPr>
        <w:t>16673.96</w:t>
      </w:r>
      <w:r>
        <w:rPr>
          <w:rFonts w:hint="eastAsia" w:ascii="仿宋" w:hAnsi="仿宋" w:eastAsia="仿宋" w:cs="仿宋"/>
          <w:sz w:val="32"/>
          <w:szCs w:val="32"/>
          <w:highlight w:val="none"/>
        </w:rPr>
        <w:t>万元，较2021年度决算数</w:t>
      </w:r>
      <w:r>
        <w:rPr>
          <w:rFonts w:ascii="仿宋" w:hAnsi="仿宋" w:eastAsia="仿宋" w:cs="仿宋"/>
          <w:sz w:val="32"/>
          <w:u w:color="auto"/>
        </w:rPr>
        <w:t>减少</w:t>
      </w:r>
      <w:r>
        <w:rPr>
          <w:rFonts w:hint="eastAsia" w:ascii="仿宋" w:hAnsi="仿宋" w:eastAsia="仿宋" w:cs="仿宋"/>
          <w:sz w:val="32"/>
          <w:u w:color="auto"/>
          <w:lang w:val="en-US" w:eastAsia="zh-CN"/>
        </w:rPr>
        <w:t>7743.45</w:t>
      </w:r>
      <w:r>
        <w:rPr>
          <w:rFonts w:hint="eastAsia" w:ascii="仿宋" w:hAnsi="仿宋" w:eastAsia="仿宋" w:cs="仿宋"/>
          <w:sz w:val="32"/>
          <w:szCs w:val="32"/>
          <w:highlight w:val="none"/>
        </w:rPr>
        <w:t>万元，</w:t>
      </w:r>
      <w:r>
        <w:rPr>
          <w:rFonts w:ascii="仿宋" w:hAnsi="仿宋" w:eastAsia="仿宋" w:cs="仿宋"/>
          <w:sz w:val="32"/>
          <w:u w:color="auto"/>
        </w:rPr>
        <w:t>下降</w:t>
      </w:r>
      <w:r>
        <w:rPr>
          <w:rFonts w:hint="eastAsia" w:ascii="仿宋" w:hAnsi="仿宋" w:eastAsia="仿宋" w:cs="仿宋"/>
          <w:sz w:val="32"/>
          <w:u w:color="auto"/>
          <w:lang w:val="en-US" w:eastAsia="zh-CN"/>
        </w:rPr>
        <w:t>46.44</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952.72</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15721.23</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交通运输局</w:t>
      </w:r>
      <w:r>
        <w:rPr>
          <w:rFonts w:hint="eastAsia" w:ascii="仿宋" w:hAnsi="仿宋" w:eastAsia="仿宋" w:cs="仿宋"/>
          <w:sz w:val="32"/>
          <w:szCs w:val="32"/>
          <w:highlight w:val="none"/>
        </w:rPr>
        <w:t>2022 年度一般公共预算财政拨款支出年初预算为</w:t>
      </w:r>
      <w:r>
        <w:rPr>
          <w:rFonts w:hint="eastAsia" w:ascii="仿宋" w:hAnsi="仿宋" w:eastAsia="仿宋" w:cs="仿宋"/>
          <w:sz w:val="32"/>
          <w:u w:color="auto"/>
          <w:lang w:val="en-US" w:eastAsia="zh-CN"/>
        </w:rPr>
        <w:t>1114.78</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16673.96</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135.57</w:t>
      </w:r>
      <w:r>
        <w:rPr>
          <w:rFonts w:ascii="仿宋" w:hAnsi="仿宋" w:eastAsia="仿宋" w:cs="仿宋"/>
          <w:sz w:val="32"/>
          <w:u w:color="auto"/>
        </w:rPr>
        <w:t>%</w:t>
      </w:r>
      <w:r>
        <w:rPr>
          <w:rFonts w:hint="eastAsia" w:ascii="仿宋" w:hAnsi="仿宋" w:eastAsia="仿宋" w:cs="仿宋"/>
          <w:sz w:val="32"/>
          <w:szCs w:val="32"/>
          <w:highlight w:val="none"/>
        </w:rPr>
        <w:t>。</w:t>
      </w:r>
    </w:p>
    <w:p>
      <w:pPr>
        <w:jc w:val="left"/>
        <w:rPr>
          <w:rFonts w:hint="eastAsia" w:ascii="仿宋" w:hAnsi="仿宋" w:eastAsia="仿宋"/>
          <w:sz w:val="32"/>
          <w:szCs w:val="32"/>
          <w:highlight w:val="none"/>
        </w:rPr>
      </w:pPr>
      <w:bookmarkStart w:id="4" w:name="OLE_LINK2"/>
      <w:bookmarkEnd w:id="4"/>
      <w:r>
        <w:rPr>
          <w:rFonts w:hint="eastAsia" w:ascii="仿宋" w:hAnsi="仿宋" w:eastAsia="仿宋"/>
          <w:sz w:val="32"/>
          <w:szCs w:val="32"/>
          <w:highlight w:val="none"/>
        </w:rPr>
        <w:t xml:space="preserve"> </w:t>
      </w:r>
      <w:r>
        <w:rPr>
          <w:rFonts w:hint="eastAsia" w:ascii="仿宋" w:hAnsi="仿宋" w:eastAsia="仿宋"/>
          <w:sz w:val="32"/>
          <w:szCs w:val="32"/>
          <w:highlight w:val="none"/>
          <w:lang w:val="en-US" w:eastAsia="zh-CN"/>
        </w:rPr>
        <w:t xml:space="preserve">   （一）一般公共服务</w:t>
      </w:r>
      <w:r>
        <w:rPr>
          <w:rFonts w:hint="eastAsia" w:ascii="仿宋" w:hAnsi="仿宋" w:eastAsia="仿宋"/>
          <w:sz w:val="32"/>
          <w:szCs w:val="32"/>
          <w:highlight w:val="none"/>
        </w:rPr>
        <w:t>支出</w:t>
      </w:r>
      <w:r>
        <w:rPr>
          <w:rFonts w:ascii="仿宋" w:hAnsi="仿宋" w:eastAsia="仿宋"/>
          <w:sz w:val="32"/>
          <w:u w:color="auto"/>
        </w:rPr>
        <w:t>（20</w:t>
      </w:r>
      <w:r>
        <w:rPr>
          <w:rFonts w:hint="eastAsia" w:ascii="仿宋" w:hAnsi="仿宋" w:eastAsia="仿宋"/>
          <w:sz w:val="32"/>
          <w:u w:color="auto"/>
          <w:lang w:val="en-US" w:eastAsia="zh-CN"/>
        </w:rPr>
        <w:t>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31.86</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28.75</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90.23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退休人员死亡，支出退休生活补少了结余资金。</w:t>
      </w: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2010101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19.8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16.69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84.29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用于退休干部职工生活补助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退休人员死亡支出生活补贴少了结余资鑫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12.06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12.06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322445" cy="2730500"/>
            <wp:effectExtent l="4445" t="4445" r="16510" b="825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suppressLineNumbers w:val="0"/>
        <w:spacing w:before="0" w:beforeAutospacing="0" w:after="0" w:afterAutospacing="0"/>
        <w:ind w:right="0" w:firstLine="320" w:firstLineChars="1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sz w:val="32"/>
          <w:szCs w:val="32"/>
          <w:highlight w:val="none"/>
          <w:lang w:val="en-US" w:eastAsia="zh-CN"/>
        </w:rPr>
        <w:t>（二)</w:t>
      </w: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96.47</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106.53</w:t>
      </w:r>
      <w:r>
        <w:rPr>
          <w:rFonts w:hint="eastAsia" w:ascii="仿宋" w:hAnsi="仿宋" w:eastAsia="仿宋"/>
          <w:sz w:val="32"/>
          <w:szCs w:val="32"/>
          <w:highlight w:val="none"/>
        </w:rPr>
        <w:t>万元，完成年初预算</w:t>
      </w:r>
      <w:r>
        <w:rPr>
          <w:rFonts w:hint="eastAsia" w:ascii="仿宋" w:hAnsi="仿宋" w:eastAsia="仿宋"/>
          <w:sz w:val="32"/>
          <w:szCs w:val="32"/>
          <w:highlight w:val="none"/>
          <w:lang w:val="en-US" w:eastAsia="zh-CN"/>
        </w:rPr>
        <w:t>110.42</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2022年人员增加和养老保险基数增加。</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96.47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106.53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110.42%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在职干部职工养老保险支出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2022年人员增加和养老保险基数增加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96.47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106.53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199890" cy="2930525"/>
            <wp:effectExtent l="4445" t="4445" r="5715" b="17780"/>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suppressLineNumbers w:val="0"/>
        <w:spacing w:before="0" w:beforeAutospacing="0" w:after="0" w:afterAutospacing="0"/>
        <w:ind w:right="0" w:firstLine="320" w:firstLineChars="100"/>
        <w:jc w:val="left"/>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三</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交通</w:t>
      </w:r>
      <w:r>
        <w:rPr>
          <w:rFonts w:hint="eastAsia" w:ascii="仿宋" w:hAnsi="仿宋" w:eastAsia="仿宋"/>
          <w:sz w:val="32"/>
          <w:szCs w:val="32"/>
          <w:highlight w:val="none"/>
        </w:rPr>
        <w:t>支出</w:t>
      </w:r>
      <w:r>
        <w:rPr>
          <w:rFonts w:ascii="仿宋" w:hAnsi="仿宋" w:eastAsia="仿宋"/>
          <w:sz w:val="32"/>
          <w:u w:color="auto"/>
        </w:rPr>
        <w:t>（21</w:t>
      </w:r>
      <w:r>
        <w:rPr>
          <w:rFonts w:hint="eastAsia" w:ascii="仿宋" w:hAnsi="仿宋" w:eastAsia="仿宋"/>
          <w:sz w:val="32"/>
          <w:u w:color="auto"/>
          <w:lang w:val="en-US" w:eastAsia="zh-CN"/>
        </w:rPr>
        <w:t>4</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820.5</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16248.84</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196.03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原因是：上级拨入专款。</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2140101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378.64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415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105.65%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用于职工工资及日常公用经费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增加人员及调资增资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2140103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机关服务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9.01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用于职工死亡的恤怃金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年初没有预算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2140104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公路建设</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13691.44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用于百祥至加兴，何狂至坡圆三级路工程款</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上级拨入专款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2140106</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公路养护</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357.06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1001.69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280.53%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用于农村公路日常保养及水毁维修</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18"/>
                <w:szCs w:val="18"/>
                <w:highlight w:val="none"/>
                <w:lang w:val="en-US" w:eastAsia="zh-CN"/>
              </w:rPr>
            </w:pPr>
            <w:r>
              <w:rPr>
                <w:rFonts w:hint="eastAsia" w:ascii="宋体" w:hAnsi="宋体" w:eastAsia="宋体" w:cs="宋体"/>
                <w:i w:val="0"/>
                <w:iCs w:val="0"/>
                <w:color w:val="auto"/>
                <w:sz w:val="18"/>
                <w:szCs w:val="18"/>
                <w:highlight w:val="none"/>
                <w:u w:val="none"/>
                <w:lang w:val="en-US" w:eastAsia="zh-CN"/>
              </w:rPr>
              <w:t>上级拨入专款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2140110</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公路和运输安全</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34.99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174.95%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购买公务用车及可持续发展</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18"/>
                <w:szCs w:val="18"/>
                <w:highlight w:val="none"/>
                <w:lang w:val="en-US" w:eastAsia="zh-CN"/>
              </w:rPr>
            </w:pPr>
            <w:r>
              <w:rPr>
                <w:rFonts w:hint="eastAsia" w:ascii="宋体" w:hAnsi="宋体" w:eastAsia="宋体" w:cs="宋体"/>
                <w:i w:val="0"/>
                <w:iCs w:val="0"/>
                <w:color w:val="auto"/>
                <w:sz w:val="18"/>
                <w:szCs w:val="18"/>
                <w:highlight w:val="none"/>
                <w:u w:val="none"/>
                <w:lang w:val="en-US" w:eastAsia="zh-CN"/>
              </w:rPr>
              <w:t>上级拨入专款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2140112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公路运输管理</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32.00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32.55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101.71%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用于交通运输综合行政执法人员工作经费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FF0000"/>
                <w:sz w:val="18"/>
                <w:szCs w:val="18"/>
                <w:highlight w:val="none"/>
                <w:lang w:val="en-US" w:eastAsia="zh-CN"/>
              </w:rPr>
            </w:pPr>
            <w:r>
              <w:rPr>
                <w:rFonts w:hint="eastAsia" w:ascii="仿宋" w:hAnsi="仿宋" w:eastAsia="仿宋" w:cs="仿宋"/>
                <w:color w:val="auto"/>
                <w:sz w:val="18"/>
                <w:szCs w:val="18"/>
                <w:highlight w:val="none"/>
                <w:lang w:val="en-US" w:eastAsia="zh-CN"/>
              </w:rPr>
              <w:t>调剂其他指标用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2140199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其他公路水路运佃</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527.32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用于农村客运出租车，公交车油价补贴</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18"/>
                <w:szCs w:val="18"/>
                <w:highlight w:val="none"/>
                <w:lang w:val="en-US" w:eastAsia="zh-CN"/>
              </w:rPr>
            </w:pPr>
            <w:r>
              <w:rPr>
                <w:rFonts w:hint="eastAsia" w:ascii="宋体" w:hAnsi="宋体" w:eastAsia="宋体" w:cs="宋体"/>
                <w:i w:val="0"/>
                <w:iCs w:val="0"/>
                <w:color w:val="auto"/>
                <w:sz w:val="18"/>
                <w:szCs w:val="18"/>
                <w:highlight w:val="none"/>
                <w:u w:val="none"/>
                <w:lang w:val="en-US" w:eastAsia="zh-CN"/>
              </w:rPr>
              <w:t>上级拨入专款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2140299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其他铁路运输</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44.6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用于高铁站PPP项目资咨 服务费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宋体"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年初没有预算，年中追加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2140601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0</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439.64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439.64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2"/>
                <w:sz w:val="18"/>
                <w:szCs w:val="18"/>
                <w:highlight w:val="none"/>
                <w:u w:val="none"/>
                <w:lang w:val="en-US" w:eastAsia="zh-CN" w:bidi="ar-SA"/>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用于人和至重楼公路等路面提升工程</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u w:val="none"/>
                <w:lang w:val="en-US" w:eastAsia="zh-CN"/>
              </w:rPr>
              <w:t>上级拨入专款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2149901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0</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32.8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24.00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73.17%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用于建制村通车营运补贴</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项目资金需求少了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2149999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0</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29.6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29.6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用于全国自然灾害综合风险费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年初没有预算，年中</w:t>
            </w:r>
            <w:r>
              <w:rPr>
                <w:rFonts w:hint="eastAsia" w:ascii="仿宋" w:hAnsi="仿宋" w:eastAsia="仿宋" w:cs="仿宋"/>
                <w:b w:val="0"/>
                <w:bCs w:val="0"/>
                <w:color w:val="auto"/>
                <w:sz w:val="24"/>
                <w:szCs w:val="24"/>
                <w:lang w:val="en-US" w:eastAsia="zh-CN"/>
              </w:rPr>
              <w:t>追加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820.5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16248.84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114.8%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按实际用途填写</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按照实际原因填写</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5151120" cy="3310890"/>
            <wp:effectExtent l="4445" t="4445" r="6985" b="184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numPr>
          <w:ilvl w:val="0"/>
          <w:numId w:val="0"/>
        </w:numPr>
        <w:ind w:firstLine="640" w:firstLineChars="200"/>
        <w:jc w:val="left"/>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四</w:t>
      </w:r>
      <w:r>
        <w:rPr>
          <w:rFonts w:hint="eastAsia" w:ascii="仿宋" w:hAnsi="仿宋" w:eastAsia="仿宋"/>
          <w:sz w:val="32"/>
          <w:szCs w:val="32"/>
          <w:highlight w:val="none"/>
          <w:lang w:eastAsia="zh-CN"/>
        </w:rPr>
        <w:t>）</w:t>
      </w: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66.52</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66.2</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95.51</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原因是：人员退休缴费减少。</w:t>
      </w:r>
    </w:p>
    <w:p>
      <w:pPr>
        <w:numPr>
          <w:ilvl w:val="0"/>
          <w:numId w:val="0"/>
        </w:num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66.52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66.2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95.51%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用于干部职工的住房公积金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olor w:val="000000" w:themeColor="text1"/>
                <w:sz w:val="24"/>
                <w:szCs w:val="24"/>
                <w:highlight w:val="none"/>
                <w:lang w:val="en-US" w:eastAsia="zh-CN"/>
                <w14:textFill>
                  <w14:solidFill>
                    <w14:schemeClr w14:val="tx1"/>
                  </w14:solidFill>
                </w14:textFill>
              </w:rPr>
              <w:t>人员退休缴费减少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66.52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66.2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95.51%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798060" cy="2357755"/>
            <wp:effectExtent l="4445" t="5080" r="17145" b="184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0"/>
        </w:numPr>
        <w:suppressLineNumbers w:val="0"/>
        <w:spacing w:before="0" w:beforeAutospacing="0" w:after="0" w:afterAutospacing="0"/>
        <w:ind w:right="0" w:rightChars="0"/>
        <w:jc w:val="left"/>
        <w:rPr>
          <w:rFonts w:hint="default" w:eastAsia="仿宋"/>
          <w:color w:val="auto"/>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五</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其他</w:t>
      </w:r>
      <w:r>
        <w:rPr>
          <w:rFonts w:hint="eastAsia" w:ascii="仿宋" w:hAnsi="仿宋" w:eastAsia="仿宋"/>
          <w:sz w:val="32"/>
          <w:szCs w:val="32"/>
          <w:highlight w:val="none"/>
        </w:rPr>
        <w:t>支出</w:t>
      </w:r>
      <w:r>
        <w:rPr>
          <w:rFonts w:ascii="仿宋" w:hAnsi="仿宋" w:eastAsia="仿宋"/>
          <w:sz w:val="32"/>
          <w:u w:color="auto"/>
        </w:rPr>
        <w:t>（2</w:t>
      </w:r>
      <w:r>
        <w:rPr>
          <w:rFonts w:hint="eastAsia" w:ascii="仿宋" w:hAnsi="仿宋" w:eastAsia="仿宋"/>
          <w:sz w:val="32"/>
          <w:u w:color="auto"/>
          <w:lang w:val="en-US" w:eastAsia="zh-CN"/>
        </w:rPr>
        <w:t>29</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222.64</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年初没有预算，年终支付职工绩效考评奖。</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奖励性补贴</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222.64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用于2022年职工的绩效奖</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4"/>
                <w:szCs w:val="24"/>
                <w:highlight w:val="none"/>
                <w:lang w:val="en-US" w:eastAsia="zh-CN"/>
              </w:rPr>
              <w:t>年初没有预算，年中</w:t>
            </w:r>
            <w:r>
              <w:rPr>
                <w:rFonts w:hint="default" w:ascii="宋体" w:hAnsi="宋体" w:eastAsia="宋体" w:cs="宋体"/>
                <w:b w:val="0"/>
                <w:bCs w:val="0"/>
                <w:color w:val="auto"/>
                <w:sz w:val="24"/>
                <w:szCs w:val="24"/>
              </w:rPr>
              <w:t>追</w:t>
            </w:r>
            <w:r>
              <w:rPr>
                <w:rFonts w:hint="eastAsia" w:ascii="宋体" w:hAnsi="宋体" w:eastAsia="宋体" w:cs="宋体"/>
                <w:b w:val="0"/>
                <w:bCs w:val="0"/>
                <w:color w:val="auto"/>
                <w:sz w:val="24"/>
                <w:szCs w:val="24"/>
                <w:lang w:val="en-US" w:eastAsia="zh-CN"/>
              </w:rPr>
              <w:t>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222.64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218305" cy="2196465"/>
            <wp:effectExtent l="4445" t="4445" r="6350" b="8890"/>
            <wp:docPr id="7"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三、2022年度一般公共预算财政拨款基本支出决算情况说明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交通运输局</w:t>
      </w:r>
      <w:r>
        <w:rPr>
          <w:rFonts w:hint="eastAsia" w:ascii="仿宋" w:hAnsi="仿宋" w:eastAsia="仿宋" w:cs="仿宋"/>
          <w:sz w:val="32"/>
          <w:szCs w:val="32"/>
          <w:highlight w:val="none"/>
        </w:rPr>
        <w:t>2022年度一般公共预算财政拨款基本支出</w:t>
      </w:r>
      <w:r>
        <w:rPr>
          <w:rFonts w:hint="eastAsia" w:ascii="仿宋" w:hAnsi="仿宋" w:eastAsia="仿宋" w:cs="仿宋"/>
          <w:sz w:val="32"/>
          <w:u w:color="auto"/>
          <w:lang w:val="en-US" w:eastAsia="zh-CN"/>
        </w:rPr>
        <w:t>952.72</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917.84</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34.88</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hint="default" w:ascii="仿宋" w:hAnsi="仿宋" w:eastAsia="仿宋" w:cs="仿宋"/>
          <w:color w:val="auto"/>
          <w:sz w:val="32"/>
          <w:szCs w:val="32"/>
          <w:highlight w:val="none"/>
          <w:lang w:val="en-US" w:eastAsia="zh-CN"/>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799.72</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122.79</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sz w:val="32"/>
          <w:szCs w:val="32"/>
          <w:highlight w:val="none"/>
          <w:lang w:val="en-US" w:eastAsia="zh-CN"/>
        </w:rPr>
        <w:t>增加绩效考评奖。</w:t>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245.8万元，30102津贴补贴41.22万元，30103奖金171.91万元，30106伙食补助费11.8万元，30107绩效工资92.86万元，30108机关事业单位基本养老保险缴费106.53万元，30110职工基本医疗保险缴费39.85万元，30111公务员医疗补助缴费0万元，30112其他社会保障缴费3.20万元，30113住房公积金66.20万元，30199其他工资福利支出20.32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3894455" cy="2206625"/>
            <wp:effectExtent l="4445" t="4445" r="6350" b="17780"/>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34.88</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106.16</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主要原因是：人员增加公务员通信费增加。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30201办公费17.21万元，30207邮电费1.462万元，30211差旅费0万元，30215会议费0万元，30216培训费0万元，30226劳务费0.16万元，30228工会经费12.06万元，30213维护费0.238万元，30239其他交通费用支出3.75万元。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61.36</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368.2</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主要原因是：2022年有退休人员和在职干部死亡，增加抚恤金32.63万元。</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30301离休费0万元，30302退休费22.2049万元，30305生活补助7.311万元，抚恤金32.63万元。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sz w:val="32"/>
          <w:szCs w:val="32"/>
          <w:highlight w:val="none"/>
          <w:lang w:val="en-US" w:eastAsia="zh-CN"/>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hint="eastAsia" w:ascii="仿宋" w:hAnsi="仿宋" w:eastAsia="仿宋" w:cs="仿宋"/>
          <w:sz w:val="32"/>
          <w:u w:color="auto"/>
          <w:lang w:val="en-US" w:eastAsia="zh-CN"/>
        </w:rPr>
        <w:t>222.64</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年初没有预算，年终支付职工绩效考评奖。</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支付2022年在职在编职工年终绩效考评奖。</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四、2022年度政府性基金支出决算情况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交通运输局</w:t>
      </w:r>
      <w:r>
        <w:rPr>
          <w:rFonts w:hint="eastAsia" w:ascii="仿宋" w:hAnsi="仿宋" w:eastAsia="仿宋" w:cs="仿宋"/>
          <w:sz w:val="32"/>
          <w:szCs w:val="32"/>
          <w:highlight w:val="none"/>
        </w:rPr>
        <w:t>2022年度政府性基金支出</w:t>
      </w:r>
      <w:r>
        <w:rPr>
          <w:rFonts w:hint="eastAsia" w:ascii="仿宋" w:hAnsi="仿宋" w:eastAsia="仿宋" w:cs="仿宋"/>
          <w:sz w:val="32"/>
          <w:szCs w:val="32"/>
          <w:highlight w:val="none"/>
          <w:lang w:val="en-US" w:eastAsia="zh-CN"/>
        </w:rPr>
        <w:t>154.45</w:t>
      </w:r>
      <w:r>
        <w:rPr>
          <w:rFonts w:hint="eastAsia" w:ascii="仿宋" w:hAnsi="仿宋" w:eastAsia="仿宋" w:cs="仿宋"/>
          <w:sz w:val="32"/>
          <w:szCs w:val="32"/>
          <w:highlight w:val="none"/>
        </w:rPr>
        <w:t>万元，较2021年度决算数</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154.45</w:t>
      </w:r>
      <w:r>
        <w:rPr>
          <w:rFonts w:hint="eastAsia" w:ascii="仿宋" w:hAnsi="仿宋" w:eastAsia="仿宋" w:cs="仿宋"/>
          <w:sz w:val="32"/>
          <w:szCs w:val="32"/>
          <w:highlight w:val="none"/>
        </w:rPr>
        <w:t>万元，</w:t>
      </w:r>
      <w:r>
        <w:rPr>
          <w:rFonts w:ascii="仿宋" w:hAnsi="仿宋" w:eastAsia="仿宋" w:cs="仿宋"/>
          <w:sz w:val="32"/>
          <w:szCs w:val="32"/>
          <w:highlight w:val="none"/>
        </w:rPr>
        <w:t>增长</w:t>
      </w:r>
      <w:r>
        <w:rPr>
          <w:rFonts w:hint="eastAsia" w:ascii="仿宋" w:hAnsi="仿宋" w:eastAsia="仿宋" w:cs="仿宋"/>
          <w:sz w:val="32"/>
          <w:szCs w:val="32"/>
          <w:highlight w:val="none"/>
          <w:lang w:val="en-US" w:eastAsia="zh-CN"/>
        </w:rPr>
        <w:t>10</w:t>
      </w:r>
      <w:r>
        <w:rPr>
          <w:rFonts w:ascii="仿宋" w:hAnsi="仿宋" w:eastAsia="仿宋" w:cs="仿宋"/>
          <w:sz w:val="32"/>
          <w:szCs w:val="32"/>
          <w:highlight w:val="none"/>
        </w:rPr>
        <w:t>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154.45</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交通运输局</w:t>
      </w:r>
      <w:r>
        <w:rPr>
          <w:rFonts w:hint="eastAsia" w:ascii="仿宋" w:hAnsi="仿宋" w:eastAsia="仿宋" w:cs="仿宋"/>
          <w:sz w:val="32"/>
          <w:szCs w:val="32"/>
          <w:highlight w:val="none"/>
        </w:rPr>
        <w:t>2022年度政府性基金支出年初预算为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154.45</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五、2022年度国有资本经营预算支出决算情况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交运输局</w:t>
      </w:r>
      <w:r>
        <w:rPr>
          <w:rFonts w:hint="eastAsia" w:ascii="仿宋" w:hAnsi="仿宋" w:eastAsia="仿宋" w:cs="仿宋"/>
          <w:sz w:val="32"/>
          <w:szCs w:val="32"/>
          <w:highlight w:val="none"/>
        </w:rPr>
        <w:t>2022年度国有资本经营预算支出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交通输局</w:t>
      </w:r>
      <w:r>
        <w:rPr>
          <w:rFonts w:hint="eastAsia" w:ascii="仿宋" w:hAnsi="仿宋" w:eastAsia="仿宋" w:cs="仿宋"/>
          <w:sz w:val="32"/>
          <w:szCs w:val="32"/>
          <w:highlight w:val="none"/>
        </w:rPr>
        <w:t>2022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sz w:val="32"/>
          <w:szCs w:val="32"/>
          <w:highlight w:val="none"/>
        </w:rPr>
      </w:pPr>
      <w:bookmarkStart w:id="5" w:name="PO_part3A5B1C1DiffReason1"/>
      <w:r>
        <w:rPr>
          <w:rFonts w:hint="eastAsia" w:ascii="仿宋_GB2312" w:hAnsi="Times New Roman" w:eastAsia="仿宋_GB2312" w:cs="Times New Roman"/>
          <w:color w:val="auto"/>
          <w:sz w:val="32"/>
          <w:szCs w:val="32"/>
          <w:lang w:val="en-US" w:eastAsia="zh-CN"/>
        </w:rPr>
        <w:t>交通运输局</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仿宋_GB2312" w:eastAsia="仿宋_GB2312" w:cs="仿宋_GB2312"/>
          <w:color w:val="auto"/>
          <w:sz w:val="32"/>
          <w:u w:color="auto"/>
          <w:lang w:val="en-US" w:eastAsia="zh-CN"/>
        </w:rPr>
        <w:t>安排的支出</w:t>
      </w:r>
      <w:bookmarkStart w:id="7" w:name="_GoBack"/>
      <w:bookmarkEnd w:id="7"/>
      <w:r>
        <w:rPr>
          <w:rFonts w:hint="eastAsia" w:ascii="仿宋_GB2312" w:hAnsi="Times New Roman" w:eastAsia="仿宋_GB2312" w:cs="Times New Roman"/>
          <w:color w:val="auto"/>
          <w:sz w:val="32"/>
          <w:szCs w:val="32"/>
          <w:lang w:eastAsia="zh-CN"/>
        </w:rPr>
        <w:t>。</w:t>
      </w:r>
      <w:bookmarkEnd w:id="5"/>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2022年度一般公共预算财政拨款安排的“三公”经费支出</w:t>
      </w:r>
      <w:r>
        <w:rPr>
          <w:rFonts w:hint="eastAsia" w:ascii="仿宋" w:hAnsi="仿宋" w:eastAsia="仿宋" w:cs="仿宋"/>
          <w:sz w:val="32"/>
          <w:szCs w:val="32"/>
          <w:highlight w:val="none"/>
          <w:lang w:val="en-US" w:eastAsia="zh-CN"/>
        </w:rPr>
        <w:t>25.00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80.6</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主要原因是：公务用车购置费及公务车运行维护费年初预算安排23万元，实际支出18.92万元；公务接待费安排2.00万元，实际支出1.23万元。</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hint="eastAsia" w:ascii="仿宋" w:hAnsi="仿宋" w:eastAsia="仿宋" w:cs="仿宋"/>
          <w:sz w:val="32"/>
          <w:szCs w:val="32"/>
          <w:highlight w:val="none"/>
          <w:lang w:val="en-US" w:eastAsia="zh-CN"/>
        </w:rPr>
        <w:t>18.92</w:t>
      </w:r>
      <w:r>
        <w:rPr>
          <w:rFonts w:hint="eastAsia" w:ascii="仿宋" w:hAnsi="仿宋" w:eastAsia="仿宋" w:cs="仿宋"/>
          <w:sz w:val="32"/>
          <w:szCs w:val="32"/>
          <w:highlight w:val="none"/>
        </w:rPr>
        <w:t>万元，公务接待费支出决算</w:t>
      </w:r>
      <w:r>
        <w:rPr>
          <w:rFonts w:ascii="仿宋" w:hAnsi="仿宋" w:eastAsia="仿宋" w:cs="仿宋"/>
          <w:sz w:val="32"/>
          <w:szCs w:val="32"/>
          <w:highlight w:val="none"/>
        </w:rPr>
        <w:t>1.</w:t>
      </w:r>
      <w:r>
        <w:rPr>
          <w:rFonts w:hint="eastAsia" w:ascii="仿宋" w:hAnsi="仿宋" w:eastAsia="仿宋" w:cs="仿宋"/>
          <w:sz w:val="32"/>
          <w:szCs w:val="32"/>
          <w:highlight w:val="none"/>
          <w:lang w:val="en-US" w:eastAsia="zh-CN"/>
        </w:rPr>
        <w:t>23</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numPr>
          <w:ilvl w:val="0"/>
          <w:numId w:val="2"/>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万元。全年因公出国（境）团组共计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p>
    <w:p>
      <w:pPr>
        <w:numPr>
          <w:ilvl w:val="0"/>
          <w:numId w:val="0"/>
        </w:numPr>
        <w:ind w:firstLine="640" w:firstLineChars="200"/>
        <w:jc w:val="left"/>
        <w:rPr>
          <w:rFonts w:hint="eastAsia" w:ascii="仿宋" w:hAnsi="仿宋" w:eastAsia="仿宋" w:cs="仿宋"/>
          <w:color w:val="auto"/>
          <w:sz w:val="32"/>
          <w:szCs w:val="32"/>
        </w:rPr>
      </w:pPr>
      <w:r>
        <w:rPr>
          <w:rFonts w:hint="eastAsia" w:ascii="仿宋" w:hAnsi="仿宋" w:eastAsia="仿宋" w:cs="仿宋"/>
          <w:sz w:val="32"/>
          <w:szCs w:val="32"/>
          <w:highlight w:val="none"/>
        </w:rPr>
        <w:t>（二）公务用车购置及运行维护费</w:t>
      </w:r>
      <w:r>
        <w:rPr>
          <w:rFonts w:hint="eastAsia" w:ascii="仿宋" w:hAnsi="仿宋" w:eastAsia="仿宋" w:cs="仿宋"/>
          <w:sz w:val="32"/>
          <w:u w:color="auto"/>
          <w:lang w:val="en-US" w:eastAsia="zh-CN"/>
        </w:rPr>
        <w:t>18.92</w:t>
      </w:r>
      <w:r>
        <w:rPr>
          <w:rFonts w:hint="eastAsia" w:ascii="仿宋" w:hAnsi="仿宋" w:eastAsia="仿宋" w:cs="仿宋"/>
          <w:sz w:val="32"/>
          <w:szCs w:val="32"/>
          <w:highlight w:val="none"/>
        </w:rPr>
        <w:t>万元。其中：公务用车购置支出</w:t>
      </w:r>
      <w:r>
        <w:rPr>
          <w:rFonts w:hint="eastAsia" w:ascii="仿宋" w:hAnsi="仿宋" w:eastAsia="仿宋" w:cs="仿宋"/>
          <w:sz w:val="32"/>
          <w:u w:color="auto"/>
          <w:lang w:val="en-US" w:eastAsia="zh-CN"/>
        </w:rPr>
        <w:t>15.92</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79.6</w:t>
      </w:r>
      <w:r>
        <w:rPr>
          <w:rFonts w:ascii="仿宋" w:hAnsi="仿宋" w:eastAsia="仿宋" w:cs="仿宋"/>
          <w:sz w:val="32"/>
          <w:u w:color="auto"/>
        </w:rPr>
        <w:t>%</w:t>
      </w:r>
      <w:r>
        <w:rPr>
          <w:rFonts w:hint="eastAsia" w:ascii="仿宋" w:hAnsi="仿宋" w:eastAsia="仿宋" w:cs="仿宋"/>
          <w:sz w:val="32"/>
          <w:szCs w:val="32"/>
          <w:highlight w:val="none"/>
        </w:rPr>
        <w:t>，比上年</w:t>
      </w:r>
      <w:r>
        <w:rPr>
          <w:rFonts w:ascii="仿宋" w:hAnsi="仿宋" w:eastAsia="仿宋" w:cs="仿宋"/>
          <w:sz w:val="32"/>
          <w:u w:color="auto"/>
        </w:rPr>
        <w:t>增加</w:t>
      </w:r>
      <w:r>
        <w:rPr>
          <w:rFonts w:hint="eastAsia" w:ascii="仿宋" w:hAnsi="仿宋" w:eastAsia="仿宋" w:cs="仿宋"/>
          <w:sz w:val="32"/>
          <w:u w:color="auto"/>
          <w:lang w:val="en-US" w:eastAsia="zh-CN"/>
        </w:rPr>
        <w:t>20.00</w:t>
      </w:r>
      <w:r>
        <w:rPr>
          <w:rFonts w:hint="eastAsia" w:ascii="仿宋" w:hAnsi="仿宋" w:eastAsia="仿宋" w:cs="仿宋"/>
          <w:sz w:val="32"/>
          <w:szCs w:val="32"/>
          <w:highlight w:val="none"/>
        </w:rPr>
        <w:t xml:space="preserve"> 万元。</w:t>
      </w:r>
      <w:r>
        <w:rPr>
          <w:rFonts w:hint="eastAsia" w:ascii="仿宋" w:hAnsi="仿宋" w:eastAsia="仿宋" w:cs="仿宋"/>
          <w:color w:val="auto"/>
          <w:sz w:val="32"/>
          <w:szCs w:val="32"/>
        </w:rPr>
        <w:t>主要原因是</w:t>
      </w:r>
      <w:bookmarkStart w:id="6" w:name="PO_part3A6B2IncReason1"/>
      <w:r>
        <w:rPr>
          <w:rFonts w:hint="eastAsia" w:ascii="仿宋" w:hAnsi="仿宋" w:eastAsia="仿宋" w:cs="仿宋"/>
          <w:color w:val="auto"/>
          <w:sz w:val="32"/>
          <w:szCs w:val="32"/>
          <w:lang w:val="en-US" w:eastAsia="zh-CN"/>
        </w:rPr>
        <w:t>2022年初预算财政安排20万元购买公务用车。</w:t>
      </w:r>
      <w:bookmarkEnd w:id="6"/>
    </w:p>
    <w:p>
      <w:pPr>
        <w:ind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32"/>
          <w:szCs w:val="32"/>
          <w:highlight w:val="none"/>
        </w:rPr>
        <w:t>公务用车运行维护支出</w:t>
      </w:r>
      <w:r>
        <w:rPr>
          <w:rFonts w:hint="eastAsia" w:ascii="仿宋" w:hAnsi="仿宋" w:eastAsia="仿宋" w:cs="仿宋"/>
          <w:sz w:val="32"/>
          <w:u w:color="auto"/>
          <w:lang w:val="en-US" w:eastAsia="zh-CN"/>
        </w:rPr>
        <w:t>3.00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hint="eastAsia" w:ascii="仿宋" w:hAnsi="仿宋" w:eastAsia="仿宋" w:cs="仿宋"/>
          <w:sz w:val="32"/>
          <w:u w:color="auto"/>
          <w:lang w:val="en-US" w:eastAsia="zh-CN"/>
        </w:rPr>
        <w:t>减少10.8</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000000" w:themeColor="text1"/>
          <w:sz w:val="32"/>
          <w:szCs w:val="32"/>
          <w:highlight w:val="none"/>
          <w:lang w:val="en-US" w:eastAsia="zh-CN"/>
          <w14:textFill>
            <w14:solidFill>
              <w14:schemeClr w14:val="tx1"/>
            </w14:solidFill>
          </w14:textFill>
        </w:rPr>
        <w:t>编制年初部门预算时漏了公务用车运行维护费。</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2022年，</w:t>
      </w:r>
      <w:r>
        <w:rPr>
          <w:rFonts w:hint="eastAsia" w:ascii="仿宋" w:hAnsi="仿宋" w:eastAsia="仿宋" w:cs="仿宋"/>
          <w:sz w:val="32"/>
          <w:u w:color="auto"/>
          <w:lang w:val="en-US" w:eastAsia="zh-CN"/>
        </w:rPr>
        <w:t>交通运输局</w:t>
      </w:r>
      <w:r>
        <w:rPr>
          <w:rFonts w:hint="eastAsia" w:ascii="仿宋" w:hAnsi="仿宋" w:eastAsia="仿宋" w:cs="仿宋"/>
          <w:sz w:val="32"/>
          <w:szCs w:val="32"/>
          <w:highlight w:val="none"/>
        </w:rPr>
        <w:t>及</w:t>
      </w:r>
      <w:r>
        <w:rPr>
          <w:rFonts w:hint="eastAsia" w:ascii="仿宋" w:hAnsi="仿宋" w:eastAsia="仿宋" w:cs="仿宋"/>
          <w:color w:val="auto"/>
          <w:sz w:val="32"/>
          <w:szCs w:val="32"/>
          <w:highlight w:val="none"/>
          <w:u w:val="single"/>
          <w:lang w:val="en-US" w:eastAsia="zh-CN"/>
        </w:rPr>
        <w:t xml:space="preserve">  二 个</w:t>
      </w:r>
      <w:r>
        <w:rPr>
          <w:rFonts w:hint="eastAsia" w:ascii="仿宋" w:hAnsi="仿宋" w:eastAsia="仿宋" w:cs="仿宋"/>
          <w:sz w:val="32"/>
          <w:szCs w:val="32"/>
          <w:highlight w:val="none"/>
        </w:rPr>
        <w:t>所属单位开支财政拨款的公务用车保有量为</w:t>
      </w:r>
      <w:r>
        <w:rPr>
          <w:rFonts w:hint="eastAsia" w:ascii="仿宋" w:hAnsi="仿宋" w:eastAsia="仿宋" w:cs="仿宋"/>
          <w:sz w:val="32"/>
          <w:u w:color="auto"/>
          <w:lang w:val="en-US" w:eastAsia="zh-CN"/>
        </w:rPr>
        <w:t>7</w:t>
      </w:r>
      <w:r>
        <w:rPr>
          <w:rFonts w:hint="eastAsia" w:ascii="仿宋" w:hAnsi="仿宋" w:eastAsia="仿宋" w:cs="仿宋"/>
          <w:sz w:val="32"/>
          <w:szCs w:val="32"/>
          <w:highlight w:val="none"/>
        </w:rPr>
        <w:t>辆，全年运行费支出</w:t>
      </w:r>
      <w:r>
        <w:rPr>
          <w:rFonts w:hint="eastAsia" w:ascii="仿宋" w:hAnsi="仿宋" w:eastAsia="仿宋" w:cs="仿宋"/>
          <w:sz w:val="32"/>
          <w:u w:color="auto"/>
          <w:lang w:val="en-US" w:eastAsia="zh-CN"/>
        </w:rPr>
        <w:t>3.00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auto"/>
          <w:sz w:val="32"/>
          <w:szCs w:val="32"/>
          <w:highlight w:val="none"/>
        </w:rPr>
        <w:t xml:space="preserve">平均每辆 </w:t>
      </w:r>
      <w:r>
        <w:rPr>
          <w:rFonts w:hint="eastAsia" w:ascii="仿宋" w:hAnsi="仿宋" w:eastAsia="仿宋" w:cs="仿宋"/>
          <w:color w:val="auto"/>
          <w:sz w:val="32"/>
          <w:szCs w:val="32"/>
          <w:highlight w:val="none"/>
          <w:lang w:val="en-US" w:eastAsia="zh-CN"/>
        </w:rPr>
        <w:t>0.43万元</w:t>
      </w:r>
      <w:r>
        <w:rPr>
          <w:rFonts w:hint="eastAsia" w:ascii="仿宋" w:hAnsi="仿宋" w:eastAsia="仿宋" w:cs="仿宋"/>
          <w:color w:val="auto"/>
          <w:sz w:val="32"/>
          <w:szCs w:val="32"/>
          <w:highlight w:val="none"/>
        </w:rPr>
        <w:t xml:space="preserve"> 。</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ascii="仿宋" w:hAnsi="仿宋" w:eastAsia="仿宋" w:cs="仿宋"/>
          <w:sz w:val="32"/>
          <w:szCs w:val="32"/>
          <w:highlight w:val="none"/>
        </w:rPr>
        <w:t>1.</w:t>
      </w:r>
      <w:r>
        <w:rPr>
          <w:rFonts w:hint="eastAsia" w:ascii="仿宋" w:hAnsi="仿宋" w:eastAsia="仿宋" w:cs="仿宋"/>
          <w:sz w:val="32"/>
          <w:szCs w:val="32"/>
          <w:highlight w:val="none"/>
          <w:lang w:val="en-US" w:eastAsia="zh-CN"/>
        </w:rPr>
        <w:t>23</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61.5</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1.23</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主要原因是：励行节约，压减公务接待。</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ascii="仿宋" w:hAnsi="仿宋" w:eastAsia="仿宋" w:cs="仿宋"/>
          <w:color w:val="000000" w:themeColor="text1"/>
          <w:sz w:val="32"/>
          <w:szCs w:val="32"/>
          <w:highlight w:val="none"/>
          <w14:textFill>
            <w14:solidFill>
              <w14:schemeClr w14:val="tx1"/>
            </w14:solidFill>
          </w14:textFill>
        </w:rPr>
        <w:t>1</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143</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highlight w:val="none"/>
        </w:rPr>
        <w:t>本部门2022年度机关运行经费支出</w:t>
      </w:r>
      <w:r>
        <w:rPr>
          <w:rFonts w:hint="eastAsia" w:ascii="仿宋" w:hAnsi="仿宋" w:eastAsia="仿宋" w:cs="仿宋"/>
          <w:sz w:val="32"/>
          <w:szCs w:val="32"/>
          <w:highlight w:val="none"/>
          <w:lang w:val="en-US" w:eastAsia="zh-CN"/>
        </w:rPr>
        <w:t>34.88</w:t>
      </w:r>
      <w:r>
        <w:rPr>
          <w:rFonts w:hint="eastAsia" w:ascii="仿宋" w:hAnsi="仿宋" w:eastAsia="仿宋" w:cs="仿宋"/>
          <w:sz w:val="32"/>
          <w:szCs w:val="32"/>
          <w:highlight w:val="none"/>
        </w:rPr>
        <w:t>万元，比年初预算数</w:t>
      </w:r>
      <w:r>
        <w:rPr>
          <w:rFonts w:hint="eastAsia" w:ascii="仿宋" w:hAnsi="仿宋" w:eastAsia="仿宋" w:cs="仿宋"/>
          <w:sz w:val="32"/>
          <w:szCs w:val="32"/>
          <w:highlight w:val="none"/>
          <w:lang w:val="en-US" w:eastAsia="zh-CN"/>
        </w:rPr>
        <w:t>增加0.151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增长0.004</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3.04</w:t>
      </w:r>
      <w:r>
        <w:rPr>
          <w:rFonts w:hint="eastAsia" w:ascii="仿宋" w:hAnsi="仿宋" w:eastAsia="仿宋" w:cs="仿宋"/>
          <w:sz w:val="32"/>
          <w:szCs w:val="32"/>
          <w:highlight w:val="none"/>
        </w:rPr>
        <w:t>万元，</w:t>
      </w:r>
      <w:r>
        <w:rPr>
          <w:rFonts w:ascii="仿宋" w:hAnsi="仿宋" w:eastAsia="仿宋" w:cs="仿宋"/>
          <w:sz w:val="32"/>
          <w:szCs w:val="32"/>
          <w:highlight w:val="none"/>
        </w:rPr>
        <w:t>增长</w:t>
      </w:r>
      <w:r>
        <w:rPr>
          <w:rFonts w:hint="eastAsia" w:ascii="仿宋" w:hAnsi="仿宋" w:eastAsia="仿宋" w:cs="仿宋"/>
          <w:sz w:val="32"/>
          <w:szCs w:val="32"/>
          <w:highlight w:val="none"/>
          <w:lang w:val="en-US" w:eastAsia="zh-CN"/>
        </w:rPr>
        <w:t>8.7</w:t>
      </w:r>
      <w:r>
        <w:rPr>
          <w:rFonts w:ascii="仿宋" w:hAnsi="仿宋" w:eastAsia="仿宋" w:cs="仿宋"/>
          <w:sz w:val="32"/>
          <w:szCs w:val="32"/>
          <w:highlight w:val="none"/>
        </w:rPr>
        <w:t>%</w:t>
      </w:r>
      <w:r>
        <w:rPr>
          <w:rFonts w:hint="eastAsia" w:ascii="仿宋" w:hAnsi="仿宋" w:eastAsia="仿宋" w:cs="仿宋"/>
          <w:sz w:val="32"/>
          <w:szCs w:val="32"/>
          <w:highlight w:val="none"/>
        </w:rPr>
        <w:t>。</w:t>
      </w:r>
      <w:r>
        <w:rPr>
          <w:rFonts w:hint="eastAsia" w:ascii="仿宋" w:hAnsi="仿宋" w:eastAsia="仿宋" w:cs="仿宋"/>
          <w:color w:val="auto"/>
          <w:sz w:val="32"/>
          <w:szCs w:val="32"/>
          <w:highlight w:val="none"/>
        </w:rPr>
        <w:t>原因是：主要原因是：办公设施设备购置经费增加、人员编制数量增加</w:t>
      </w:r>
      <w:r>
        <w:rPr>
          <w:rFonts w:hint="eastAsia" w:ascii="仿宋" w:hAnsi="仿宋" w:eastAsia="仿宋" w:cs="仿宋"/>
          <w:color w:val="auto"/>
          <w:sz w:val="32"/>
          <w:szCs w:val="32"/>
          <w:highlight w:val="none"/>
          <w:lang w:val="en-US"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本部门2022年度政府采购支出总额</w:t>
      </w:r>
      <w:r>
        <w:rPr>
          <w:rFonts w:hint="eastAsia" w:ascii="仿宋" w:hAnsi="仿宋" w:eastAsia="仿宋" w:cs="仿宋"/>
          <w:sz w:val="32"/>
          <w:szCs w:val="32"/>
          <w:highlight w:val="none"/>
          <w:lang w:val="en-US" w:eastAsia="zh-CN"/>
        </w:rPr>
        <w:t>142594.92</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15.92</w:t>
      </w:r>
      <w:r>
        <w:rPr>
          <w:rFonts w:hint="eastAsia" w:ascii="仿宋" w:hAnsi="仿宋" w:eastAsia="仿宋" w:cs="仿宋"/>
          <w:sz w:val="32"/>
          <w:szCs w:val="32"/>
          <w:highlight w:val="none"/>
        </w:rPr>
        <w:t>万元、政府采购工程支出</w:t>
      </w:r>
      <w:r>
        <w:rPr>
          <w:rFonts w:hint="eastAsia" w:ascii="仿宋" w:hAnsi="仿宋" w:eastAsia="仿宋" w:cs="仿宋"/>
          <w:sz w:val="32"/>
          <w:szCs w:val="32"/>
          <w:highlight w:val="none"/>
          <w:lang w:val="en-US" w:eastAsia="zh-CN"/>
        </w:rPr>
        <w:t>142579</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截至2022年12月31日，本部门共有车辆</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28</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15117.66</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90.66</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地方建养资金</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37</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15117.66</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000000" w:themeColor="text1"/>
          <w:sz w:val="32"/>
          <w:szCs w:val="32"/>
          <w:lang w:val="en-US" w:eastAsia="zh-CN"/>
          <w14:textFill>
            <w14:solidFill>
              <w14:schemeClr w14:val="tx1"/>
            </w14:solidFill>
          </w14:textFill>
        </w:rPr>
        <w:t>年初预算数32671.81万元，当年预算数341.07万元，全年执行数15117.66万元，执行率42.07%。</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个部门（单位）开展整体支出绩效评价，涉及一般公共预算支出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33860.8</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000000" w:themeColor="text1"/>
          <w:sz w:val="32"/>
          <w:szCs w:val="32"/>
          <w:lang w:val="en-US" w:eastAsia="zh-CN"/>
          <w14:textFill>
            <w14:solidFill>
              <w14:schemeClr w14:val="tx1"/>
            </w14:solidFill>
          </w14:textFill>
        </w:rPr>
        <w:t>年初预算数1113.13万元，年中调整32147.67万元，调整后预算数33860.8万元，完成全年预算数16245.19万元，完成预算执行率47.98%。</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r>
        <w:rPr>
          <w:rFonts w:hint="eastAsia" w:ascii="仿宋" w:hAnsi="仿宋" w:eastAsia="仿宋" w:cs="仿宋"/>
          <w:color w:val="auto"/>
          <w:sz w:val="32"/>
          <w:szCs w:val="32"/>
        </w:rPr>
        <w:t>。</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1党员活运经费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p>
    <w:p>
      <w:pPr>
        <w:numPr>
          <w:ilvl w:val="0"/>
          <w:numId w:val="0"/>
        </w:num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2.执法工作经费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90.64</w:t>
      </w:r>
      <w:r>
        <w:rPr>
          <w:rFonts w:hint="eastAsia" w:ascii="仿宋" w:hAnsi="仿宋" w:eastAsia="仿宋" w:cs="仿宋"/>
          <w:color w:val="000000" w:themeColor="text1"/>
          <w:sz w:val="32"/>
          <w:szCs w:val="32"/>
          <w14:textFill>
            <w14:solidFill>
              <w14:schemeClr w14:val="tx1"/>
            </w14:solidFill>
          </w14:textFill>
        </w:rPr>
        <w:t>分。发现的主要问题及原因：由于国库资金紧张，项目资金没能足额支付。下一步改进措施：待国库资金</w:t>
      </w:r>
      <w:r>
        <w:rPr>
          <w:rFonts w:hint="eastAsia" w:ascii="仿宋" w:hAnsi="仿宋" w:eastAsia="仿宋" w:cs="仿宋"/>
          <w:color w:val="000000" w:themeColor="text1"/>
          <w:sz w:val="32"/>
          <w:szCs w:val="32"/>
          <w:lang w:val="en-US" w:eastAsia="zh-CN"/>
          <w14:textFill>
            <w14:solidFill>
              <w14:schemeClr w14:val="tx1"/>
            </w14:solidFill>
          </w14:textFill>
        </w:rPr>
        <w:t>充足</w:t>
      </w:r>
      <w:r>
        <w:rPr>
          <w:rFonts w:hint="eastAsia" w:ascii="仿宋" w:hAnsi="仿宋" w:eastAsia="仿宋" w:cs="仿宋"/>
          <w:color w:val="000000" w:themeColor="text1"/>
          <w:sz w:val="32"/>
          <w:szCs w:val="32"/>
          <w14:textFill>
            <w14:solidFill>
              <w14:schemeClr w14:val="tx1"/>
            </w14:solidFill>
          </w14:textFill>
        </w:rPr>
        <w:t>及</w:t>
      </w:r>
      <w:r>
        <w:rPr>
          <w:rFonts w:hint="eastAsia" w:ascii="仿宋" w:hAnsi="仿宋" w:eastAsia="仿宋" w:cs="仿宋"/>
          <w:color w:val="000000" w:themeColor="text1"/>
          <w:sz w:val="32"/>
          <w:szCs w:val="32"/>
          <w:lang w:val="en-US" w:eastAsia="zh-CN"/>
          <w14:textFill>
            <w14:solidFill>
              <w14:schemeClr w14:val="tx1"/>
            </w14:solidFill>
          </w14:textFill>
        </w:rPr>
        <w:t>时支付。</w:t>
      </w:r>
    </w:p>
    <w:p>
      <w:pPr>
        <w:ind w:firstLine="640" w:firstLineChars="200"/>
        <w:jc w:val="left"/>
        <w:rPr>
          <w:rFonts w:hint="eastAsia" w:ascii="宋体" w:hAnsi="宋体" w:eastAsia="宋体" w:cs="宋体"/>
          <w:sz w:val="28"/>
          <w:szCs w:val="28"/>
        </w:rPr>
      </w:pPr>
      <w:r>
        <w:rPr>
          <w:rFonts w:hint="eastAsia" w:ascii="仿宋" w:hAnsi="仿宋" w:eastAsia="仿宋" w:cs="仿宋"/>
          <w:color w:val="000000" w:themeColor="text1"/>
          <w:sz w:val="32"/>
          <w:szCs w:val="32"/>
          <w:lang w:val="en-US" w:eastAsia="zh-CN"/>
          <w14:textFill>
            <w14:solidFill>
              <w14:schemeClr w14:val="tx1"/>
            </w14:solidFill>
          </w14:textFill>
        </w:rPr>
        <w:t>3.2021年县乡联网建设工作费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94.58</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ascii="宋体" w:hAnsi="宋体" w:eastAsia="宋体" w:cs="宋体"/>
          <w:sz w:val="28"/>
          <w:szCs w:val="28"/>
        </w:rPr>
        <w:t>有</w:t>
      </w:r>
      <w:r>
        <w:rPr>
          <w:rFonts w:hint="eastAsia" w:ascii="宋体" w:hAnsi="宋体" w:eastAsia="宋体" w:cs="宋体"/>
          <w:sz w:val="28"/>
          <w:szCs w:val="28"/>
        </w:rPr>
        <w:t>些商家没有及时来对账结算，就不能按时支付。下一步改进措施：及时与商家对账结算，按时支付。</w:t>
      </w:r>
    </w:p>
    <w:p>
      <w:pPr>
        <w:ind w:firstLine="640" w:firstLineChars="200"/>
        <w:jc w:val="left"/>
        <w:rPr>
          <w:rFonts w:hint="eastAsia" w:ascii="宋体" w:hAnsi="宋体" w:eastAsia="宋体" w:cs="宋体"/>
          <w:sz w:val="28"/>
          <w:szCs w:val="28"/>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2021县乡公路建设业务工作费项目自评得分为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97.75</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年中申款2021年结余业务费，因国库资金紧张没有得支付资金。</w:t>
      </w:r>
      <w:r>
        <w:rPr>
          <w:rFonts w:hint="eastAsia" w:ascii="宋体" w:hAnsi="宋体" w:eastAsia="宋体" w:cs="宋体"/>
          <w:sz w:val="28"/>
          <w:szCs w:val="28"/>
        </w:rPr>
        <w:t>下一步改进措施：</w:t>
      </w:r>
      <w:r>
        <w:rPr>
          <w:rFonts w:hint="eastAsia" w:ascii="宋体" w:hAnsi="宋体" w:eastAsia="宋体" w:cs="宋体"/>
          <w:sz w:val="28"/>
          <w:szCs w:val="28"/>
          <w:lang w:val="en-US" w:eastAsia="zh-CN"/>
        </w:rPr>
        <w:t>年终财政已收回指标。</w:t>
      </w:r>
    </w:p>
    <w:p>
      <w:p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5.购置公务执法用车</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91.14</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发现的主要问题及原因：购</w:t>
      </w:r>
      <w:r>
        <w:rPr>
          <w:rFonts w:hint="eastAsia" w:ascii="仿宋" w:hAnsi="仿宋" w:eastAsia="仿宋" w:cs="仿宋"/>
          <w:color w:val="000000" w:themeColor="text1"/>
          <w:sz w:val="32"/>
          <w:szCs w:val="32"/>
          <w:lang w:val="en-US" w:eastAsia="zh-CN"/>
          <w14:textFill>
            <w14:solidFill>
              <w14:schemeClr w14:val="tx1"/>
            </w14:solidFill>
          </w14:textFill>
        </w:rPr>
        <w:t>置</w:t>
      </w:r>
      <w:r>
        <w:rPr>
          <w:rFonts w:hint="eastAsia" w:ascii="仿宋" w:hAnsi="仿宋" w:eastAsia="仿宋" w:cs="仿宋"/>
          <w:color w:val="000000" w:themeColor="text1"/>
          <w:sz w:val="32"/>
          <w:szCs w:val="32"/>
          <w14:textFill>
            <w14:solidFill>
              <w14:schemeClr w14:val="tx1"/>
            </w14:solidFill>
          </w14:textFill>
        </w:rPr>
        <w:t>车型和排只需要15.92万元资金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宋体" w:hAnsi="宋体" w:eastAsia="宋体" w:cs="宋体"/>
          <w:sz w:val="28"/>
          <w:szCs w:val="28"/>
        </w:rPr>
        <w:t>下一步改进措施：</w:t>
      </w:r>
      <w:r>
        <w:rPr>
          <w:rFonts w:hint="eastAsia" w:ascii="宋体" w:hAnsi="宋体" w:eastAsia="宋体" w:cs="宋体"/>
          <w:sz w:val="28"/>
          <w:szCs w:val="28"/>
          <w:lang w:val="en-US" w:eastAsia="zh-CN"/>
        </w:rPr>
        <w:t>年终财政已收回指标。</w:t>
      </w:r>
    </w:p>
    <w:p>
      <w:pPr>
        <w:ind w:firstLine="560" w:firstLineChars="200"/>
        <w:jc w:val="left"/>
        <w:rPr>
          <w:rFonts w:hint="eastAsia" w:ascii="宋体" w:hAnsi="宋体" w:eastAsia="宋体" w:cs="宋体"/>
          <w:sz w:val="24"/>
          <w:szCs w:val="24"/>
          <w:lang w:val="en-US" w:eastAsia="zh-CN"/>
        </w:rPr>
      </w:pPr>
      <w:r>
        <w:rPr>
          <w:rFonts w:hint="eastAsia" w:ascii="宋体" w:hAnsi="宋体" w:eastAsia="仿宋" w:cs="宋体"/>
          <w:sz w:val="28"/>
          <w:szCs w:val="28"/>
          <w:lang w:val="en-US" w:eastAsia="zh-CN"/>
        </w:rPr>
        <w:t>6.2021年村道安防工程测设费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年中申款2021年结余测设费，因国库资金紧张没有得支付资金。</w:t>
      </w:r>
      <w:r>
        <w:rPr>
          <w:rFonts w:hint="eastAsia" w:ascii="宋体" w:hAnsi="宋体" w:eastAsia="宋体" w:cs="宋体"/>
          <w:sz w:val="24"/>
          <w:szCs w:val="24"/>
        </w:rPr>
        <w:t>下一步改进措施：</w:t>
      </w:r>
      <w:r>
        <w:rPr>
          <w:rFonts w:hint="eastAsia" w:ascii="宋体" w:hAnsi="宋体" w:eastAsia="宋体" w:cs="宋体"/>
          <w:sz w:val="24"/>
          <w:szCs w:val="24"/>
          <w:lang w:val="en-US" w:eastAsia="zh-CN"/>
        </w:rPr>
        <w:t>年终财政已收回指标。</w:t>
      </w:r>
    </w:p>
    <w:p>
      <w:pPr>
        <w:ind w:firstLine="56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宋体" w:hAnsi="宋体" w:eastAsia="宋体" w:cs="宋体"/>
          <w:sz w:val="28"/>
          <w:szCs w:val="28"/>
          <w:lang w:val="en-US" w:eastAsia="zh-CN"/>
        </w:rPr>
        <w:t>7.2021年成品油税费转移支付增量资金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jc w:val="left"/>
        <w:rPr>
          <w:rFonts w:hint="eastAsia" w:ascii="宋体" w:hAnsi="宋体" w:eastAsia="宋体" w:cs="宋体"/>
          <w:sz w:val="28"/>
          <w:szCs w:val="28"/>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8.2021年地方建补助资金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80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发现的主要问题及原因：项目完工，结余资金为项目质保金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宋体" w:hAnsi="宋体" w:eastAsia="宋体" w:cs="宋体"/>
          <w:sz w:val="28"/>
          <w:szCs w:val="28"/>
        </w:rPr>
        <w:t>一步改进措施：到期退</w:t>
      </w:r>
      <w:r>
        <w:rPr>
          <w:rFonts w:hint="eastAsia" w:ascii="宋体" w:hAnsi="宋体" w:eastAsia="宋体" w:cs="宋体"/>
          <w:sz w:val="28"/>
          <w:szCs w:val="28"/>
          <w:lang w:val="en-US" w:eastAsia="zh-CN"/>
        </w:rPr>
        <w:t>工程质保金。</w:t>
      </w:r>
    </w:p>
    <w:p>
      <w:pPr>
        <w:numPr>
          <w:ilvl w:val="0"/>
          <w:numId w:val="3"/>
        </w:numPr>
        <w:ind w:firstLine="56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宋体" w:hAnsi="宋体" w:eastAsia="宋体" w:cs="宋体"/>
          <w:sz w:val="28"/>
          <w:szCs w:val="28"/>
          <w:lang w:val="en-US" w:eastAsia="zh-CN"/>
        </w:rPr>
        <w:t>公交线路补贴经费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发现的主要问题及原因：由于国库资金紧张，项目资金没能足额支付。下一步改进措施：待国库资金</w:t>
      </w:r>
      <w:r>
        <w:rPr>
          <w:rFonts w:hint="eastAsia" w:ascii="仿宋" w:hAnsi="仿宋" w:eastAsia="仿宋" w:cs="仿宋"/>
          <w:color w:val="000000" w:themeColor="text1"/>
          <w:sz w:val="32"/>
          <w:szCs w:val="32"/>
          <w:lang w:val="en-US" w:eastAsia="zh-CN"/>
          <w14:textFill>
            <w14:solidFill>
              <w14:schemeClr w14:val="tx1"/>
            </w14:solidFill>
          </w14:textFill>
        </w:rPr>
        <w:t>充足</w:t>
      </w:r>
      <w:r>
        <w:rPr>
          <w:rFonts w:hint="eastAsia" w:ascii="仿宋" w:hAnsi="仿宋" w:eastAsia="仿宋" w:cs="仿宋"/>
          <w:color w:val="000000" w:themeColor="text1"/>
          <w:sz w:val="32"/>
          <w:szCs w:val="32"/>
          <w14:textFill>
            <w14:solidFill>
              <w14:schemeClr w14:val="tx1"/>
            </w14:solidFill>
          </w14:textFill>
        </w:rPr>
        <w:t>及</w:t>
      </w:r>
      <w:r>
        <w:rPr>
          <w:rFonts w:hint="eastAsia" w:ascii="仿宋" w:hAnsi="仿宋" w:eastAsia="仿宋" w:cs="仿宋"/>
          <w:color w:val="000000" w:themeColor="text1"/>
          <w:sz w:val="32"/>
          <w:szCs w:val="32"/>
          <w:lang w:val="en-US" w:eastAsia="zh-CN"/>
          <w14:textFill>
            <w14:solidFill>
              <w14:schemeClr w14:val="tx1"/>
            </w14:solidFill>
          </w14:textFill>
        </w:rPr>
        <w:t>时支付。</w:t>
      </w:r>
    </w:p>
    <w:p>
      <w:pPr>
        <w:numPr>
          <w:ilvl w:val="0"/>
          <w:numId w:val="3"/>
        </w:num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桂财工交(2018)95号增量资金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上年结转上级转款。</w:t>
      </w:r>
      <w:r>
        <w:rPr>
          <w:rFonts w:hint="eastAsia" w:ascii="宋体" w:hAnsi="宋体" w:eastAsia="宋体" w:cs="宋体"/>
          <w:sz w:val="28"/>
          <w:szCs w:val="28"/>
        </w:rPr>
        <w:t>一步改进措施：</w:t>
      </w:r>
      <w:r>
        <w:rPr>
          <w:rFonts w:hint="eastAsia" w:ascii="宋体" w:hAnsi="宋体" w:eastAsia="宋体" w:cs="宋体"/>
          <w:sz w:val="28"/>
          <w:szCs w:val="28"/>
          <w:lang w:val="en-US" w:eastAsia="zh-CN"/>
        </w:rPr>
        <w:t>年终财政已收回指标。</w:t>
      </w:r>
    </w:p>
    <w:p>
      <w:pPr>
        <w:ind w:firstLine="640" w:firstLineChars="200"/>
        <w:jc w:val="left"/>
        <w:rPr>
          <w:rFonts w:hint="eastAsia" w:ascii="宋体" w:hAnsi="宋体" w:eastAsia="宋体" w:cs="宋体"/>
          <w:sz w:val="28"/>
          <w:szCs w:val="28"/>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11.S509大安-英豪公路,2020年村际联网路5条</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发现的主要问题及原因：项目完工，结余资金为项目质保金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宋体" w:hAnsi="宋体" w:eastAsia="宋体" w:cs="宋体"/>
          <w:sz w:val="28"/>
          <w:szCs w:val="28"/>
        </w:rPr>
        <w:t>一步改进措施：到期退</w:t>
      </w:r>
      <w:r>
        <w:rPr>
          <w:rFonts w:hint="eastAsia" w:ascii="宋体" w:hAnsi="宋体" w:eastAsia="宋体" w:cs="宋体"/>
          <w:sz w:val="28"/>
          <w:szCs w:val="28"/>
          <w:lang w:val="en-US" w:eastAsia="zh-CN"/>
        </w:rPr>
        <w:t>工程质保金。</w:t>
      </w:r>
    </w:p>
    <w:p>
      <w:pPr>
        <w:numPr>
          <w:ilvl w:val="0"/>
          <w:numId w:val="0"/>
        </w:num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12.公路抢修保养</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80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由于国库资金紧张，项目资金没能足额支付。下一步改进措施：待国库资金</w:t>
      </w:r>
      <w:r>
        <w:rPr>
          <w:rFonts w:hint="eastAsia" w:ascii="仿宋" w:hAnsi="仿宋" w:eastAsia="仿宋" w:cs="仿宋"/>
          <w:color w:val="000000" w:themeColor="text1"/>
          <w:sz w:val="32"/>
          <w:szCs w:val="32"/>
          <w:lang w:val="en-US" w:eastAsia="zh-CN"/>
          <w14:textFill>
            <w14:solidFill>
              <w14:schemeClr w14:val="tx1"/>
            </w14:solidFill>
          </w14:textFill>
        </w:rPr>
        <w:t>充足</w:t>
      </w:r>
      <w:r>
        <w:rPr>
          <w:rFonts w:hint="eastAsia" w:ascii="仿宋" w:hAnsi="仿宋" w:eastAsia="仿宋" w:cs="仿宋"/>
          <w:color w:val="000000" w:themeColor="text1"/>
          <w:sz w:val="32"/>
          <w:szCs w:val="32"/>
          <w14:textFill>
            <w14:solidFill>
              <w14:schemeClr w14:val="tx1"/>
            </w14:solidFill>
          </w14:textFill>
        </w:rPr>
        <w:t>及</w:t>
      </w:r>
      <w:r>
        <w:rPr>
          <w:rFonts w:hint="eastAsia" w:ascii="仿宋" w:hAnsi="仿宋" w:eastAsia="仿宋" w:cs="仿宋"/>
          <w:color w:val="000000" w:themeColor="text1"/>
          <w:sz w:val="32"/>
          <w:szCs w:val="32"/>
          <w:lang w:val="en-US" w:eastAsia="zh-CN"/>
          <w14:textFill>
            <w14:solidFill>
              <w14:schemeClr w14:val="tx1"/>
            </w14:solidFill>
          </w14:textFill>
        </w:rPr>
        <w:t>时支付。</w:t>
      </w:r>
    </w:p>
    <w:p>
      <w:pPr>
        <w:numPr>
          <w:ilvl w:val="0"/>
          <w:numId w:val="0"/>
        </w:num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13.水毁抢修费用</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83.37</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项目已实施完成，由于国库存资金紧张，有足额支付工程款.</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val="en-US" w:eastAsia="zh-CN"/>
          <w14:textFill>
            <w14:solidFill>
              <w14:schemeClr w14:val="tx1"/>
            </w14:solidFill>
          </w14:textFill>
        </w:rPr>
        <w:t>待国库资金允许支付余下工程款。</w:t>
      </w:r>
    </w:p>
    <w:p>
      <w:pPr>
        <w:numPr>
          <w:ilvl w:val="0"/>
          <w:numId w:val="0"/>
        </w:num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14.农村公路养护费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84.37</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项目已实施完成，由于国库存资金紧张，有足额支付工程款.</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val="en-US" w:eastAsia="zh-CN"/>
          <w14:textFill>
            <w14:solidFill>
              <w14:schemeClr w14:val="tx1"/>
            </w14:solidFill>
          </w14:textFill>
        </w:rPr>
        <w:t>待国库资金允许支付余工程款。</w:t>
      </w:r>
    </w:p>
    <w:p>
      <w:pPr>
        <w:numPr>
          <w:ilvl w:val="0"/>
          <w:numId w:val="0"/>
        </w:numPr>
        <w:ind w:firstLine="640" w:firstLineChars="200"/>
        <w:jc w:val="left"/>
        <w:rPr>
          <w:rFonts w:hint="eastAsia" w:ascii="宋体" w:hAnsi="宋体" w:eastAsia="宋体" w:cs="宋体"/>
          <w:sz w:val="28"/>
          <w:szCs w:val="28"/>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15.建制村通客车营运费补贴</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94.64</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eastAsia="zh-CN"/>
          <w14:textFill>
            <w14:solidFill>
              <w14:schemeClr w14:val="tx1"/>
            </w14:solidFill>
          </w14:textFill>
        </w:rPr>
        <w:t>：项目资金需求减少。</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宋体" w:hAnsi="宋体" w:eastAsia="宋体" w:cs="宋体"/>
          <w:sz w:val="28"/>
          <w:szCs w:val="28"/>
          <w:lang w:val="en-US" w:eastAsia="zh-CN"/>
        </w:rPr>
        <w:t>年终财政已收回指标。</w:t>
      </w:r>
    </w:p>
    <w:p>
      <w:pPr>
        <w:numPr>
          <w:ilvl w:val="0"/>
          <w:numId w:val="0"/>
        </w:numPr>
        <w:ind w:firstLine="56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宋体" w:hAnsi="宋体" w:eastAsia="宋体" w:cs="宋体"/>
          <w:sz w:val="28"/>
          <w:szCs w:val="28"/>
          <w:lang w:val="en-US" w:eastAsia="zh-CN"/>
        </w:rPr>
        <w:t>16.高铁站配套设施服务费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p>
    <w:p>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17.驯乐乡府至怀学路口公路建设资金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p>
    <w:p>
      <w:pPr>
        <w:numPr>
          <w:ilvl w:val="0"/>
          <w:numId w:val="0"/>
        </w:numPr>
        <w:ind w:firstLine="640" w:firstLineChars="20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18.（2021)102号成品油税费改革转移支付增量资金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92.69</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项目已实施完成，由于国库存资金紧张，有足额支付工程款.</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val="en-US" w:eastAsia="zh-CN"/>
          <w14:textFill>
            <w14:solidFill>
              <w14:schemeClr w14:val="tx1"/>
            </w14:solidFill>
          </w14:textFill>
        </w:rPr>
        <w:t>待国库资金允许支付。</w:t>
      </w:r>
    </w:p>
    <w:p>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19.灾毁保险费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p>
    <w:p>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20.奖励性补贴</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p>
    <w:p>
      <w:pPr>
        <w:numPr>
          <w:ilvl w:val="0"/>
          <w:numId w:val="0"/>
        </w:num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21.桂财工交(2022)14号文新增政府一般债务限额支持“四建一通”工程建设资金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89.02</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项目已实施完成，由于国库存资金紧张，有足额支付工程款.</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val="en-US" w:eastAsia="zh-CN"/>
          <w14:textFill>
            <w14:solidFill>
              <w14:schemeClr w14:val="tx1"/>
            </w14:solidFill>
          </w14:textFill>
        </w:rPr>
        <w:t>待国库资金允许支付。</w:t>
      </w:r>
    </w:p>
    <w:p>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22.2020年河池市支持农村客运可持续发展财政补贴资金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p>
    <w:p>
      <w:pPr>
        <w:numPr>
          <w:ilvl w:val="0"/>
          <w:numId w:val="4"/>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百祥至加兴、何狂至坡圆三级公路项目前期工作费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p>
    <w:p>
      <w:pPr>
        <w:numPr>
          <w:ilvl w:val="0"/>
          <w:numId w:val="4"/>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河财工交(2022)15号2020年农村客运、出租车油补</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p>
    <w:p>
      <w:pPr>
        <w:numPr>
          <w:ilvl w:val="0"/>
          <w:numId w:val="4"/>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百祥至加兴、何狂至坡圆公路、水源至高铁站公路水土保持补偿费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p>
    <w:p>
      <w:pPr>
        <w:numPr>
          <w:ilvl w:val="0"/>
          <w:numId w:val="4"/>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桂财工交〔2021〕102号 提前下达2022年成品油税费改革转移支付增量资金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p>
    <w:p>
      <w:pPr>
        <w:numPr>
          <w:ilvl w:val="0"/>
          <w:numId w:val="4"/>
        </w:numPr>
        <w:ind w:firstLine="640" w:firstLineChars="20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桂财工交[2022年]28号下达地方建养资金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88.42分。</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调整项目实施。</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val="en-US" w:eastAsia="zh-CN"/>
          <w14:textFill>
            <w14:solidFill>
              <w14:schemeClr w14:val="tx1"/>
            </w14:solidFill>
          </w14:textFill>
        </w:rPr>
        <w:t>督促中标单位尽快开工形成计量。</w:t>
      </w:r>
    </w:p>
    <w:p>
      <w:pPr>
        <w:numPr>
          <w:ilvl w:val="0"/>
          <w:numId w:val="4"/>
        </w:numPr>
        <w:ind w:firstLine="640" w:firstLineChars="20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2022年自治区公路水路建设专项资金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99.58</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支付时对方账号有误，结转2.48万元。</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val="en-US" w:eastAsia="zh-CN"/>
          <w14:textFill>
            <w14:solidFill>
              <w14:schemeClr w14:val="tx1"/>
            </w14:solidFill>
          </w14:textFill>
        </w:rPr>
        <w:t>2023年1月已支付完毕。</w:t>
      </w:r>
    </w:p>
    <w:p>
      <w:pPr>
        <w:numPr>
          <w:ilvl w:val="0"/>
          <w:numId w:val="4"/>
        </w:numPr>
        <w:ind w:firstLine="640" w:firstLineChars="20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下达2022年政府还贷二级公路取消收费后补助资金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80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eastAsia="zh-CN"/>
          <w14:textFill>
            <w14:solidFill>
              <w14:schemeClr w14:val="tx1"/>
            </w14:solidFill>
          </w14:textFill>
        </w:rPr>
        <w:t>：完成工程量但未形成支付。</w:t>
      </w:r>
      <w:r>
        <w:rPr>
          <w:rFonts w:hint="eastAsia" w:ascii="仿宋" w:hAnsi="仿宋" w:eastAsia="仿宋" w:cs="仿宋"/>
          <w:color w:val="000000" w:themeColor="text1"/>
          <w:sz w:val="32"/>
          <w:szCs w:val="32"/>
          <w14:textFill>
            <w14:solidFill>
              <w14:schemeClr w14:val="tx1"/>
            </w14:solidFill>
          </w14:textFill>
        </w:rPr>
        <w:t>下一步改进措施：尽快完成计量资料，形成支付</w:t>
      </w:r>
      <w:r>
        <w:rPr>
          <w:rFonts w:hint="eastAsia" w:ascii="仿宋" w:hAnsi="仿宋" w:eastAsia="仿宋" w:cs="仿宋"/>
          <w:color w:val="000000" w:themeColor="text1"/>
          <w:sz w:val="32"/>
          <w:szCs w:val="32"/>
          <w:lang w:eastAsia="zh-CN"/>
          <w14:textFill>
            <w14:solidFill>
              <w14:schemeClr w14:val="tx1"/>
            </w14:solidFill>
          </w14:textFill>
        </w:rPr>
        <w:t>。</w:t>
      </w:r>
    </w:p>
    <w:p>
      <w:pPr>
        <w:numPr>
          <w:ilvl w:val="0"/>
          <w:numId w:val="4"/>
        </w:numPr>
        <w:ind w:firstLine="640" w:firstLineChars="20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下达2022年车辆购置税收入补助地方资金预算(第一批)“以奖代补”普通农村公路奖补资金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80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eastAsia="zh-CN"/>
          <w14:textFill>
            <w14:solidFill>
              <w14:schemeClr w14:val="tx1"/>
            </w14:solidFill>
          </w14:textFill>
        </w:rPr>
        <w:t>：完成工程量但未形成支付。</w:t>
      </w:r>
      <w:r>
        <w:rPr>
          <w:rFonts w:hint="eastAsia" w:ascii="仿宋" w:hAnsi="仿宋" w:eastAsia="仿宋" w:cs="仿宋"/>
          <w:color w:val="000000" w:themeColor="text1"/>
          <w:sz w:val="32"/>
          <w:szCs w:val="32"/>
          <w14:textFill>
            <w14:solidFill>
              <w14:schemeClr w14:val="tx1"/>
            </w14:solidFill>
          </w14:textFill>
        </w:rPr>
        <w:t>下一步改进措施：尽快完成计量资料，形成支付</w:t>
      </w:r>
      <w:r>
        <w:rPr>
          <w:rFonts w:hint="eastAsia" w:ascii="仿宋" w:hAnsi="仿宋" w:eastAsia="仿宋" w:cs="仿宋"/>
          <w:color w:val="000000" w:themeColor="text1"/>
          <w:sz w:val="32"/>
          <w:szCs w:val="32"/>
          <w:lang w:eastAsia="zh-CN"/>
          <w14:textFill>
            <w14:solidFill>
              <w14:schemeClr w14:val="tx1"/>
            </w14:solidFill>
          </w14:textFill>
        </w:rPr>
        <w:t>。</w:t>
      </w:r>
    </w:p>
    <w:p>
      <w:pPr>
        <w:numPr>
          <w:ilvl w:val="0"/>
          <w:numId w:val="4"/>
        </w:numPr>
        <w:ind w:firstLine="640" w:firstLineChars="20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2022年车辆购置税收入补助地方资金(第四批)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p>
    <w:p>
      <w:pPr>
        <w:numPr>
          <w:ilvl w:val="0"/>
          <w:numId w:val="4"/>
        </w:numPr>
        <w:ind w:firstLine="640" w:firstLineChars="20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自治区支持农村客运可持续发展财政补贴资金的通知</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p>
    <w:p>
      <w:pPr>
        <w:numPr>
          <w:ilvl w:val="0"/>
          <w:numId w:val="4"/>
        </w:numPr>
        <w:ind w:firstLine="640" w:firstLineChars="20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河池市支持农村客运可持续发展财政补贴资金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p>
    <w:p>
      <w:pPr>
        <w:numPr>
          <w:ilvl w:val="0"/>
          <w:numId w:val="4"/>
        </w:numPr>
        <w:ind w:firstLine="640" w:firstLineChars="20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政府还贷二级公路取消收费后补助资金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93.59</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eastAsia="zh-CN"/>
          <w14:textFill>
            <w14:solidFill>
              <w14:schemeClr w14:val="tx1"/>
            </w14:solidFill>
          </w14:textFill>
        </w:rPr>
        <w:t>：完成工程量但未形成</w:t>
      </w:r>
      <w:r>
        <w:rPr>
          <w:rFonts w:hint="eastAsia" w:ascii="仿宋" w:hAnsi="仿宋" w:eastAsia="仿宋" w:cs="仿宋"/>
          <w:color w:val="000000" w:themeColor="text1"/>
          <w:sz w:val="32"/>
          <w:szCs w:val="32"/>
          <w:lang w:val="en-US" w:eastAsia="zh-CN"/>
          <w14:textFill>
            <w14:solidFill>
              <w14:schemeClr w14:val="tx1"/>
            </w14:solidFill>
          </w14:textFill>
        </w:rPr>
        <w:t>终期</w:t>
      </w:r>
      <w:r>
        <w:rPr>
          <w:rFonts w:hint="eastAsia" w:ascii="仿宋" w:hAnsi="仿宋" w:eastAsia="仿宋" w:cs="仿宋"/>
          <w:color w:val="000000" w:themeColor="text1"/>
          <w:sz w:val="32"/>
          <w:szCs w:val="32"/>
          <w:lang w:eastAsia="zh-CN"/>
          <w14:textFill>
            <w14:solidFill>
              <w14:schemeClr w14:val="tx1"/>
            </w14:solidFill>
          </w14:textFill>
        </w:rPr>
        <w:t>支付。</w:t>
      </w:r>
      <w:r>
        <w:rPr>
          <w:rFonts w:hint="eastAsia" w:ascii="仿宋" w:hAnsi="仿宋" w:eastAsia="仿宋" w:cs="仿宋"/>
          <w:color w:val="000000" w:themeColor="text1"/>
          <w:sz w:val="32"/>
          <w:szCs w:val="32"/>
          <w14:textFill>
            <w14:solidFill>
              <w14:schemeClr w14:val="tx1"/>
            </w14:solidFill>
          </w14:textFill>
        </w:rPr>
        <w:t>下一步改进措施：尽快完成计量资料，形成支付</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35.</w:t>
      </w:r>
      <w:r>
        <w:rPr>
          <w:rFonts w:hint="default" w:ascii="仿宋" w:hAnsi="仿宋" w:eastAsia="仿宋" w:cs="仿宋"/>
          <w:color w:val="000000" w:themeColor="text1"/>
          <w:sz w:val="32"/>
          <w:szCs w:val="32"/>
          <w:lang w:val="en-US" w:eastAsia="zh-CN"/>
          <w14:textFill>
            <w14:solidFill>
              <w14:schemeClr w14:val="tx1"/>
            </w14:solidFill>
          </w14:textFill>
        </w:rPr>
        <w:t>四好农村维修资金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98.84</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宋体" w:hAnsi="宋体" w:eastAsia="宋体" w:cs="宋体"/>
          <w:sz w:val="28"/>
          <w:szCs w:val="28"/>
        </w:rPr>
        <w:t>商家没有及时来对账结算，就不能按时支付。下一步改进措施：及时与商家对账结算，按时支付。</w:t>
      </w:r>
    </w:p>
    <w:p>
      <w:pPr>
        <w:numPr>
          <w:ilvl w:val="0"/>
          <w:numId w:val="0"/>
        </w:num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36. 2022年乡村振兴发展补助资金(交通基础设施项目)</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94.07</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项目工程实施完成，由于国库存资金紧张，有足额支付工程款.</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val="en-US" w:eastAsia="zh-CN"/>
          <w14:textFill>
            <w14:solidFill>
              <w14:schemeClr w14:val="tx1"/>
            </w14:solidFill>
          </w14:textFill>
        </w:rPr>
        <w:t>待国库资金允许支付。</w:t>
      </w:r>
    </w:p>
    <w:p>
      <w:pPr>
        <w:numPr>
          <w:ilvl w:val="0"/>
          <w:numId w:val="0"/>
        </w:numPr>
        <w:ind w:firstLine="320" w:firstLineChars="1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37.疫情应急运输经费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p>
    <w:p>
      <w:pPr>
        <w:jc w:val="both"/>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hint="eastAsia" w:ascii="仿宋" w:hAnsi="仿宋" w:eastAsia="仿宋" w:cs="仿宋"/>
          <w:sz w:val="32"/>
          <w:szCs w:val="32"/>
          <w:highlight w:val="none"/>
          <w:lang w:val="en-US" w:eastAsia="zh-CN"/>
        </w:rPr>
        <w:t>环江南族自治县</w:t>
      </w:r>
      <w:r>
        <w:rPr>
          <w:rFonts w:ascii="仿宋" w:hAnsi="仿宋" w:eastAsia="仿宋" w:cs="仿宋"/>
          <w:sz w:val="32"/>
          <w:u w:color="auto"/>
        </w:rPr>
        <w:t>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hint="eastAsia" w:ascii="仿宋" w:hAnsi="仿宋" w:eastAsia="仿宋" w:cs="仿宋"/>
          <w:sz w:val="32"/>
          <w:u w:color="auto"/>
          <w:lang w:val="en-US" w:eastAsia="zh-CN"/>
        </w:rPr>
        <w:t>环江毛南族自治县</w:t>
      </w:r>
      <w:r>
        <w:rPr>
          <w:rFonts w:ascii="仿宋" w:hAnsi="仿宋" w:eastAsia="仿宋" w:cs="仿宋"/>
          <w:sz w:val="32"/>
          <w:u w:color="auto"/>
        </w:rPr>
        <w:t>财政预决算管理的“三公”经费，是指</w:t>
      </w:r>
      <w:r>
        <w:rPr>
          <w:rFonts w:hint="eastAsia" w:ascii="仿宋" w:hAnsi="仿宋" w:eastAsia="仿宋" w:cs="仿宋"/>
          <w:sz w:val="32"/>
          <w:u w:color="auto"/>
          <w:lang w:val="en-US" w:eastAsia="zh-CN"/>
        </w:rPr>
        <w:t>环江毛南族自治县</w:t>
      </w:r>
      <w:r>
        <w:rPr>
          <w:rFonts w:ascii="仿宋" w:hAnsi="仿宋" w:eastAsia="仿宋" w:cs="仿宋"/>
          <w:sz w:val="32"/>
          <w:u w:color="auto"/>
        </w:rPr>
        <w:t>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numPr>
          <w:ilvl w:val="0"/>
          <w:numId w:val="0"/>
        </w:numPr>
        <w:ind w:firstLine="320" w:firstLineChars="100"/>
        <w:jc w:val="left"/>
        <w:rPr>
          <w:rFonts w:hint="eastAsia" w:ascii="仿宋" w:hAnsi="仿宋" w:eastAsia="仿宋" w:cs="仿宋"/>
          <w:color w:val="000000" w:themeColor="text1"/>
          <w:sz w:val="32"/>
          <w:szCs w:val="32"/>
          <w:lang w:val="en-US" w:eastAsia="zh-CN"/>
          <w14:textFill>
            <w14:solidFill>
              <w14:schemeClr w14:val="tx1"/>
            </w14:solidFill>
          </w14:textFill>
        </w:rPr>
        <w:sectPr>
          <w:pgSz w:w="16838" w:h="11906" w:orient="landscape"/>
          <w:pgMar w:top="1800" w:right="1440" w:bottom="1800" w:left="1440" w:header="851" w:footer="992" w:gutter="0"/>
          <w:cols w:space="0" w:num="1"/>
          <w:docGrid w:type="lines" w:linePitch="312" w:charSpace="0"/>
        </w:sectPr>
      </w:pPr>
    </w:p>
    <w:p>
      <w:pPr>
        <w:ind w:firstLine="640" w:firstLineChars="200"/>
        <w:jc w:val="left"/>
        <w:rPr>
          <w:rFonts w:ascii="仿宋" w:hAnsi="仿宋" w:eastAsia="仿宋" w:cs="仿宋"/>
          <w:sz w:val="32"/>
          <w:szCs w:val="32"/>
          <w:highlight w:val="none"/>
        </w:rPr>
      </w:pPr>
    </w:p>
    <w:sectPr>
      <w:pgSz w:w="16838" w:h="11906" w:orient="landscape"/>
      <w:pgMar w:top="1800" w:right="1440" w:bottom="1800" w:left="144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4CBAF1"/>
    <w:multiLevelType w:val="singleLevel"/>
    <w:tmpl w:val="CC4CBAF1"/>
    <w:lvl w:ilvl="0" w:tentative="0">
      <w:start w:val="23"/>
      <w:numFmt w:val="decimal"/>
      <w:lvlText w:val="%1."/>
      <w:lvlJc w:val="left"/>
      <w:pPr>
        <w:tabs>
          <w:tab w:val="left" w:pos="312"/>
        </w:tabs>
      </w:pPr>
    </w:lvl>
  </w:abstractNum>
  <w:abstractNum w:abstractNumId="1">
    <w:nsid w:val="D9F333A0"/>
    <w:multiLevelType w:val="singleLevel"/>
    <w:tmpl w:val="D9F333A0"/>
    <w:lvl w:ilvl="0" w:tentative="0">
      <w:start w:val="9"/>
      <w:numFmt w:val="decimal"/>
      <w:lvlText w:val="%1."/>
      <w:lvlJc w:val="left"/>
      <w:pPr>
        <w:tabs>
          <w:tab w:val="left" w:pos="312"/>
        </w:tabs>
      </w:p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3">
    <w:nsid w:val="F21ADB48"/>
    <w:multiLevelType w:val="singleLevel"/>
    <w:tmpl w:val="F21ADB48"/>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A150A"/>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3F3645"/>
    <w:rsid w:val="015F1951"/>
    <w:rsid w:val="01F165AF"/>
    <w:rsid w:val="020C171D"/>
    <w:rsid w:val="0216715F"/>
    <w:rsid w:val="02E0291A"/>
    <w:rsid w:val="034F0892"/>
    <w:rsid w:val="04E54546"/>
    <w:rsid w:val="05992762"/>
    <w:rsid w:val="05DB0FF3"/>
    <w:rsid w:val="06150429"/>
    <w:rsid w:val="07B0770E"/>
    <w:rsid w:val="07B23BA8"/>
    <w:rsid w:val="07E464CF"/>
    <w:rsid w:val="07EA0258"/>
    <w:rsid w:val="0942143F"/>
    <w:rsid w:val="099A5B92"/>
    <w:rsid w:val="0C5532A9"/>
    <w:rsid w:val="0CD2474F"/>
    <w:rsid w:val="0D100297"/>
    <w:rsid w:val="0D202B45"/>
    <w:rsid w:val="0D5B5FDF"/>
    <w:rsid w:val="0F8D4C87"/>
    <w:rsid w:val="0FBA0432"/>
    <w:rsid w:val="0FEE4115"/>
    <w:rsid w:val="10505FAA"/>
    <w:rsid w:val="105F7E7E"/>
    <w:rsid w:val="11DF282C"/>
    <w:rsid w:val="11E56B5B"/>
    <w:rsid w:val="125C77AB"/>
    <w:rsid w:val="146D3012"/>
    <w:rsid w:val="14B8665D"/>
    <w:rsid w:val="14CB726E"/>
    <w:rsid w:val="14F21CE4"/>
    <w:rsid w:val="150F49DC"/>
    <w:rsid w:val="17E92249"/>
    <w:rsid w:val="18984AA0"/>
    <w:rsid w:val="18C8761E"/>
    <w:rsid w:val="18D304F1"/>
    <w:rsid w:val="191427F7"/>
    <w:rsid w:val="19BE7F51"/>
    <w:rsid w:val="19F32577"/>
    <w:rsid w:val="19F45B80"/>
    <w:rsid w:val="1A4C315B"/>
    <w:rsid w:val="1B0C078D"/>
    <w:rsid w:val="1B2B31E2"/>
    <w:rsid w:val="1B4C295A"/>
    <w:rsid w:val="1B973C63"/>
    <w:rsid w:val="1BA1001E"/>
    <w:rsid w:val="1C504E87"/>
    <w:rsid w:val="1D317259"/>
    <w:rsid w:val="1DDD0F49"/>
    <w:rsid w:val="1E664F5B"/>
    <w:rsid w:val="1EB34BE1"/>
    <w:rsid w:val="1FE57372"/>
    <w:rsid w:val="21456323"/>
    <w:rsid w:val="215E639F"/>
    <w:rsid w:val="21B93F16"/>
    <w:rsid w:val="21EC3183"/>
    <w:rsid w:val="22066ABB"/>
    <w:rsid w:val="22151EC4"/>
    <w:rsid w:val="225E72CD"/>
    <w:rsid w:val="238453DC"/>
    <w:rsid w:val="246E2F77"/>
    <w:rsid w:val="2491699B"/>
    <w:rsid w:val="24AA2CE2"/>
    <w:rsid w:val="254B4E2B"/>
    <w:rsid w:val="260C2AD1"/>
    <w:rsid w:val="283D7C94"/>
    <w:rsid w:val="29274336"/>
    <w:rsid w:val="29480E03"/>
    <w:rsid w:val="2983634D"/>
    <w:rsid w:val="29C3443F"/>
    <w:rsid w:val="2A044349"/>
    <w:rsid w:val="2BB02055"/>
    <w:rsid w:val="2C362090"/>
    <w:rsid w:val="2C575A56"/>
    <w:rsid w:val="2C9E28F7"/>
    <w:rsid w:val="2DA90D03"/>
    <w:rsid w:val="2DF75030"/>
    <w:rsid w:val="2E192CB7"/>
    <w:rsid w:val="2F257714"/>
    <w:rsid w:val="2F3275E5"/>
    <w:rsid w:val="30AA08EF"/>
    <w:rsid w:val="30C130D2"/>
    <w:rsid w:val="30D23D1C"/>
    <w:rsid w:val="31221CF5"/>
    <w:rsid w:val="31400178"/>
    <w:rsid w:val="315819EF"/>
    <w:rsid w:val="321E3342"/>
    <w:rsid w:val="327759C8"/>
    <w:rsid w:val="32D359C8"/>
    <w:rsid w:val="33185FE3"/>
    <w:rsid w:val="34E475A0"/>
    <w:rsid w:val="34EE2E36"/>
    <w:rsid w:val="35D27806"/>
    <w:rsid w:val="36777241"/>
    <w:rsid w:val="36901C2C"/>
    <w:rsid w:val="37905821"/>
    <w:rsid w:val="37CE7AFB"/>
    <w:rsid w:val="38A951DB"/>
    <w:rsid w:val="38B31605"/>
    <w:rsid w:val="39003F4F"/>
    <w:rsid w:val="39BE1E5C"/>
    <w:rsid w:val="3B230E8B"/>
    <w:rsid w:val="3BFD3CAC"/>
    <w:rsid w:val="3C07002B"/>
    <w:rsid w:val="3C4A342B"/>
    <w:rsid w:val="3C595210"/>
    <w:rsid w:val="3D0D152A"/>
    <w:rsid w:val="3DF62756"/>
    <w:rsid w:val="3E483721"/>
    <w:rsid w:val="3E690129"/>
    <w:rsid w:val="3ECF25AA"/>
    <w:rsid w:val="3F1B7587"/>
    <w:rsid w:val="409A148E"/>
    <w:rsid w:val="40BD7EB6"/>
    <w:rsid w:val="41240AEC"/>
    <w:rsid w:val="41E57B4F"/>
    <w:rsid w:val="42FA1688"/>
    <w:rsid w:val="432F26F6"/>
    <w:rsid w:val="43880F63"/>
    <w:rsid w:val="43B5229A"/>
    <w:rsid w:val="441C5A6F"/>
    <w:rsid w:val="44C44FCC"/>
    <w:rsid w:val="44CC7369"/>
    <w:rsid w:val="45597275"/>
    <w:rsid w:val="45653970"/>
    <w:rsid w:val="457F5108"/>
    <w:rsid w:val="45EF74F2"/>
    <w:rsid w:val="46951B6B"/>
    <w:rsid w:val="49A34401"/>
    <w:rsid w:val="4A3E30AB"/>
    <w:rsid w:val="4ABA6D58"/>
    <w:rsid w:val="4AC14DAC"/>
    <w:rsid w:val="4B1C31DE"/>
    <w:rsid w:val="4B2D4B89"/>
    <w:rsid w:val="4B667EFB"/>
    <w:rsid w:val="4BB040B9"/>
    <w:rsid w:val="4BC2270F"/>
    <w:rsid w:val="4D154C85"/>
    <w:rsid w:val="4D2C7CE5"/>
    <w:rsid w:val="4D9F2C6E"/>
    <w:rsid w:val="4E936CC3"/>
    <w:rsid w:val="4EC8553A"/>
    <w:rsid w:val="508F4E24"/>
    <w:rsid w:val="50E607D5"/>
    <w:rsid w:val="51461E90"/>
    <w:rsid w:val="51463753"/>
    <w:rsid w:val="52553A93"/>
    <w:rsid w:val="52E048CA"/>
    <w:rsid w:val="53521F8B"/>
    <w:rsid w:val="537563D3"/>
    <w:rsid w:val="53E22F47"/>
    <w:rsid w:val="53F65C76"/>
    <w:rsid w:val="54522FF8"/>
    <w:rsid w:val="55450629"/>
    <w:rsid w:val="55CF793F"/>
    <w:rsid w:val="565A7BD6"/>
    <w:rsid w:val="56692963"/>
    <w:rsid w:val="568B0F48"/>
    <w:rsid w:val="5786217B"/>
    <w:rsid w:val="57980FBE"/>
    <w:rsid w:val="581B6DFA"/>
    <w:rsid w:val="58AE7721"/>
    <w:rsid w:val="59337A15"/>
    <w:rsid w:val="59810274"/>
    <w:rsid w:val="5AC9733E"/>
    <w:rsid w:val="5AFD5ADF"/>
    <w:rsid w:val="5B7831A0"/>
    <w:rsid w:val="5BD82843"/>
    <w:rsid w:val="5C6C7A61"/>
    <w:rsid w:val="5CA96A00"/>
    <w:rsid w:val="5CF730BC"/>
    <w:rsid w:val="5D715A9C"/>
    <w:rsid w:val="5E5F0DCE"/>
    <w:rsid w:val="5E940BA2"/>
    <w:rsid w:val="5FA40A7B"/>
    <w:rsid w:val="5FBA11A7"/>
    <w:rsid w:val="5FD56D29"/>
    <w:rsid w:val="5FEC7F3F"/>
    <w:rsid w:val="60165B31"/>
    <w:rsid w:val="604116B2"/>
    <w:rsid w:val="60664624"/>
    <w:rsid w:val="60BE1030"/>
    <w:rsid w:val="60F74BC3"/>
    <w:rsid w:val="617D3BF8"/>
    <w:rsid w:val="61841F6A"/>
    <w:rsid w:val="623007A9"/>
    <w:rsid w:val="63710FAD"/>
    <w:rsid w:val="637D7558"/>
    <w:rsid w:val="644F19AC"/>
    <w:rsid w:val="64B3197E"/>
    <w:rsid w:val="65033967"/>
    <w:rsid w:val="65AA4920"/>
    <w:rsid w:val="66C7452D"/>
    <w:rsid w:val="66FE55AA"/>
    <w:rsid w:val="67694F1E"/>
    <w:rsid w:val="67BA2CC2"/>
    <w:rsid w:val="69597934"/>
    <w:rsid w:val="697116F8"/>
    <w:rsid w:val="6A3D14C0"/>
    <w:rsid w:val="6A5D0CC6"/>
    <w:rsid w:val="6B246597"/>
    <w:rsid w:val="6B391317"/>
    <w:rsid w:val="6B804C2E"/>
    <w:rsid w:val="6B964DDC"/>
    <w:rsid w:val="6B9B7768"/>
    <w:rsid w:val="6BA86DF3"/>
    <w:rsid w:val="6C783074"/>
    <w:rsid w:val="6CE82F05"/>
    <w:rsid w:val="6D032F32"/>
    <w:rsid w:val="6D9E65C6"/>
    <w:rsid w:val="6DA81947"/>
    <w:rsid w:val="6EB66DE2"/>
    <w:rsid w:val="6ED3075F"/>
    <w:rsid w:val="6F2A2D4B"/>
    <w:rsid w:val="6F8A0C1E"/>
    <w:rsid w:val="703F45D4"/>
    <w:rsid w:val="70A342A5"/>
    <w:rsid w:val="715D6546"/>
    <w:rsid w:val="71BE069E"/>
    <w:rsid w:val="71E0719F"/>
    <w:rsid w:val="73953409"/>
    <w:rsid w:val="73AF7740"/>
    <w:rsid w:val="73CA7863"/>
    <w:rsid w:val="73E069A3"/>
    <w:rsid w:val="771B43C1"/>
    <w:rsid w:val="774878C8"/>
    <w:rsid w:val="776539DC"/>
    <w:rsid w:val="77D60166"/>
    <w:rsid w:val="78104AA8"/>
    <w:rsid w:val="782D1431"/>
    <w:rsid w:val="78864B7E"/>
    <w:rsid w:val="78D2708B"/>
    <w:rsid w:val="78E257C5"/>
    <w:rsid w:val="794B35BE"/>
    <w:rsid w:val="7ABE7213"/>
    <w:rsid w:val="7B0A3A31"/>
    <w:rsid w:val="7B3360ED"/>
    <w:rsid w:val="7B43712E"/>
    <w:rsid w:val="7B5319F3"/>
    <w:rsid w:val="7BDF037E"/>
    <w:rsid w:val="7BF50948"/>
    <w:rsid w:val="7C6A62E9"/>
    <w:rsid w:val="7CA83B64"/>
    <w:rsid w:val="7CE66A78"/>
    <w:rsid w:val="7D23564C"/>
    <w:rsid w:val="7D5E062D"/>
    <w:rsid w:val="7DF76CD8"/>
    <w:rsid w:val="7F695C26"/>
    <w:rsid w:val="7FC61F19"/>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决算收入支出图表</a:t>
            </a:r>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Sheet1!$B$2:$B$3</c:f>
              <c:numCache>
                <c:formatCode>General</c:formatCode>
                <c:ptCount val="2"/>
                <c:pt idx="0">
                  <c:v>16673.96</c:v>
                </c:pt>
              </c:numCache>
            </c:numRef>
          </c:cat>
          <c:val>
            <c:numRef>
              <c:f>Sheet1!$B$2:$B$3</c:f>
              <c:numCache>
                <c:formatCode>General</c:formatCode>
                <c:ptCount val="2"/>
                <c:pt idx="0">
                  <c:v>16673.96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Sheet1!$A$2:$A$13</c:f>
              <c:strCach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strCache>
            </c:strRef>
          </c:cat>
          <c:val>
            <c:numRef>
              <c:f>Sheet1!$B$2:$B$13</c:f>
              <c:numCache>
                <c:formatCode>General</c:formatCode>
                <c:ptCount val="12"/>
                <c:pt idx="0">
                  <c:v>15.22</c:v>
                </c:pt>
                <c:pt idx="1">
                  <c:v>0.76</c:v>
                </c:pt>
                <c:pt idx="2">
                  <c:v>0</c:v>
                </c:pt>
                <c:pt idx="3">
                  <c:v>0</c:v>
                </c:pt>
                <c:pt idx="4">
                  <c:v>3.75</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Sheet1!$A$2:$A$6</c:f>
              <c:strCache>
                <c:ptCount val="5"/>
                <c:pt idx="0">
                  <c:v>行政运运支出</c:v>
                </c:pt>
                <c:pt idx="1">
                  <c:v>社会保障和就业支出</c:v>
                </c:pt>
                <c:pt idx="2">
                  <c:v>城乡社区支出</c:v>
                </c:pt>
                <c:pt idx="3">
                  <c:v>交通支出</c:v>
                </c:pt>
                <c:pt idx="4">
                  <c:v>住房保障支出</c:v>
                </c:pt>
              </c:strCache>
            </c:strRef>
          </c:cat>
          <c:val>
            <c:numRef>
              <c:f>Sheet1!$B$2:$B$6</c:f>
              <c:numCache>
                <c:formatCode>General</c:formatCode>
                <c:ptCount val="5"/>
                <c:pt idx="1">
                  <c:v>97.55</c:v>
                </c:pt>
                <c:pt idx="3">
                  <c:v>26999.92</c:v>
                </c:pt>
                <c:pt idx="4">
                  <c:v>66.52</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Sheet1!$A$2:$A$6</c:f>
              <c:strCache>
                <c:ptCount val="5"/>
                <c:pt idx="0">
                  <c:v>行政运运支出</c:v>
                </c:pt>
                <c:pt idx="1">
                  <c:v>社会保障和就业支出</c:v>
                </c:pt>
                <c:pt idx="2">
                  <c:v>城乡社区支出</c:v>
                </c:pt>
                <c:pt idx="3">
                  <c:v>交通支出</c:v>
                </c:pt>
                <c:pt idx="4">
                  <c:v>住房保障支出</c:v>
                </c:pt>
              </c:strCache>
            </c:strRef>
          </c:cat>
          <c:val>
            <c:numRef>
              <c:f>Sheet1!$C$2:$C$6</c:f>
              <c:numCache>
                <c:formatCode>General</c:formatCode>
                <c:ptCount val="5"/>
                <c:pt idx="0">
                  <c:v>57.5</c:v>
                </c:pt>
                <c:pt idx="1">
                  <c:v>106.53</c:v>
                </c:pt>
                <c:pt idx="2">
                  <c:v>154.45</c:v>
                </c:pt>
                <c:pt idx="3">
                  <c:v>16248.84</c:v>
                </c:pt>
                <c:pt idx="4">
                  <c:v>66.2</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一般公共服务</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2010101</c:v>
                </c:pt>
                <c:pt idx="1">
                  <c:v>2012999</c:v>
                </c:pt>
              </c:numCache>
            </c:numRef>
          </c:cat>
          <c:val>
            <c:numRef>
              <c:f>Sheet1!$B$2:$B$3</c:f>
              <c:numCache>
                <c:formatCode>General</c:formatCode>
                <c:ptCount val="2"/>
                <c:pt idx="0">
                  <c:v>19.8</c:v>
                </c:pt>
                <c:pt idx="1">
                  <c:v>12.06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c:f>
              <c:numCache>
                <c:formatCode>General</c:formatCode>
                <c:ptCount val="1"/>
                <c:pt idx="0">
                  <c:v>2080505</c:v>
                </c:pt>
              </c:numCache>
            </c:numRef>
          </c:cat>
          <c:val>
            <c:numRef>
              <c:f>Sheet1!$B$2</c:f>
              <c:numCache>
                <c:formatCode>General</c:formatCode>
                <c:ptCount val="1"/>
                <c:pt idx="0">
                  <c:v>106.53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交通运输</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Sheet1!$A$3:$A$6</c:f>
              <c:numCache>
                <c:formatCode>General</c:formatCode>
                <c:ptCount val="4"/>
                <c:pt idx="0">
                  <c:v>2140103</c:v>
                </c:pt>
                <c:pt idx="1">
                  <c:v>2140104</c:v>
                </c:pt>
                <c:pt idx="2">
                  <c:v>2140106</c:v>
                </c:pt>
                <c:pt idx="3">
                  <c:v>2140110</c:v>
                </c:pt>
              </c:numCache>
            </c:numRef>
          </c:cat>
          <c:val>
            <c:numRef>
              <c:f>Sheet1!$B$3:$B$6</c:f>
              <c:numCache>
                <c:formatCode>General</c:formatCode>
                <c:ptCount val="4"/>
                <c:pt idx="0">
                  <c:v>9.01</c:v>
                </c:pt>
                <c:pt idx="1">
                  <c:v>13691.44</c:v>
                </c:pt>
                <c:pt idx="2">
                  <c:v>1001.69</c:v>
                </c:pt>
                <c:pt idx="3">
                  <c:v>34.99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2210201</c:v>
                </c:pt>
              </c:numCache>
            </c:numRef>
          </c:cat>
          <c:val>
            <c:numRef>
              <c:f>Sheet1!$B$2:$B$3</c:f>
              <c:numCache>
                <c:formatCode>General</c:formatCode>
                <c:ptCount val="2"/>
                <c:pt idx="0">
                  <c:v>66.2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其他</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2299999</c:v>
                </c:pt>
              </c:numCache>
            </c:numRef>
          </c:cat>
          <c:val>
            <c:numRef>
              <c:f>Sheet1!$B$2:$B$3</c:f>
              <c:numCache>
                <c:formatCode>General</c:formatCode>
                <c:ptCount val="2"/>
                <c:pt idx="0">
                  <c:v>222.64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Sheet1!$A$2:$A$14</c:f>
              <c:strCach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strCache>
            </c:strRef>
          </c:cat>
          <c:val>
            <c:numRef>
              <c:f>Sheet1!$B$2:$B$14</c:f>
              <c:numCache>
                <c:formatCode>General</c:formatCode>
                <c:ptCount val="13"/>
                <c:pt idx="0">
                  <c:v>356.71</c:v>
                </c:pt>
                <c:pt idx="1">
                  <c:v>162.24</c:v>
                </c:pt>
                <c:pt idx="2">
                  <c:v>100.19</c:v>
                </c:pt>
                <c:pt idx="3">
                  <c:v>24.3</c:v>
                </c:pt>
                <c:pt idx="4">
                  <c:v>238.59</c:v>
                </c:pt>
                <c:pt idx="5">
                  <c:v>131.11</c:v>
                </c:pt>
                <c:pt idx="6">
                  <c:v>0</c:v>
                </c:pt>
                <c:pt idx="7">
                  <c:v>53.35</c:v>
                </c:pt>
                <c:pt idx="8">
                  <c:v>50.92</c:v>
                </c:pt>
                <c:pt idx="9">
                  <c:v>3.75</c:v>
                </c:pt>
                <c:pt idx="10">
                  <c:v>98.52</c:v>
                </c:pt>
                <c:pt idx="11">
                  <c:v>0</c:v>
                </c:pt>
                <c:pt idx="12">
                  <c:v>5.29</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Sheet1!$A$2:$A$28</c:f>
              <c:strCach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strCache>
            </c:strRef>
          </c:cat>
          <c:val>
            <c:numRef>
              <c:f>Sheet1!$B$2:$B$28</c:f>
              <c:numCache>
                <c:formatCode>General</c:formatCode>
                <c:ptCount val="27"/>
                <c:pt idx="0">
                  <c:v>2.64</c:v>
                </c:pt>
                <c:pt idx="1">
                  <c:v>0</c:v>
                </c:pt>
                <c:pt idx="2">
                  <c:v>0</c:v>
                </c:pt>
                <c:pt idx="3">
                  <c:v>0</c:v>
                </c:pt>
                <c:pt idx="4">
                  <c:v>0</c:v>
                </c:pt>
                <c:pt idx="5">
                  <c:v>0</c:v>
                </c:pt>
                <c:pt idx="6">
                  <c:v>0.01</c:v>
                </c:pt>
                <c:pt idx="7">
                  <c:v>0</c:v>
                </c:pt>
                <c:pt idx="8">
                  <c:v>0</c:v>
                </c:pt>
                <c:pt idx="9">
                  <c:v>8</c:v>
                </c:pt>
                <c:pt idx="10">
                  <c:v>0</c:v>
                </c:pt>
                <c:pt idx="11">
                  <c:v>0</c:v>
                </c:pt>
                <c:pt idx="12">
                  <c:v>0</c:v>
                </c:pt>
                <c:pt idx="13">
                  <c:v>0.18</c:v>
                </c:pt>
                <c:pt idx="14">
                  <c:v>5.27</c:v>
                </c:pt>
                <c:pt idx="15">
                  <c:v>0</c:v>
                </c:pt>
                <c:pt idx="16">
                  <c:v>0</c:v>
                </c:pt>
                <c:pt idx="17">
                  <c:v>0</c:v>
                </c:pt>
                <c:pt idx="18">
                  <c:v>0</c:v>
                </c:pt>
                <c:pt idx="19">
                  <c:v>0.2</c:v>
                </c:pt>
                <c:pt idx="20">
                  <c:v>0</c:v>
                </c:pt>
                <c:pt idx="21">
                  <c:v>16.9</c:v>
                </c:pt>
                <c:pt idx="22">
                  <c:v>0</c:v>
                </c:pt>
                <c:pt idx="23">
                  <c:v>0</c:v>
                </c:pt>
                <c:pt idx="24">
                  <c:v>0</c:v>
                </c:pt>
                <c:pt idx="25">
                  <c:v>0</c:v>
                </c:pt>
                <c:pt idx="26">
                  <c:v>0.05</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1</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2023-11-23T09:09:12Z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A1C3957C011D493A97CA386750673C42</vt:lpwstr>
  </property>
</Properties>
</file>