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default" w:ascii="黑体" w:hAnsi="黑体" w:eastAsia="黑体" w:cs="黑体"/>
          <w:b/>
          <w:bCs/>
          <w:sz w:val="52"/>
          <w:szCs w:val="52"/>
          <w:highlight w:val="none"/>
          <w:lang w:val="en-US" w:eastAsia="zh-CN"/>
        </w:rPr>
      </w:pPr>
      <w:r>
        <w:rPr>
          <w:rFonts w:hint="default" w:ascii="黑体" w:hAnsi="黑体" w:eastAsia="黑体" w:cs="黑体"/>
          <w:b/>
          <w:bCs/>
          <w:sz w:val="52"/>
          <w:szCs w:val="52"/>
          <w:highlight w:val="none"/>
          <w:lang w:eastAsia="zh-CN"/>
        </w:rPr>
        <w:t>环江毛南族自治县</w:t>
      </w:r>
      <w:r>
        <w:rPr>
          <w:rFonts w:hint="eastAsia" w:ascii="黑体" w:hAnsi="黑体" w:eastAsia="黑体" w:cs="黑体"/>
          <w:b/>
          <w:bCs/>
          <w:sz w:val="52"/>
          <w:szCs w:val="52"/>
          <w:highlight w:val="none"/>
          <w:lang w:val="en-US" w:eastAsia="zh-CN"/>
        </w:rPr>
        <w:t>发展和改革局</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both"/>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单位</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6"/>
          <w:szCs w:val="36"/>
          <w:highlight w:val="none"/>
        </w:rPr>
      </w:pPr>
      <w:r>
        <w:rPr>
          <w:rFonts w:hint="eastAsia" w:ascii="黑体" w:hAnsi="黑体" w:eastAsia="黑体" w:cs="黑体"/>
          <w:b/>
          <w:bCs/>
          <w:sz w:val="36"/>
          <w:szCs w:val="36"/>
          <w:highlight w:val="none"/>
        </w:rPr>
        <w:t>第一部分：</w:t>
      </w:r>
      <w:r>
        <w:rPr>
          <w:rFonts w:hint="eastAsia" w:ascii="黑体" w:hAnsi="黑体" w:eastAsia="黑体" w:cs="黑体"/>
          <w:b/>
          <w:sz w:val="36"/>
          <w:szCs w:val="36"/>
          <w:u w:color="auto"/>
          <w:lang w:eastAsia="zh-CN"/>
        </w:rPr>
        <w:t>单位</w:t>
      </w:r>
      <w:r>
        <w:rPr>
          <w:rFonts w:hint="eastAsia" w:ascii="黑体" w:hAnsi="黑体" w:eastAsia="黑体" w:cs="黑体"/>
          <w:b/>
          <w:bCs/>
          <w:sz w:val="36"/>
          <w:szCs w:val="36"/>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pacing w:line="600" w:lineRule="exact"/>
        <w:ind w:firstLine="570"/>
        <w:rPr>
          <w:rFonts w:hint="eastAsia" w:ascii="仿宋" w:hAnsi="仿宋" w:eastAsia="仿宋" w:cs="仿宋"/>
          <w:sz w:val="32"/>
          <w:szCs w:val="32"/>
        </w:rPr>
      </w:pPr>
      <w:r>
        <w:rPr>
          <w:rFonts w:hint="eastAsia" w:ascii="仿宋" w:hAnsi="仿宋" w:eastAsia="仿宋" w:cs="仿宋"/>
          <w:sz w:val="32"/>
          <w:szCs w:val="32"/>
        </w:rPr>
        <w:t>①贯彻执行国家经济和社会发展的方针、政策，拟订并组织实施全县国民经济和社会发展战略、中长期规划、重点专项规划、主体功能区规划和年度发展计划；受自治县人民政府委托，向自治县人大提交国民经济和社会发展计划的报告。</w:t>
      </w:r>
    </w:p>
    <w:p>
      <w:pPr>
        <w:spacing w:line="600" w:lineRule="exact"/>
        <w:ind w:firstLine="570"/>
        <w:rPr>
          <w:rFonts w:hint="eastAsia" w:ascii="仿宋" w:hAnsi="仿宋" w:eastAsia="仿宋" w:cs="仿宋"/>
          <w:sz w:val="32"/>
          <w:szCs w:val="32"/>
        </w:rPr>
      </w:pPr>
      <w:r>
        <w:rPr>
          <w:rFonts w:hint="eastAsia" w:ascii="仿宋" w:hAnsi="仿宋" w:eastAsia="仿宋" w:cs="仿宋"/>
          <w:sz w:val="32"/>
          <w:szCs w:val="32"/>
        </w:rPr>
        <w:t>②负责对全县宏观经济运行进行预测、预警，研究经济运行中带有全局性的重大问题，提出对策建议；汇总和分析财政、金融以及其他经济和社会发展的情况，提出相关措施和建议。</w:t>
      </w:r>
    </w:p>
    <w:p>
      <w:pPr>
        <w:spacing w:line="600" w:lineRule="exact"/>
        <w:ind w:firstLine="630"/>
        <w:rPr>
          <w:rFonts w:hint="eastAsia" w:ascii="仿宋" w:hAnsi="仿宋" w:eastAsia="仿宋" w:cs="仿宋"/>
          <w:sz w:val="32"/>
          <w:szCs w:val="32"/>
        </w:rPr>
      </w:pPr>
      <w:r>
        <w:rPr>
          <w:rFonts w:hint="eastAsia" w:ascii="仿宋" w:hAnsi="仿宋" w:eastAsia="仿宋" w:cs="仿宋"/>
          <w:sz w:val="32"/>
          <w:szCs w:val="32"/>
        </w:rPr>
        <w:t>③承担指导推进和协调全县经济体制改革的责任，协调和组织拟订综合性及有关专项经济体制改革方案；提出完善社会主义市场经济体制对策建议；深化改革开放，推进区域经济合作。</w:t>
      </w:r>
    </w:p>
    <w:p>
      <w:pPr>
        <w:spacing w:line="600" w:lineRule="exact"/>
        <w:ind w:firstLine="570"/>
        <w:rPr>
          <w:rFonts w:hint="eastAsia" w:ascii="仿宋" w:hAnsi="仿宋" w:eastAsia="仿宋" w:cs="仿宋"/>
          <w:sz w:val="32"/>
          <w:szCs w:val="32"/>
        </w:rPr>
      </w:pPr>
      <w:r>
        <w:rPr>
          <w:rFonts w:hint="eastAsia" w:ascii="仿宋" w:hAnsi="仿宋" w:eastAsia="仿宋" w:cs="仿宋"/>
          <w:sz w:val="32"/>
          <w:szCs w:val="32"/>
        </w:rPr>
        <w:t>④提出全县社会固定资产投资总规模，负责固定资产投资管理；统筹安排国家和地方财政性建设资金、政府性建设基金和国家下拨的专项资金；汇总编制全县固定资产投资中长期规划和年度计划；编制以工代赈项目、人口较少民族项目巩退耕还林成果项目及易地扶贫搬迁试点工程项目投资计划并组织实施；指导和监督国外贷款建设资金的使用；研究提出投融资政策措施；指导和监督政策性贷款的使用方向；引导民间资金用于固定资产投资的方向。</w:t>
      </w:r>
    </w:p>
    <w:p>
      <w:pPr>
        <w:spacing w:line="600" w:lineRule="exact"/>
        <w:ind w:firstLine="570"/>
        <w:rPr>
          <w:rFonts w:hint="eastAsia" w:ascii="仿宋" w:hAnsi="仿宋" w:eastAsia="仿宋" w:cs="仿宋"/>
          <w:sz w:val="32"/>
          <w:szCs w:val="32"/>
        </w:rPr>
      </w:pPr>
      <w:r>
        <w:rPr>
          <w:rFonts w:hint="eastAsia" w:ascii="仿宋" w:hAnsi="仿宋" w:eastAsia="仿宋" w:cs="仿宋"/>
          <w:sz w:val="32"/>
          <w:szCs w:val="32"/>
        </w:rPr>
        <w:t>⑤规划重大项目和生产力布局。负责全县重大建设项目的布局和前期工作的组织、协调、管理；提出并组织实施年度全县重点建设项目，统一归口办理需报上级发改委审批的工业、电力等建设项目；指导和协调全县招标投标工作。</w:t>
      </w:r>
    </w:p>
    <w:p>
      <w:pPr>
        <w:spacing w:line="600" w:lineRule="exact"/>
        <w:ind w:firstLine="570"/>
        <w:rPr>
          <w:rFonts w:hint="eastAsia" w:ascii="仿宋" w:hAnsi="仿宋" w:eastAsia="仿宋" w:cs="仿宋"/>
          <w:sz w:val="32"/>
          <w:szCs w:val="32"/>
        </w:rPr>
      </w:pPr>
      <w:r>
        <w:rPr>
          <w:rFonts w:hint="eastAsia" w:ascii="仿宋" w:hAnsi="仿宋" w:eastAsia="仿宋" w:cs="仿宋"/>
          <w:sz w:val="32"/>
          <w:szCs w:val="32"/>
        </w:rPr>
        <w:t>⑥研究提出全县利用外资和境外投资的战略和政策措施，编制全县利用外资和境外投资规划，引导外资投向。</w:t>
      </w:r>
    </w:p>
    <w:p>
      <w:pPr>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 w:hAnsi="仿宋" w:eastAsia="仿宋" w:cs="仿宋"/>
          <w:sz w:val="32"/>
          <w:szCs w:val="32"/>
        </w:rPr>
        <w:t>⑦研究分析市场的供求状况，提出重要商品市场供求的总量平衡和宏观调控对策；编制全县重要农产品、工业品和原材料进出口计划，监督计划执行情况；管理粮食、食糖、食盐等重要物资和商品的储备；研究提出服务业、现代物流业发展的战略和规划。</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2022年度环江毛南族自治县发展和改革局汇总决算报表由1个单位决算报表构成。机构名称：环江毛南族自治县发展和改革局，机构性质：行政机关，单位组织机构代码：008065386，单位统一社会信用代码：114512260080965386P，为行政独立核算部门。</w:t>
      </w:r>
      <w:r>
        <w:rPr>
          <w:rFonts w:hint="eastAsia" w:ascii="仿宋" w:hAnsi="仿宋" w:eastAsia="仿宋" w:cs="仿宋"/>
          <w:sz w:val="32"/>
          <w:szCs w:val="32"/>
        </w:rPr>
        <w:t>我部门没有下属单位，按照部门决算编报要求，单独编制本部门决算。</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对机构设置</w:t>
      </w:r>
      <w:r>
        <w:rPr>
          <w:rFonts w:hint="eastAsia" w:ascii="仿宋" w:hAnsi="仿宋" w:eastAsia="仿宋" w:cs="仿宋"/>
          <w:sz w:val="32"/>
          <w:szCs w:val="32"/>
          <w:lang w:val="en-US" w:eastAsia="zh-CN"/>
        </w:rPr>
        <w:t>有：</w:t>
      </w:r>
      <w:r>
        <w:rPr>
          <w:rFonts w:hint="eastAsia" w:ascii="仿宋" w:hAnsi="仿宋" w:eastAsia="仿宋" w:cs="仿宋"/>
          <w:sz w:val="32"/>
          <w:szCs w:val="32"/>
        </w:rPr>
        <w:t>1个行政单位，即环江毛南族自治县发展和改革局本级；4个事业单位，即环江毛南族自治县项目管理办公室、环江毛南族自治县储备粮管理中心、环江毛南族自治县粮食执法大队、环江毛南族自治县价格认定中心。</w:t>
      </w:r>
    </w:p>
    <w:p>
      <w:pPr>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人员编制情况</w:t>
      </w:r>
      <w:r>
        <w:rPr>
          <w:rFonts w:hint="eastAsia" w:ascii="仿宋" w:hAnsi="仿宋" w:eastAsia="仿宋" w:cs="仿宋"/>
          <w:sz w:val="32"/>
          <w:szCs w:val="32"/>
          <w:lang w:eastAsia="zh-CN"/>
        </w:rPr>
        <w:t>：</w:t>
      </w:r>
      <w:r>
        <w:rPr>
          <w:rFonts w:hint="eastAsia" w:ascii="仿宋" w:hAnsi="仿宋" w:eastAsia="仿宋" w:cs="仿宋"/>
          <w:sz w:val="32"/>
          <w:szCs w:val="32"/>
        </w:rPr>
        <w:t>人员编制总数为5</w:t>
      </w:r>
      <w:r>
        <w:rPr>
          <w:rFonts w:hint="eastAsia" w:ascii="仿宋" w:hAnsi="仿宋" w:eastAsia="仿宋" w:cs="仿宋"/>
          <w:sz w:val="32"/>
          <w:szCs w:val="32"/>
          <w:lang w:val="en-US" w:eastAsia="zh-CN"/>
        </w:rPr>
        <w:t>5</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18</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36</w:t>
      </w:r>
      <w:r>
        <w:rPr>
          <w:rFonts w:hint="eastAsia" w:ascii="仿宋" w:hAnsi="仿宋" w:eastAsia="仿宋" w:cs="仿宋"/>
          <w:sz w:val="32"/>
          <w:szCs w:val="32"/>
        </w:rPr>
        <w:t>人，机关后勤服务中心聘用人员控制数1人。实有财政供养人数</w:t>
      </w:r>
      <w:r>
        <w:rPr>
          <w:rFonts w:hint="eastAsia" w:ascii="仿宋" w:hAnsi="仿宋" w:eastAsia="仿宋" w:cs="仿宋"/>
          <w:sz w:val="32"/>
          <w:szCs w:val="32"/>
          <w:lang w:val="en-US" w:eastAsia="zh-CN"/>
        </w:rPr>
        <w:t>51</w:t>
      </w:r>
      <w:r>
        <w:rPr>
          <w:rFonts w:hint="eastAsia" w:ascii="仿宋" w:hAnsi="仿宋" w:eastAsia="仿宋" w:cs="仿宋"/>
          <w:sz w:val="32"/>
          <w:szCs w:val="32"/>
        </w:rPr>
        <w:t>人，其中行政在职1</w:t>
      </w:r>
      <w:r>
        <w:rPr>
          <w:rFonts w:hint="eastAsia" w:ascii="仿宋" w:hAnsi="仿宋" w:eastAsia="仿宋" w:cs="仿宋"/>
          <w:sz w:val="32"/>
          <w:szCs w:val="32"/>
          <w:lang w:val="en-US" w:eastAsia="zh-CN"/>
        </w:rPr>
        <w:t>9</w:t>
      </w:r>
      <w:r>
        <w:rPr>
          <w:rFonts w:hint="eastAsia" w:ascii="仿宋" w:hAnsi="仿宋" w:eastAsia="仿宋" w:cs="仿宋"/>
          <w:sz w:val="32"/>
          <w:szCs w:val="32"/>
        </w:rPr>
        <w:t>人，事业在职</w:t>
      </w:r>
      <w:r>
        <w:rPr>
          <w:rFonts w:hint="eastAsia" w:ascii="仿宋" w:hAnsi="仿宋" w:eastAsia="仿宋" w:cs="仿宋"/>
          <w:sz w:val="32"/>
          <w:szCs w:val="32"/>
          <w:lang w:val="en-US" w:eastAsia="zh-CN"/>
        </w:rPr>
        <w:t>32</w:t>
      </w:r>
      <w:r>
        <w:rPr>
          <w:rFonts w:hint="eastAsia" w:ascii="仿宋" w:hAnsi="仿宋" w:eastAsia="仿宋" w:cs="仿宋"/>
          <w:sz w:val="32"/>
          <w:szCs w:val="32"/>
        </w:rPr>
        <w:t>人，离退休人员7</w:t>
      </w:r>
      <w:r>
        <w:rPr>
          <w:rFonts w:hint="eastAsia" w:ascii="仿宋" w:hAnsi="仿宋" w:eastAsia="仿宋" w:cs="仿宋"/>
          <w:sz w:val="32"/>
          <w:szCs w:val="32"/>
          <w:lang w:val="en-US" w:eastAsia="zh-CN"/>
        </w:rPr>
        <w:t>3</w:t>
      </w:r>
      <w:r>
        <w:rPr>
          <w:rFonts w:hint="eastAsia" w:ascii="仿宋" w:hAnsi="仿宋" w:eastAsia="仿宋" w:cs="仿宋"/>
          <w:sz w:val="32"/>
          <w:szCs w:val="32"/>
        </w:rPr>
        <w:t>人（其中离休0人）。编外在职实有人数</w:t>
      </w:r>
      <w:r>
        <w:rPr>
          <w:rFonts w:hint="eastAsia" w:ascii="仿宋" w:hAnsi="仿宋" w:eastAsia="仿宋" w:cs="仿宋"/>
          <w:sz w:val="32"/>
          <w:szCs w:val="32"/>
          <w:lang w:val="en-US" w:eastAsia="zh-CN"/>
        </w:rPr>
        <w:t>,3</w:t>
      </w:r>
      <w:r>
        <w:rPr>
          <w:rFonts w:hint="eastAsia" w:ascii="仿宋" w:hAnsi="仿宋" w:eastAsia="仿宋" w:cs="仿宋"/>
          <w:sz w:val="32"/>
          <w:szCs w:val="32"/>
        </w:rPr>
        <w:t>人。具体情况如下：具体情况如下:政府购买服务人员</w:t>
      </w:r>
      <w:r>
        <w:rPr>
          <w:rFonts w:hint="eastAsia" w:ascii="仿宋" w:hAnsi="仿宋" w:eastAsia="仿宋" w:cs="仿宋"/>
          <w:sz w:val="32"/>
          <w:szCs w:val="32"/>
          <w:lang w:val="en-US" w:eastAsia="zh-CN"/>
        </w:rPr>
        <w:t>3</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遗属人员1</w:t>
      </w:r>
      <w:r>
        <w:rPr>
          <w:rFonts w:hint="eastAsia" w:ascii="仿宋" w:hAnsi="仿宋" w:eastAsia="仿宋" w:cs="仿宋"/>
          <w:sz w:val="32"/>
          <w:szCs w:val="32"/>
          <w:lang w:val="en-US" w:eastAsia="zh-CN"/>
        </w:rPr>
        <w:t>1</w:t>
      </w:r>
      <w:r>
        <w:rPr>
          <w:rFonts w:hint="eastAsia" w:ascii="仿宋" w:hAnsi="仿宋" w:eastAsia="仿宋" w:cs="仿宋"/>
          <w:sz w:val="32"/>
          <w:szCs w:val="32"/>
        </w:rPr>
        <w:t>人。</w:t>
      </w:r>
    </w:p>
    <w:p>
      <w:pPr>
        <w:spacing w:line="600" w:lineRule="exact"/>
        <w:ind w:firstLine="640" w:firstLineChars="200"/>
        <w:jc w:val="left"/>
        <w:rPr>
          <w:rFonts w:hint="eastAsia" w:ascii="仿宋" w:hAnsi="仿宋" w:eastAsia="仿宋" w:cs="仿宋"/>
          <w:sz w:val="32"/>
          <w:szCs w:val="32"/>
          <w:lang w:val="en-US" w:eastAsia="zh-CN"/>
        </w:rPr>
      </w:pPr>
    </w:p>
    <w:p>
      <w:pPr>
        <w:jc w:val="center"/>
        <w:rPr>
          <w:rFonts w:hint="eastAsia" w:ascii="黑体" w:hAnsi="黑体" w:eastAsia="黑体" w:cs="黑体"/>
          <w:sz w:val="32"/>
          <w:szCs w:val="32"/>
          <w:highlight w:val="none"/>
          <w:lang w:val="en-US" w:eastAsia="zh-CN"/>
        </w:rPr>
        <w:sectPr>
          <w:footerReference r:id="rId5" w:type="default"/>
          <w:pgSz w:w="11906" w:h="16838"/>
          <w:pgMar w:top="1440" w:right="1800" w:bottom="1440" w:left="1800" w:header="397" w:footer="397" w:gutter="0"/>
          <w:cols w:space="425" w:num="1"/>
          <w:docGrid w:type="lines" w:linePitch="312" w:charSpace="0"/>
        </w:sectPr>
      </w:pPr>
    </w:p>
    <w:p>
      <w:pPr>
        <w:jc w:val="both"/>
        <w:rPr>
          <w:rFonts w:hint="default" w:ascii="黑体" w:hAnsi="黑体" w:eastAsia="黑体" w:cs="黑体"/>
          <w:sz w:val="11"/>
          <w:szCs w:val="11"/>
          <w:highlight w:val="none"/>
          <w:lang w:val="en-US" w:eastAsia="zh-CN"/>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第二部分：2022年度部门决算报表</w:t>
      </w:r>
    </w:p>
    <w:tbl>
      <w:tblPr>
        <w:tblStyle w:val="6"/>
        <w:tblW w:w="45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1"/>
        <w:gridCol w:w="3690"/>
        <w:gridCol w:w="240"/>
        <w:gridCol w:w="1170"/>
        <w:gridCol w:w="1140"/>
        <w:gridCol w:w="90"/>
        <w:gridCol w:w="1102"/>
        <w:gridCol w:w="1414"/>
        <w:gridCol w:w="728"/>
        <w:gridCol w:w="236"/>
        <w:gridCol w:w="506"/>
        <w:gridCol w:w="724"/>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color w:val="000000"/>
                <w:kern w:val="0"/>
                <w:sz w:val="32"/>
                <w:szCs w:val="32"/>
                <w:highlight w:val="none"/>
                <w:lang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810"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519"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2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28" w:type="pct"/>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73"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47"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810"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部门：广西河池市环江毛南族自治县发展和改革局</w:t>
            </w:r>
          </w:p>
        </w:tc>
        <w:tc>
          <w:tcPr>
            <w:tcW w:w="519"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2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28" w:type="pct"/>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73"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47"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49" w:type="pct"/>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250" w:type="pct"/>
            <w:gridSpan w:val="8"/>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47"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7"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5,089.04</w:t>
            </w: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5,118.78</w:t>
            </w: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0"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19"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5,118.78</w:t>
            </w:r>
          </w:p>
        </w:tc>
        <w:tc>
          <w:tcPr>
            <w:tcW w:w="1228" w:type="pct"/>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73" w:type="pct"/>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4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iCs w:val="0"/>
                <w:color w:val="000000"/>
                <w:sz w:val="30"/>
                <w:szCs w:val="30"/>
                <w:u w:val="none"/>
                <w:lang w:val="en-US" w:eastAsia="zh-CN"/>
              </w:rPr>
            </w:pPr>
            <w:r>
              <w:rPr>
                <w:rFonts w:hint="eastAsia" w:ascii="宋体" w:hAnsi="宋体" w:eastAsia="宋体" w:cs="宋体"/>
                <w:color w:val="000000"/>
                <w:kern w:val="0"/>
                <w:sz w:val="32"/>
                <w:szCs w:val="32"/>
                <w:highlight w:val="none"/>
                <w:lang w:val="en-US" w:eastAsia="zh-CN" w:bidi="ar"/>
              </w:rPr>
              <w:t xml:space="preserve">                                 </w:t>
            </w:r>
            <w:r>
              <w:rPr>
                <w:rFonts w:hint="eastAsia" w:ascii="宋体" w:hAnsi="宋体" w:eastAsia="宋体" w:cs="宋体"/>
                <w:color w:val="000000"/>
                <w:kern w:val="0"/>
                <w:sz w:val="32"/>
                <w:szCs w:val="32"/>
                <w:highlight w:val="none"/>
                <w:lang w:bidi="ar"/>
              </w:rPr>
              <w:t>收入决算表</w:t>
            </w:r>
            <w:r>
              <w:rPr>
                <w:rFonts w:hint="eastAsia" w:ascii="宋体" w:hAnsi="宋体" w:eastAsia="宋体" w:cs="宋体"/>
                <w:color w:val="000000"/>
                <w:kern w:val="0"/>
                <w:sz w:val="32"/>
                <w:szCs w:val="32"/>
                <w:highlight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710" w:type="pct"/>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部门：广西河池市环江毛南族自治县发展和改革局</w:t>
            </w:r>
          </w:p>
        </w:tc>
        <w:tc>
          <w:tcPr>
            <w:tcW w:w="355"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34" w:type="pct"/>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98"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3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53"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0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52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55"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453"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8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48" w:type="pct"/>
            <w:gridSpan w:val="2"/>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31"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6"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1"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5"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8" w:type="pct"/>
            <w:gridSpan w:val="2"/>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31"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6"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1"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5"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0" w:type="pct"/>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8" w:type="pct"/>
            <w:gridSpan w:val="2"/>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31"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6"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1"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5"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3" w:type="pct"/>
            <w:gridSpan w:val="2"/>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98" w:type="pct"/>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3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3"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5"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3" w:type="pct"/>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98" w:type="pct"/>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5,118.78</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5,118.78</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678.58</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678.58</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639.41</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639.41</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2010401</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522.61</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522.61</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2010402</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35.93</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35.93</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2010403</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2010404</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战略规划与实施</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2010408</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物价管理</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2010450</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66.25</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66.25</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20137</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网信事务</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2013701</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1,471.61</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1,471.61</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20806</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企业改革补助</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2080699</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其他企业改革发展补助</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329.74</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329.74</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2120806</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土地出让业务支出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1,111.25</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1,111.25</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目标价格补贴</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2130999</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其他目标价格补贴</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291.71</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291.71</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291.71</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291.71</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69.85</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69.85</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2220105</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信息统计</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2220106</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专项业务活动</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粮油储备</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2220403</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储备粮（油）库建设</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2220499</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其他粮油储备支出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22205</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重要商品储备</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2220511</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应急物资储备</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44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tbl>
      <w:tblPr>
        <w:tblStyle w:val="6"/>
        <w:tblpPr w:leftFromText="180" w:rightFromText="180" w:vertAnchor="text" w:horzAnchor="page" w:tblpX="1216" w:tblpY="12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0"/>
        <w:gridCol w:w="3957"/>
        <w:gridCol w:w="1567"/>
        <w:gridCol w:w="1316"/>
        <w:gridCol w:w="1212"/>
        <w:gridCol w:w="1653"/>
        <w:gridCol w:w="1165"/>
        <w:gridCol w:w="2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000" w:type="pct"/>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89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3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1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5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9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1"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89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部门：广西河池市环江毛南族自治县发展和改革局</w:t>
            </w:r>
          </w:p>
        </w:tc>
        <w:tc>
          <w:tcPr>
            <w:tcW w:w="53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1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5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9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1"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96"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3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4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1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5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39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76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37"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3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9"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1"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37" w:type="pct"/>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3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9"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1"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58" w:type="pct"/>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37" w:type="pct"/>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3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9"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1"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896"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3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96"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5,118.78</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2,303.57</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2,815.21</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678.58</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648.08</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639.41</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639.41</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2010401</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522.61</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522.61</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2010402</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35.93</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35.93</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2010403</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2010404</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战略规划与实施</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2010408</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物价管理</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2010450</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66.25</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66.25</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20137</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网信事务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2013701</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1,471.61</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1,471.61</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20806</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企业改革补助</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2080699</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其他企业改革发展补助</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329.74</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329.74</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2120806</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土地出让业务支出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1,111.25</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1,106.25</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637.00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637.00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目标价格补贴</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2130999</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其他目标价格补贴</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291.71</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291.71</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291.71</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291.71</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69.85</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2220105</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信息统计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2220106</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专项业务活动</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粮油储备</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2220403</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储备粮（油）库建设</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2220499</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其他粮油储备支出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22205</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重要商品储备</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2220511</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应急物资储备</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116.99</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1,288.72</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116.99</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1,288.72</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3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116.99</w:t>
            </w:r>
          </w:p>
        </w:tc>
        <w:tc>
          <w:tcPr>
            <w:tcW w:w="4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1,288.72</w:t>
            </w:r>
          </w:p>
        </w:tc>
        <w:tc>
          <w:tcPr>
            <w:tcW w:w="5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44"/>
        <w:gridCol w:w="790"/>
        <w:gridCol w:w="1339"/>
        <w:gridCol w:w="3369"/>
        <w:gridCol w:w="710"/>
        <w:gridCol w:w="1126"/>
        <w:gridCol w:w="1623"/>
        <w:gridCol w:w="1136"/>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816" w:type="pct"/>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3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8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4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8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89"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816" w:type="pct"/>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部门：广西河池市环江毛南族自治县发展和改革局</w:t>
            </w:r>
          </w:p>
        </w:tc>
        <w:tc>
          <w:tcPr>
            <w:tcW w:w="113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8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4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4"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16"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183"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96"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6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5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13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4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81"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4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38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48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96" w:type="pct"/>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7"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2"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9"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0"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1" w:type="pct"/>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48"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4"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9"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5,089.04</w:t>
            </w: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678.58</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678.58</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1,471.61</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1,471.61</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329.74</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1,111.25</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1,111.25</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69.85</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69.85</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5,118.78</w:t>
            </w: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5,118.78</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5,089.04</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5,118.78</w:t>
            </w:r>
          </w:p>
        </w:tc>
        <w:tc>
          <w:tcPr>
            <w:tcW w:w="113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5,118.78</w:t>
            </w:r>
          </w:p>
        </w:tc>
        <w:tc>
          <w:tcPr>
            <w:tcW w:w="5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5,089.04</w:t>
            </w:r>
          </w:p>
        </w:tc>
        <w:tc>
          <w:tcPr>
            <w:tcW w:w="3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10" w:type="pct"/>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48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rPr>
          <w:rFonts w:ascii="仿宋" w:hAnsi="仿宋" w:eastAsia="仿宋" w:cs="仿宋"/>
          <w:sz w:val="24"/>
          <w:highlight w:val="none"/>
        </w:rPr>
      </w:pPr>
    </w:p>
    <w:tbl>
      <w:tblPr>
        <w:tblStyle w:val="6"/>
        <w:tblW w:w="44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4139"/>
        <w:gridCol w:w="2292"/>
        <w:gridCol w:w="2756"/>
        <w:gridCol w:w="2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8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6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6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5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142"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部门：广西河池市环江毛南族自治县发展和改革局</w:t>
            </w:r>
          </w:p>
        </w:tc>
        <w:tc>
          <w:tcPr>
            <w:tcW w:w="86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5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42"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57"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62"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6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4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5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80" w:type="pct"/>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2" w:type="pct"/>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5"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40"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0"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2" w:type="pct"/>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5"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40"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0"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42"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42"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5,089.04</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2,303.57</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2,785.47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678.58</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648.08</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639.41</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639.41</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2010401</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522.61</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522.61</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2010402</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35.93</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35.93</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2010403</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2010404</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战略规划与实施</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2010408</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物价管理</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2010450</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66.25</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66.25</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20137</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网信事务</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2013701</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1,471.61</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1,471.61</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20806</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企业改革补助</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2080699</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其他企业改革发展补助</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1,111.25</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637.00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637.00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目标价格补贴</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2130999</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其他目标价格补贴</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291.71</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291.71</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69.85</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2220105</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信息统计</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2220106</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专项业务活动</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粮油储备</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2220403</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储备粮（油）库建设</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2220499</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其他粮油储备支出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22205</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重要商品储备</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2220511</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应急物资储备</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116.99</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116.99</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5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1,405.71</w:t>
            </w:r>
          </w:p>
        </w:tc>
        <w:tc>
          <w:tcPr>
            <w:tcW w:w="10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116.99</w:t>
            </w:r>
          </w:p>
        </w:tc>
        <w:tc>
          <w:tcPr>
            <w:tcW w:w="9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6"/>
        <w:gridCol w:w="2445"/>
        <w:gridCol w:w="1486"/>
        <w:gridCol w:w="1109"/>
        <w:gridCol w:w="2145"/>
        <w:gridCol w:w="1185"/>
        <w:gridCol w:w="1140"/>
        <w:gridCol w:w="3224"/>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82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7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2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0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8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76"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737" w:type="pct"/>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部门：广西河池市环江毛南族自治县发展和改革局</w:t>
            </w:r>
          </w:p>
        </w:tc>
        <w:tc>
          <w:tcPr>
            <w:tcW w:w="37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2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0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8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76"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737"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262"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82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0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7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2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0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8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9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8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6"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02"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25"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0"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5"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0"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6"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653.02</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159.48</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204.33</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57.75</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166.05</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50.43</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1,491.06</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72.88</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46.64</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7"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826" w:type="pct"/>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4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w:t>
            </w:r>
          </w:p>
        </w:tc>
        <w:tc>
          <w:tcPr>
            <w:tcW w:w="385" w:type="pct"/>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90" w:type="pct"/>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34"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5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2,144.09</w:t>
            </w:r>
          </w:p>
        </w:tc>
        <w:tc>
          <w:tcPr>
            <w:tcW w:w="2976" w:type="pct"/>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2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p>
      <w:pPr>
        <w:rPr>
          <w:rFonts w:ascii="仿宋" w:hAnsi="仿宋" w:eastAsia="仿宋" w:cs="仿宋"/>
          <w:sz w:val="24"/>
          <w:highlight w:val="none"/>
        </w:rPr>
      </w:pPr>
    </w:p>
    <w:tbl>
      <w:tblPr>
        <w:tblStyle w:val="6"/>
        <w:tblW w:w="49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3"/>
        <w:gridCol w:w="3779"/>
        <w:gridCol w:w="1876"/>
        <w:gridCol w:w="1416"/>
        <w:gridCol w:w="1118"/>
        <w:gridCol w:w="1307"/>
        <w:gridCol w:w="1744"/>
        <w:gridCol w:w="2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743"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3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8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4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25"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743"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部门：广西河池市环江毛南族自治县发展和改革局</w:t>
            </w:r>
          </w:p>
        </w:tc>
        <w:tc>
          <w:tcPr>
            <w:tcW w:w="63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8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4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25"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43"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3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8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413"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72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81"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36"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4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9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25"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1" w:type="pct"/>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6"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9"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90"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25"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1" w:type="pct"/>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6"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9"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3"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90"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25" w:type="pct"/>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3"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3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43"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29.74</w:t>
            </w:r>
          </w:p>
        </w:tc>
        <w:tc>
          <w:tcPr>
            <w:tcW w:w="3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29.74</w:t>
            </w:r>
          </w:p>
        </w:tc>
        <w:tc>
          <w:tcPr>
            <w:tcW w:w="4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29.74</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3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4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2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3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4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2120806</w:t>
            </w:r>
          </w:p>
        </w:tc>
        <w:tc>
          <w:tcPr>
            <w:tcW w:w="12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土地出让业务支出</w:t>
            </w:r>
          </w:p>
        </w:tc>
        <w:tc>
          <w:tcPr>
            <w:tcW w:w="6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3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4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3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9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4163" w:type="pct"/>
        <w:tblInd w:w="516" w:type="dxa"/>
        <w:tblLayout w:type="autofit"/>
        <w:tblCellMar>
          <w:top w:w="0" w:type="dxa"/>
          <w:left w:w="108" w:type="dxa"/>
          <w:bottom w:w="0" w:type="dxa"/>
          <w:right w:w="108" w:type="dxa"/>
        </w:tblCellMar>
      </w:tblPr>
      <w:tblGrid>
        <w:gridCol w:w="4616"/>
        <w:gridCol w:w="222"/>
        <w:gridCol w:w="222"/>
        <w:gridCol w:w="436"/>
        <w:gridCol w:w="656"/>
        <w:gridCol w:w="1096"/>
        <w:gridCol w:w="5063"/>
      </w:tblGrid>
      <w:tr>
        <w:tblPrEx>
          <w:tblCellMar>
            <w:top w:w="0" w:type="dxa"/>
            <w:left w:w="108" w:type="dxa"/>
            <w:bottom w:w="0" w:type="dxa"/>
            <w:right w:w="108" w:type="dxa"/>
          </w:tblCellMar>
        </w:tblPrEx>
        <w:trPr>
          <w:trHeight w:val="384"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rPr>
          <w:trHeight w:val="264" w:hRule="atLeast"/>
        </w:trPr>
        <w:tc>
          <w:tcPr>
            <w:tcW w:w="187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7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6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6"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公开08表</w:t>
            </w:r>
          </w:p>
        </w:tc>
      </w:tr>
      <w:tr>
        <w:tblPrEx>
          <w:tblCellMar>
            <w:top w:w="0" w:type="dxa"/>
            <w:left w:w="108" w:type="dxa"/>
            <w:bottom w:w="0" w:type="dxa"/>
            <w:right w:w="108" w:type="dxa"/>
          </w:tblCellMar>
        </w:tblPrEx>
        <w:trPr>
          <w:trHeight w:val="264" w:hRule="atLeast"/>
        </w:trPr>
        <w:tc>
          <w:tcPr>
            <w:tcW w:w="1874"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部门：广西河池市环江毛南族自治县发展和改革局</w:t>
            </w:r>
          </w:p>
        </w:tc>
        <w:tc>
          <w:tcPr>
            <w:tcW w:w="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7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6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4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056"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08" w:hRule="atLeast"/>
        </w:trPr>
        <w:tc>
          <w:tcPr>
            <w:tcW w:w="223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27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12" w:hRule="atLeast"/>
        </w:trPr>
        <w:tc>
          <w:tcPr>
            <w:tcW w:w="2054"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科目名称</w:t>
            </w:r>
          </w:p>
        </w:tc>
        <w:tc>
          <w:tcPr>
            <w:tcW w:w="2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基本支出</w:t>
            </w:r>
          </w:p>
        </w:tc>
        <w:tc>
          <w:tcPr>
            <w:tcW w:w="20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r>
      <w:tr>
        <w:trPr>
          <w:trHeight w:val="312" w:hRule="atLeast"/>
        </w:trPr>
        <w:tc>
          <w:tcPr>
            <w:tcW w:w="2231" w:type="pct"/>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205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12" w:hRule="atLeast"/>
        </w:trPr>
        <w:tc>
          <w:tcPr>
            <w:tcW w:w="2231" w:type="pct"/>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26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w:t>
            </w:r>
          </w:p>
        </w:tc>
        <w:tc>
          <w:tcPr>
            <w:tcW w:w="44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eastAsiaTheme="minorEastAsia"/>
                <w:lang w:val="en-US" w:eastAsia="zh-CN"/>
              </w:rPr>
            </w:pPr>
            <w:r>
              <w:rPr>
                <w:rFonts w:hint="eastAsia"/>
                <w:lang w:val="en-US" w:eastAsia="zh-CN"/>
              </w:rPr>
              <w:t>0</w:t>
            </w:r>
          </w:p>
        </w:tc>
        <w:tc>
          <w:tcPr>
            <w:tcW w:w="2056" w:type="pct"/>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w:t>
            </w:r>
          </w:p>
        </w:tc>
      </w:tr>
      <w:tr>
        <w:tblPrEx>
          <w:tblCellMar>
            <w:top w:w="0" w:type="dxa"/>
            <w:left w:w="108" w:type="dxa"/>
            <w:bottom w:w="0" w:type="dxa"/>
            <w:right w:w="108" w:type="dxa"/>
          </w:tblCellMar>
        </w:tblPrEx>
        <w:trPr>
          <w:trHeight w:val="308" w:hRule="atLeast"/>
        </w:trPr>
        <w:tc>
          <w:tcPr>
            <w:tcW w:w="20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rPr>
            </w:pPr>
          </w:p>
        </w:tc>
        <w:tc>
          <w:tcPr>
            <w:tcW w:w="26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4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2056"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tbl>
      <w:tblPr>
        <w:tblStyle w:val="6"/>
        <w:tblW w:w="47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0"/>
        <w:gridCol w:w="1412"/>
        <w:gridCol w:w="1063"/>
        <w:gridCol w:w="1197"/>
        <w:gridCol w:w="1138"/>
        <w:gridCol w:w="1071"/>
        <w:gridCol w:w="1013"/>
        <w:gridCol w:w="1124"/>
        <w:gridCol w:w="1127"/>
        <w:gridCol w:w="1133"/>
        <w:gridCol w:w="1275"/>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30"/>
                <w:szCs w:val="30"/>
                <w:highlight w:val="none"/>
                <w:lang w:bidi="ar"/>
              </w:rPr>
            </w:pPr>
            <w:r>
              <w:rPr>
                <w:rFonts w:hint="eastAsia" w:ascii="仿宋" w:hAnsi="仿宋" w:eastAsia="仿宋" w:cs="仿宋"/>
                <w:sz w:val="24"/>
                <w:highlight w:val="none"/>
                <w:lang w:val="en-US" w:eastAsia="zh-CN"/>
              </w:rPr>
              <w:t>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859" w:type="pct"/>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0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8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0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83" w:type="pct"/>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859" w:type="pct"/>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部门：广西河池市环江毛南族自治县发展和改革局</w:t>
            </w:r>
          </w:p>
        </w:tc>
        <w:tc>
          <w:tcPr>
            <w:tcW w:w="40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8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0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83" w:type="pct"/>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49"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350"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7"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0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14"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38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6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0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63"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32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47" w:type="pct"/>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04"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2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82"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2"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1"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0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5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22" w:type="pct"/>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7"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0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0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2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5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4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134" w:right="1134" w:bottom="964" w:left="1134" w:header="680" w:footer="567" w:gutter="0"/>
          <w:cols w:space="0" w:num="1"/>
          <w:rtlGutter w:val="0"/>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u w:color="auto"/>
          <w:lang w:val="en-US" w:eastAsia="zh-CN"/>
        </w:rPr>
        <w:t>5118.78</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增加2275.31</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增长80.02</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5118.78</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5089.04</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环江毛南族自治县</w:t>
      </w:r>
      <w:r>
        <w:rPr>
          <w:rFonts w:hint="eastAsia" w:ascii="仿宋" w:hAnsi="仿宋" w:eastAsia="仿宋" w:cs="仿宋"/>
          <w:kern w:val="2"/>
          <w:sz w:val="32"/>
          <w:szCs w:val="32"/>
          <w:highlight w:val="none"/>
          <w:lang w:val="en-US" w:eastAsia="zh-CN" w:bidi="ar"/>
        </w:rPr>
        <w:t>本级财政当年拨付的资金。较2021年度决算数增加2245.57万元，增长78.97%，主要原因：社会保障和就业支出增加、农林水收增加、住房保证支出增加以及其他支出收入增加</w:t>
      </w:r>
      <w:r>
        <w:rPr>
          <w:rFonts w:hint="default"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2.政府性基金预算财政拨款收入29.74万元，为</w:t>
      </w:r>
      <w:r>
        <w:rPr>
          <w:rFonts w:hint="eastAsia" w:ascii="仿宋" w:hAnsi="仿宋" w:eastAsia="仿宋" w:cs="仿宋"/>
          <w:sz w:val="32"/>
          <w:szCs w:val="32"/>
          <w:highlight w:val="none"/>
          <w:lang w:val="en-US" w:eastAsia="zh-CN"/>
        </w:rPr>
        <w:t>环江毛南族自治县</w:t>
      </w:r>
      <w:r>
        <w:rPr>
          <w:rFonts w:hint="eastAsia" w:ascii="仿宋" w:hAnsi="仿宋" w:eastAsia="仿宋" w:cs="仿宋"/>
          <w:kern w:val="2"/>
          <w:sz w:val="32"/>
          <w:szCs w:val="32"/>
          <w:highlight w:val="none"/>
          <w:lang w:val="en-US" w:eastAsia="zh-CN" w:bidi="ar"/>
        </w:rPr>
        <w:t>本级财政当年拨付的资金。较2021年度决算数增加29.74万元，</w:t>
      </w:r>
      <w:r>
        <w:rPr>
          <w:rFonts w:ascii="仿宋" w:hAnsi="仿宋" w:eastAsia="仿宋" w:cs="仿宋"/>
          <w:sz w:val="32"/>
          <w:u w:color="auto"/>
        </w:rPr>
        <w:t>增长</w:t>
      </w:r>
      <w:r>
        <w:rPr>
          <w:rFonts w:hint="eastAsia" w:ascii="仿宋" w:hAnsi="仿宋" w:eastAsia="仿宋" w:cs="仿宋"/>
          <w:sz w:val="32"/>
          <w:u w:color="auto"/>
          <w:lang w:val="en-US" w:eastAsia="zh-CN"/>
        </w:rPr>
        <w:t>100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主要原因：对粮油公司职工补贴</w:t>
      </w:r>
      <w:r>
        <w:rPr>
          <w:rFonts w:hint="eastAsia" w:ascii="仿宋" w:hAnsi="仿宋" w:eastAsia="仿宋" w:cs="仿宋"/>
          <w:color w:val="auto"/>
          <w:kern w:val="2"/>
          <w:sz w:val="32"/>
          <w:szCs w:val="32"/>
          <w:highlight w:val="none"/>
          <w:lang w:val="en-US" w:eastAsia="zh-CN" w:bidi="ar"/>
        </w:rPr>
        <w:t>国有粮食企业改制职工医疗保险费。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kern w:val="2"/>
          <w:sz w:val="32"/>
          <w:szCs w:val="32"/>
          <w:highlight w:val="none"/>
          <w:lang w:val="en-US" w:eastAsia="zh-CN" w:bidi="ar"/>
        </w:rPr>
        <w:t>本单位没有国有资本经营预算财政拨款收入。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u w:color="auto"/>
          <w:lang w:val="en-US" w:eastAsia="zh-CN"/>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6.</w:t>
      </w:r>
      <w:r>
        <w:rPr>
          <w:rFonts w:hint="eastAsia" w:ascii="仿宋" w:hAnsi="仿宋" w:eastAsia="仿宋" w:cs="仿宋"/>
          <w:color w:val="auto"/>
          <w:kern w:val="2"/>
          <w:sz w:val="36"/>
          <w:szCs w:val="36"/>
          <w:highlight w:val="none"/>
          <w:lang w:val="en-US" w:eastAsia="zh-CN" w:bidi="ar"/>
        </w:rPr>
        <w:t>经营收入</w:t>
      </w:r>
      <w:r>
        <w:rPr>
          <w:rFonts w:hint="eastAsia" w:ascii="仿宋" w:hAnsi="仿宋" w:eastAsia="仿宋" w:cs="仿宋"/>
          <w:color w:val="auto"/>
          <w:kern w:val="2"/>
          <w:sz w:val="32"/>
          <w:szCs w:val="32"/>
          <w:highlight w:val="none"/>
          <w:lang w:val="en-US" w:eastAsia="zh-CN" w:bidi="ar"/>
        </w:rPr>
        <w:t>0.00万,为事业单位在业务活动之外开展非独立核算经营活动取得的收入。较2021年度决算数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8.其他收入</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color w:val="auto"/>
          <w:sz w:val="32"/>
          <w:u w:color="auto"/>
        </w:rPr>
        <w:t>减少</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color w:val="auto"/>
          <w:sz w:val="32"/>
          <w:u w:color="auto"/>
        </w:rPr>
        <w:t>减少</w:t>
      </w:r>
      <w:r>
        <w:rPr>
          <w:rFonts w:hint="eastAsia" w:ascii="仿宋" w:hAnsi="仿宋" w:eastAsia="仿宋" w:cs="仿宋"/>
          <w:color w:val="auto"/>
          <w:sz w:val="32"/>
          <w:u w:color="auto"/>
          <w:lang w:val="en-US" w:eastAsia="zh-CN"/>
        </w:rPr>
        <w:t>418.11</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下降</w:t>
      </w:r>
      <w:r>
        <w:rPr>
          <w:rFonts w:hint="eastAsia" w:ascii="仿宋" w:hAnsi="仿宋" w:eastAsia="仿宋" w:cs="仿宋"/>
          <w:color w:val="auto"/>
          <w:sz w:val="32"/>
          <w:u w:color="auto"/>
          <w:lang w:val="en-US" w:eastAsia="zh-CN"/>
        </w:rPr>
        <w:t>100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，主要原因：部分项目已在本年执行完毕，不需要结转至下年继续执行。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575175" cy="3181350"/>
            <wp:effectExtent l="5080" t="4445" r="1079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hint="eastAsia" w:ascii="仿宋" w:hAnsi="仿宋" w:eastAsia="仿宋" w:cs="仿宋"/>
          <w:sz w:val="32"/>
          <w:u w:color="auto"/>
          <w:lang w:val="en-US" w:eastAsia="zh-CN"/>
        </w:rPr>
        <w:t>5118.78</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5118.78</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增加2275.31</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增长80.02</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default" w:ascii="Times New Roman" w:hAnsi="Times New Roman" w:eastAsia="仿宋_GB2312" w:cs="Times New Roman"/>
          <w:kern w:val="0"/>
          <w:sz w:val="32"/>
          <w:szCs w:val="32"/>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678.58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rPr>
        <w:t>用于本部门为保证日常运转发生的基本支出和为完成各项工作任务、保障</w:t>
      </w:r>
      <w:r>
        <w:rPr>
          <w:rFonts w:hint="eastAsia" w:ascii="仿宋_GB2312" w:hAnsi="仿宋_GB2312" w:eastAsia="仿宋_GB2312" w:cs="仿宋_GB2312"/>
          <w:kern w:val="0"/>
          <w:sz w:val="32"/>
          <w:szCs w:val="32"/>
          <w:highlight w:val="none"/>
        </w:rPr>
        <w:t>单位事业</w:t>
      </w:r>
      <w:r>
        <w:rPr>
          <w:rFonts w:hint="eastAsia" w:ascii="仿宋_GB2312" w:hAnsi="仿宋_GB2312" w:eastAsia="仿宋_GB2312" w:cs="仿宋_GB2312"/>
          <w:sz w:val="32"/>
          <w:szCs w:val="32"/>
          <w:highlight w:val="none"/>
        </w:rPr>
        <w:t>发展而发生的项目支出。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235.89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25.80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sz w:val="32"/>
          <w:szCs w:val="32"/>
          <w:highlight w:val="none"/>
        </w:rPr>
        <w:t>日常运转发生的基本支出</w:t>
      </w:r>
      <w:r>
        <w:rPr>
          <w:rFonts w:hint="eastAsia" w:ascii="仿宋_GB2312" w:hAnsi="仿宋_GB2312" w:eastAsia="仿宋_GB2312" w:cs="仿宋_GB2312"/>
          <w:sz w:val="32"/>
          <w:szCs w:val="32"/>
          <w:highlight w:val="none"/>
          <w:lang w:val="en-US" w:eastAsia="zh-CN"/>
        </w:rPr>
        <w:t>减少、</w:t>
      </w:r>
      <w:r>
        <w:rPr>
          <w:rFonts w:hint="eastAsia" w:ascii="仿宋_GB2312" w:hAnsi="仿宋_GB2312" w:eastAsia="仿宋_GB2312" w:cs="仿宋_GB2312"/>
          <w:sz w:val="32"/>
          <w:szCs w:val="32"/>
          <w:highlight w:val="none"/>
        </w:rPr>
        <w:t>保障</w:t>
      </w:r>
      <w:r>
        <w:rPr>
          <w:rFonts w:hint="eastAsia" w:ascii="仿宋_GB2312" w:hAnsi="仿宋_GB2312" w:eastAsia="仿宋_GB2312" w:cs="仿宋_GB2312"/>
          <w:kern w:val="0"/>
          <w:sz w:val="32"/>
          <w:szCs w:val="32"/>
          <w:highlight w:val="none"/>
        </w:rPr>
        <w:t>单位事业</w:t>
      </w:r>
      <w:r>
        <w:rPr>
          <w:rFonts w:hint="eastAsia" w:ascii="仿宋_GB2312" w:hAnsi="仿宋_GB2312" w:eastAsia="仿宋_GB2312" w:cs="仿宋_GB2312"/>
          <w:sz w:val="32"/>
          <w:szCs w:val="32"/>
          <w:highlight w:val="none"/>
        </w:rPr>
        <w:t>发展而发生的项目支出</w:t>
      </w:r>
      <w:r>
        <w:rPr>
          <w:rFonts w:hint="eastAsia" w:ascii="仿宋_GB2312" w:hAnsi="仿宋_GB2312" w:eastAsia="仿宋_GB2312" w:cs="仿宋_GB2312"/>
          <w:sz w:val="32"/>
          <w:szCs w:val="32"/>
          <w:highlight w:val="none"/>
          <w:lang w:val="en-US" w:eastAsia="zh-CN"/>
        </w:rPr>
        <w:t>减少</w:t>
      </w:r>
      <w:r>
        <w:rPr>
          <w:rFonts w:hint="default" w:ascii="Times New Roman" w:hAnsi="Times New Roman" w:eastAsia="仿宋_GB2312" w:cs="Times New Roman"/>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1471.61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olor w:val="000000"/>
          <w:kern w:val="0"/>
          <w:sz w:val="32"/>
          <w:szCs w:val="32"/>
        </w:rPr>
        <w:t>用于在职人员基本养老保险支出</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对原粮食系统28位职工随征土地（202179地块）拍卖补偿金</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增加1403.55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增长2062.22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主要增加在于对原粮食系统28位职工随征土地（202179地块）拍卖补偿金。</w:t>
      </w:r>
    </w:p>
    <w:p>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olor w:val="000000"/>
          <w:kern w:val="0"/>
          <w:sz w:val="32"/>
          <w:szCs w:val="32"/>
          <w:lang w:eastAsia="zh-CN"/>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城乡社区支出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w:t>
      </w:r>
      <w:r>
        <w:rPr>
          <w:rFonts w:hint="eastAsia" w:ascii="仿宋" w:hAnsi="仿宋" w:eastAsia="仿宋" w:cs="仿宋"/>
          <w:sz w:val="32"/>
          <w:szCs w:val="32"/>
          <w:highlight w:val="none"/>
          <w:lang w:val="en-US" w:eastAsia="zh-CN" w:bidi="ar"/>
        </w:rPr>
        <w:t>2</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val="en-US" w:eastAsia="zh-CN" w:bidi="ar"/>
        </w:rPr>
        <w:t>329.74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sz w:val="32"/>
          <w:szCs w:val="32"/>
          <w:highlight w:val="none"/>
          <w:lang w:val="en-US" w:eastAsia="zh-CN"/>
        </w:rPr>
        <w:t>2021年乡村振兴补助资金和对粮油公司职工补贴国有粮食企业改制职工医疗保险费。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增加221.96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增长206.93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增加</w:t>
      </w:r>
      <w:r>
        <w:rPr>
          <w:rFonts w:hint="eastAsia" w:ascii="仿宋_GB2312" w:eastAsia="仿宋_GB2312"/>
          <w:color w:val="000000"/>
          <w:kern w:val="0"/>
          <w:sz w:val="32"/>
          <w:szCs w:val="32"/>
        </w:rPr>
        <w:t>用于乡镇公共基础设施建设支出</w:t>
      </w:r>
      <w:r>
        <w:rPr>
          <w:rFonts w:hint="eastAsia" w:ascii="仿宋_GB2312" w:eastAsia="仿宋_GB2312"/>
          <w:color w:val="000000"/>
          <w:kern w:val="0"/>
          <w:sz w:val="32"/>
          <w:szCs w:val="32"/>
          <w:lang w:eastAsia="zh-CN"/>
        </w:rPr>
        <w:t>，</w:t>
      </w:r>
      <w:r>
        <w:rPr>
          <w:rFonts w:hint="eastAsia" w:ascii="仿宋" w:hAnsi="仿宋" w:eastAsia="仿宋" w:cs="仿宋"/>
          <w:sz w:val="32"/>
          <w:szCs w:val="32"/>
          <w:highlight w:val="none"/>
          <w:lang w:val="en-US" w:eastAsia="zh-CN"/>
        </w:rPr>
        <w:t>对粮油公司职工补贴国有粮食企业改制职工医疗保险费</w:t>
      </w:r>
      <w:r>
        <w:rPr>
          <w:rFonts w:hint="eastAsia" w:ascii="仿宋_GB2312" w:eastAsia="仿宋_GB2312"/>
          <w:color w:val="000000"/>
          <w:kern w:val="0"/>
          <w:sz w:val="32"/>
          <w:szCs w:val="32"/>
          <w:lang w:eastAsia="zh-CN"/>
        </w:rPr>
        <w:t>。</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eastAsia="仿宋_GB2312"/>
          <w:color w:val="000000"/>
          <w:kern w:val="0"/>
          <w:sz w:val="32"/>
          <w:szCs w:val="32"/>
          <w:lang w:val="en-US" w:eastAsia="zh-CN"/>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农林水支出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213</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1111.25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olor w:val="000000"/>
          <w:kern w:val="0"/>
          <w:sz w:val="32"/>
          <w:szCs w:val="32"/>
        </w:rPr>
        <w:t>农村基础</w:t>
      </w:r>
      <w:r>
        <w:rPr>
          <w:rFonts w:hint="eastAsia" w:ascii="仿宋_GB2312" w:eastAsia="仿宋_GB2312"/>
          <w:color w:val="000000"/>
          <w:kern w:val="0"/>
          <w:sz w:val="32"/>
          <w:szCs w:val="32"/>
          <w:lang w:val="en-US" w:eastAsia="zh-CN"/>
        </w:rPr>
        <w:t>设施</w:t>
      </w:r>
      <w:r>
        <w:rPr>
          <w:rFonts w:hint="eastAsia" w:ascii="仿宋_GB2312" w:eastAsia="仿宋_GB2312"/>
          <w:color w:val="000000"/>
          <w:kern w:val="0"/>
          <w:sz w:val="32"/>
          <w:szCs w:val="32"/>
        </w:rPr>
        <w:t>建设项目支出。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328.62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增长41.99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eastAsia="仿宋_GB2312"/>
          <w:color w:val="000000"/>
          <w:kern w:val="0"/>
          <w:sz w:val="32"/>
          <w:szCs w:val="32"/>
        </w:rPr>
        <w:t>为</w:t>
      </w:r>
      <w:r>
        <w:rPr>
          <w:rFonts w:hint="eastAsia" w:ascii="仿宋_GB2312" w:eastAsia="仿宋_GB2312"/>
          <w:color w:val="000000"/>
          <w:kern w:val="0"/>
          <w:sz w:val="32"/>
          <w:szCs w:val="32"/>
          <w:lang w:val="en-US" w:eastAsia="zh-CN"/>
        </w:rPr>
        <w:t>增加</w:t>
      </w:r>
      <w:r>
        <w:rPr>
          <w:rFonts w:hint="eastAsia" w:ascii="仿宋_GB2312" w:eastAsia="仿宋_GB2312"/>
          <w:color w:val="000000"/>
          <w:kern w:val="0"/>
          <w:sz w:val="32"/>
          <w:szCs w:val="32"/>
        </w:rPr>
        <w:t>农村基础设施建设项目资金</w:t>
      </w:r>
      <w:r>
        <w:rPr>
          <w:rFonts w:hint="eastAsia" w:ascii="仿宋_GB2312" w:eastAsia="仿宋_GB2312"/>
          <w:color w:val="000000"/>
          <w:kern w:val="0"/>
          <w:sz w:val="32"/>
          <w:szCs w:val="32"/>
          <w:lang w:val="en-US" w:eastAsia="zh-CN"/>
        </w:rPr>
        <w:t>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_GB2312"/>
          <w:kern w:val="0"/>
          <w:sz w:val="32"/>
          <w:szCs w:val="32"/>
          <w:lang w:eastAsia="zh-CN"/>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52.03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kern w:val="0"/>
          <w:sz w:val="32"/>
          <w:szCs w:val="32"/>
          <w:highlight w:val="none"/>
        </w:rPr>
        <w:t>按照国家政策规定向职工发放的住房公积金、提租补贴、购房补贴等住房改革方</w:t>
      </w:r>
      <w:r>
        <w:rPr>
          <w:rFonts w:hint="eastAsia" w:ascii="仿宋_GB2312" w:hAnsi="仿宋_GB2312" w:eastAsia="仿宋_GB2312" w:cs="仿宋_GB2312"/>
          <w:spacing w:val="-3"/>
          <w:kern w:val="0"/>
          <w:sz w:val="32"/>
          <w:szCs w:val="32"/>
          <w:highlight w:val="none"/>
        </w:rPr>
        <w:t>面的支出。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rPr>
        <w:t>增长2.24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4.5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kern w:val="0"/>
          <w:sz w:val="32"/>
          <w:szCs w:val="32"/>
          <w:lang w:eastAsia="zh-CN"/>
        </w:rPr>
        <w:t>人员</w:t>
      </w:r>
      <w:r>
        <w:rPr>
          <w:rFonts w:hint="eastAsia" w:ascii="仿宋" w:hAnsi="仿宋" w:eastAsia="仿宋" w:cs="仿宋"/>
          <w:kern w:val="0"/>
          <w:sz w:val="32"/>
          <w:szCs w:val="32"/>
          <w:lang w:val="en-US" w:eastAsia="zh-CN"/>
        </w:rPr>
        <w:t>调入</w:t>
      </w:r>
      <w:r>
        <w:rPr>
          <w:rFonts w:hint="eastAsia" w:ascii="仿宋" w:hAnsi="仿宋" w:eastAsia="仿宋" w:cs="仿宋"/>
          <w:kern w:val="0"/>
          <w:sz w:val="32"/>
          <w:szCs w:val="32"/>
          <w:lang w:eastAsia="zh-CN"/>
        </w:rPr>
        <w:t>增加，</w:t>
      </w:r>
      <w:r>
        <w:rPr>
          <w:rFonts w:hint="eastAsia" w:ascii="仿宋" w:hAnsi="仿宋" w:eastAsia="仿宋" w:cs="仿宋_GB2312"/>
          <w:kern w:val="0"/>
          <w:sz w:val="32"/>
          <w:szCs w:val="32"/>
        </w:rPr>
        <w:t>用于按照国家政策规定向职工发放的住房公积金</w:t>
      </w:r>
      <w:r>
        <w:rPr>
          <w:rFonts w:hint="eastAsia" w:ascii="仿宋" w:hAnsi="仿宋" w:eastAsia="仿宋" w:cs="仿宋_GB2312"/>
          <w:kern w:val="0"/>
          <w:sz w:val="32"/>
          <w:szCs w:val="32"/>
          <w:lang w:eastAsia="zh-CN"/>
        </w:rPr>
        <w:t>相应增加。</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default" w:ascii="仿宋" w:hAnsi="仿宋" w:eastAsia="仿宋" w:cs="仿宋"/>
          <w:bCs/>
          <w:kern w:val="0"/>
          <w:sz w:val="32"/>
          <w:szCs w:val="32"/>
          <w:lang w:val="en-US" w:eastAsia="zh-CN"/>
        </w:rPr>
      </w:pPr>
      <w:r>
        <w:rPr>
          <w:rFonts w:hint="eastAsia" w:ascii="仿宋" w:hAnsi="仿宋" w:eastAsia="仿宋" w:cs="仿宋_GB2312"/>
          <w:kern w:val="0"/>
          <w:sz w:val="32"/>
          <w:szCs w:val="32"/>
          <w:lang w:val="en-US" w:eastAsia="zh-CN"/>
        </w:rPr>
        <w:t>6.</w:t>
      </w:r>
      <w:r>
        <w:rPr>
          <w:rFonts w:hint="eastAsia" w:ascii="仿宋" w:hAnsi="仿宋" w:eastAsia="仿宋" w:cs="仿宋"/>
          <w:bCs/>
          <w:kern w:val="0"/>
          <w:sz w:val="32"/>
          <w:szCs w:val="32"/>
          <w:lang w:val="en-US" w:eastAsia="zh-CN"/>
        </w:rPr>
        <w:t>粮油物资储备支出（222类）69.85</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bCs/>
          <w:kern w:val="0"/>
          <w:sz w:val="32"/>
          <w:szCs w:val="32"/>
          <w:highlight w:val="none"/>
          <w:lang w:val="en-US" w:eastAsia="zh-CN"/>
        </w:rPr>
        <w:t>主要用于</w:t>
      </w:r>
      <w:r>
        <w:rPr>
          <w:rFonts w:hint="eastAsia" w:ascii="仿宋" w:hAnsi="仿宋" w:eastAsia="仿宋" w:cs="仿宋"/>
          <w:bCs/>
          <w:kern w:val="0"/>
          <w:sz w:val="32"/>
          <w:szCs w:val="32"/>
          <w:lang w:val="en-US" w:eastAsia="zh-CN"/>
        </w:rPr>
        <w:t>粮油物资储备支出、</w:t>
      </w:r>
      <w:r>
        <w:rPr>
          <w:rFonts w:hint="eastAsia" w:ascii="仿宋_GB2312" w:hAnsi="仿宋_GB2312" w:eastAsia="仿宋_GB2312" w:cs="仿宋_GB2312"/>
          <w:bCs/>
          <w:kern w:val="0"/>
          <w:sz w:val="32"/>
          <w:szCs w:val="32"/>
          <w:highlight w:val="none"/>
          <w:lang w:val="en-US" w:eastAsia="zh-CN"/>
        </w:rPr>
        <w:t>粮油物资储备仓库维修、粮食执法、粮食统计等</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spacing w:val="-3"/>
          <w:kern w:val="0"/>
          <w:sz w:val="32"/>
          <w:szCs w:val="32"/>
          <w:highlight w:val="none"/>
        </w:rPr>
        <w:t>较20</w:t>
      </w:r>
      <w:r>
        <w:rPr>
          <w:rFonts w:hint="eastAsia" w:ascii="仿宋_GB2312" w:hAnsi="仿宋_GB2312" w:eastAsia="仿宋_GB2312" w:cs="仿宋_GB2312"/>
          <w:spacing w:val="-3"/>
          <w:kern w:val="0"/>
          <w:sz w:val="32"/>
          <w:szCs w:val="32"/>
          <w:highlight w:val="none"/>
          <w:lang w:val="en-US" w:eastAsia="zh-CN"/>
        </w:rPr>
        <w:t>21</w:t>
      </w:r>
      <w:r>
        <w:rPr>
          <w:rFonts w:hint="eastAsia" w:ascii="仿宋_GB2312" w:hAnsi="仿宋_GB2312" w:eastAsia="仿宋_GB2312" w:cs="仿宋_GB2312"/>
          <w:spacing w:val="-3"/>
          <w:kern w:val="0"/>
          <w:sz w:val="32"/>
          <w:szCs w:val="32"/>
          <w:highlight w:val="none"/>
        </w:rPr>
        <w:t>年度决算数</w:t>
      </w:r>
      <w:r>
        <w:rPr>
          <w:rFonts w:hint="eastAsia" w:ascii="仿宋_GB2312" w:hAnsi="仿宋_GB2312" w:eastAsia="仿宋_GB2312" w:cs="仿宋_GB2312"/>
          <w:spacing w:val="-3"/>
          <w:kern w:val="0"/>
          <w:sz w:val="32"/>
          <w:szCs w:val="32"/>
          <w:highlight w:val="none"/>
          <w:lang w:val="en-US" w:eastAsia="zh-CN"/>
        </w:rPr>
        <w:t>减少170.87</w:t>
      </w:r>
      <w:r>
        <w:rPr>
          <w:rFonts w:hint="eastAsia" w:ascii="仿宋_GB2312" w:hAnsi="仿宋_GB2312" w:eastAsia="仿宋_GB2312" w:cs="仿宋_GB2312"/>
          <w:spacing w:val="-3"/>
          <w:kern w:val="0"/>
          <w:sz w:val="32"/>
          <w:szCs w:val="32"/>
          <w:highlight w:val="none"/>
        </w:rPr>
        <w:t>万元，</w:t>
      </w:r>
      <w:r>
        <w:rPr>
          <w:rFonts w:hint="eastAsia" w:ascii="仿宋_GB2312" w:hAnsi="仿宋_GB2312" w:eastAsia="仿宋_GB2312" w:cs="仿宋_GB2312"/>
          <w:spacing w:val="-3"/>
          <w:kern w:val="0"/>
          <w:sz w:val="32"/>
          <w:szCs w:val="32"/>
          <w:highlight w:val="none"/>
          <w:lang w:val="en-US" w:eastAsia="zh-CN"/>
        </w:rPr>
        <w:t>减少70.98</w:t>
      </w:r>
      <w:r>
        <w:rPr>
          <w:rFonts w:hint="eastAsia" w:ascii="仿宋_GB2312" w:hAnsi="仿宋_GB2312" w:eastAsia="仿宋_GB2312" w:cs="仿宋_GB2312"/>
          <w:spacing w:val="-3"/>
          <w:kern w:val="0"/>
          <w:sz w:val="32"/>
          <w:szCs w:val="32"/>
          <w:highlight w:val="none"/>
        </w:rPr>
        <w:t>%，</w:t>
      </w:r>
      <w:r>
        <w:rPr>
          <w:rFonts w:hint="eastAsia" w:ascii="仿宋" w:hAnsi="仿宋" w:eastAsia="仿宋" w:cs="仿宋"/>
          <w:bCs/>
          <w:kern w:val="0"/>
          <w:sz w:val="32"/>
          <w:szCs w:val="32"/>
          <w:lang w:val="en-US" w:eastAsia="zh-CN"/>
        </w:rPr>
        <w:t>主要原因</w:t>
      </w:r>
      <w:r>
        <w:rPr>
          <w:rFonts w:hint="eastAsia" w:ascii="仿宋" w:hAnsi="仿宋" w:eastAsia="仿宋" w:cs="仿宋"/>
          <w:bCs/>
          <w:kern w:val="0"/>
          <w:sz w:val="32"/>
          <w:szCs w:val="32"/>
          <w:lang w:eastAsia="zh-CN"/>
        </w:rPr>
        <w:t>是</w:t>
      </w:r>
      <w:r>
        <w:rPr>
          <w:rFonts w:hint="eastAsia" w:ascii="仿宋" w:hAnsi="仿宋" w:eastAsia="仿宋" w:cs="仿宋"/>
          <w:bCs/>
          <w:kern w:val="0"/>
          <w:sz w:val="32"/>
          <w:szCs w:val="32"/>
          <w:lang w:val="en-US" w:eastAsia="zh-CN"/>
        </w:rPr>
        <w:t>：粮油物资储备支出减少、</w:t>
      </w:r>
      <w:r>
        <w:rPr>
          <w:rFonts w:hint="eastAsia" w:ascii="仿宋_GB2312" w:hAnsi="仿宋_GB2312" w:eastAsia="仿宋_GB2312" w:cs="仿宋_GB2312"/>
          <w:bCs/>
          <w:kern w:val="0"/>
          <w:sz w:val="32"/>
          <w:szCs w:val="32"/>
          <w:highlight w:val="none"/>
          <w:lang w:val="en-US" w:eastAsia="zh-CN"/>
        </w:rPr>
        <w:t>粮食执法费用减少、粮食统计费用减少。</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7.</w:t>
      </w:r>
      <w:r>
        <w:rPr>
          <w:rFonts w:hint="eastAsia" w:ascii="仿宋" w:hAnsi="仿宋" w:eastAsia="仿宋" w:cs="仿宋"/>
          <w:bCs/>
          <w:kern w:val="0"/>
          <w:sz w:val="32"/>
          <w:szCs w:val="32"/>
          <w:lang w:val="en-US" w:eastAsia="zh-CN"/>
        </w:rPr>
        <w:t>其他支出（229类）1405.71</w:t>
      </w:r>
      <w:r>
        <w:rPr>
          <w:rFonts w:hint="eastAsia" w:ascii="仿宋_GB2312" w:hAnsi="仿宋_GB2312" w:eastAsia="仿宋_GB2312" w:cs="仿宋_GB2312"/>
          <w:bCs/>
          <w:kern w:val="0"/>
          <w:sz w:val="32"/>
          <w:szCs w:val="32"/>
          <w:highlight w:val="none"/>
        </w:rPr>
        <w:t>万元，</w:t>
      </w:r>
      <w:r>
        <w:rPr>
          <w:rFonts w:hint="eastAsia" w:ascii="仿宋" w:hAnsi="仿宋" w:eastAsia="仿宋" w:cs="仿宋"/>
          <w:bCs/>
          <w:kern w:val="0"/>
          <w:sz w:val="32"/>
          <w:szCs w:val="32"/>
          <w:lang w:val="en-US" w:eastAsia="zh-CN"/>
        </w:rPr>
        <w:t>主要用于扶持人口较少民族发展项目支出、发放绩效等支出。</w:t>
      </w:r>
      <w:r>
        <w:rPr>
          <w:rFonts w:hint="eastAsia" w:ascii="仿宋_GB2312" w:hAnsi="仿宋_GB2312" w:eastAsia="仿宋_GB2312" w:cs="仿宋_GB2312"/>
          <w:spacing w:val="-3"/>
          <w:kern w:val="0"/>
          <w:sz w:val="32"/>
          <w:szCs w:val="32"/>
          <w:highlight w:val="none"/>
        </w:rPr>
        <w:t>20</w:t>
      </w:r>
      <w:r>
        <w:rPr>
          <w:rFonts w:hint="eastAsia" w:ascii="仿宋_GB2312" w:hAnsi="仿宋_GB2312" w:eastAsia="仿宋_GB2312" w:cs="仿宋_GB2312"/>
          <w:spacing w:val="-3"/>
          <w:kern w:val="0"/>
          <w:sz w:val="32"/>
          <w:szCs w:val="32"/>
          <w:highlight w:val="none"/>
          <w:lang w:val="en-US" w:eastAsia="zh-CN"/>
        </w:rPr>
        <w:t>21</w:t>
      </w:r>
      <w:r>
        <w:rPr>
          <w:rFonts w:hint="eastAsia" w:ascii="仿宋_GB2312" w:hAnsi="仿宋_GB2312" w:eastAsia="仿宋_GB2312" w:cs="仿宋_GB2312"/>
          <w:spacing w:val="-3"/>
          <w:kern w:val="0"/>
          <w:sz w:val="32"/>
          <w:szCs w:val="32"/>
          <w:highlight w:val="none"/>
        </w:rPr>
        <w:t>年度决算数</w:t>
      </w:r>
      <w:r>
        <w:rPr>
          <w:rFonts w:hint="eastAsia" w:ascii="仿宋_GB2312" w:hAnsi="仿宋_GB2312" w:eastAsia="仿宋_GB2312" w:cs="仿宋_GB2312"/>
          <w:spacing w:val="-3"/>
          <w:kern w:val="0"/>
          <w:sz w:val="32"/>
          <w:szCs w:val="32"/>
          <w:highlight w:val="none"/>
          <w:lang w:val="en-US" w:eastAsia="zh-CN"/>
        </w:rPr>
        <w:t>增加737.27</w:t>
      </w:r>
      <w:r>
        <w:rPr>
          <w:rFonts w:hint="eastAsia" w:ascii="仿宋_GB2312" w:hAnsi="仿宋_GB2312" w:eastAsia="仿宋_GB2312" w:cs="仿宋_GB2312"/>
          <w:spacing w:val="-3"/>
          <w:kern w:val="0"/>
          <w:sz w:val="32"/>
          <w:szCs w:val="32"/>
          <w:highlight w:val="none"/>
        </w:rPr>
        <w:t>万元，增长</w:t>
      </w:r>
      <w:r>
        <w:rPr>
          <w:rFonts w:hint="eastAsia" w:ascii="仿宋_GB2312" w:hAnsi="仿宋_GB2312" w:eastAsia="仿宋_GB2312" w:cs="仿宋_GB2312"/>
          <w:spacing w:val="-3"/>
          <w:kern w:val="0"/>
          <w:sz w:val="32"/>
          <w:szCs w:val="32"/>
          <w:highlight w:val="none"/>
          <w:lang w:val="en-US" w:eastAsia="zh-CN"/>
        </w:rPr>
        <w:t>110.3</w:t>
      </w:r>
      <w:r>
        <w:rPr>
          <w:rFonts w:hint="eastAsia" w:ascii="仿宋_GB2312" w:hAnsi="仿宋_GB2312" w:eastAsia="仿宋_GB2312" w:cs="仿宋_GB2312"/>
          <w:spacing w:val="-3"/>
          <w:kern w:val="0"/>
          <w:sz w:val="32"/>
          <w:szCs w:val="32"/>
          <w:highlight w:val="none"/>
        </w:rPr>
        <w:t>%，</w:t>
      </w:r>
      <w:r>
        <w:rPr>
          <w:rFonts w:hint="eastAsia" w:ascii="仿宋" w:hAnsi="仿宋" w:eastAsia="仿宋" w:cs="仿宋"/>
          <w:kern w:val="0"/>
          <w:sz w:val="32"/>
          <w:szCs w:val="32"/>
        </w:rPr>
        <w:t>主要原因是</w:t>
      </w:r>
      <w:r>
        <w:rPr>
          <w:rFonts w:hint="eastAsia" w:ascii="仿宋" w:hAnsi="仿宋" w:eastAsia="仿宋" w:cs="仿宋"/>
          <w:bCs/>
          <w:kern w:val="0"/>
          <w:sz w:val="32"/>
          <w:szCs w:val="32"/>
          <w:lang w:val="en-US" w:eastAsia="zh-CN"/>
        </w:rPr>
        <w:t>扶持人口较少民族发展项目支出增加。</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_GB2312" w:cs="仿宋"/>
          <w:sz w:val="32"/>
          <w:szCs w:val="32"/>
          <w:highlight w:val="none"/>
          <w:lang w:eastAsia="zh-CN" w:bidi="ar"/>
        </w:rPr>
      </w:pPr>
      <w:r>
        <w:rPr>
          <w:rFonts w:hint="default" w:ascii="仿宋_GB2312" w:hAnsi="仿宋_GB2312" w:eastAsia="仿宋_GB2312" w:cs="仿宋_GB2312"/>
          <w:kern w:val="0"/>
          <w:sz w:val="32"/>
          <w:szCs w:val="32"/>
          <w:highlight w:val="none"/>
        </w:rPr>
        <w:t>结余分配</w:t>
      </w:r>
      <w:r>
        <w:rPr>
          <w:rFonts w:hint="eastAsia" w:ascii="仿宋_GB2312" w:hAnsi="仿宋_GB2312" w:eastAsia="仿宋_GB2312" w:cs="仿宋_GB2312"/>
          <w:kern w:val="0"/>
          <w:sz w:val="32"/>
          <w:szCs w:val="32"/>
          <w:highlight w:val="none"/>
        </w:rPr>
        <w:t>0.00</w:t>
      </w:r>
      <w:r>
        <w:rPr>
          <w:rFonts w:hint="default" w:ascii="仿宋_GB2312" w:hAnsi="仿宋_GB2312" w:eastAsia="仿宋_GB2312" w:cs="仿宋_GB2312"/>
          <w:kern w:val="0"/>
          <w:sz w:val="32"/>
          <w:szCs w:val="32"/>
          <w:highlight w:val="none"/>
        </w:rPr>
        <w:t>万元，为事业单位按规定提取的专用结余、缴纳所得税和转入非财政拨款结余等。</w:t>
      </w:r>
      <w:r>
        <w:rPr>
          <w:rFonts w:hint="eastAsia" w:ascii="仿宋_GB2312" w:hAnsi="仿宋_GB2312" w:eastAsia="仿宋_GB2312" w:cs="仿宋_GB2312"/>
          <w:kern w:val="0"/>
          <w:sz w:val="32"/>
          <w:szCs w:val="32"/>
          <w:highlight w:val="none"/>
          <w:lang w:val="en-US" w:eastAsia="zh-CN"/>
        </w:rPr>
        <w:t>上年结转和结余0万元，为以前年度支出预算因客观条件变化未执行完毕、结转到本年度按有关规定继续使用的资金。</w:t>
      </w:r>
      <w:r>
        <w:rPr>
          <w:rFonts w:hint="default" w:ascii="仿宋_GB2312" w:hAnsi="仿宋_GB2312" w:eastAsia="仿宋_GB2312" w:cs="仿宋_GB2312"/>
          <w:kern w:val="0"/>
          <w:sz w:val="32"/>
          <w:szCs w:val="32"/>
          <w:highlight w:val="none"/>
        </w:rPr>
        <w:t>较202</w:t>
      </w:r>
      <w:r>
        <w:rPr>
          <w:rFonts w:hint="eastAsia" w:ascii="仿宋_GB2312" w:hAnsi="仿宋_GB2312" w:eastAsia="仿宋_GB2312" w:cs="仿宋_GB2312"/>
          <w:kern w:val="0"/>
          <w:sz w:val="32"/>
          <w:szCs w:val="32"/>
          <w:highlight w:val="none"/>
          <w:lang w:val="en-US" w:eastAsia="zh-CN"/>
        </w:rPr>
        <w:t>1</w:t>
      </w:r>
      <w:r>
        <w:rPr>
          <w:rFonts w:hint="default" w:ascii="仿宋_GB2312" w:hAnsi="仿宋_GB2312" w:eastAsia="仿宋_GB2312" w:cs="仿宋_GB2312"/>
          <w:kern w:val="0"/>
          <w:sz w:val="32"/>
          <w:szCs w:val="32"/>
          <w:highlight w:val="none"/>
        </w:rPr>
        <w:t>年度决算数增加</w:t>
      </w:r>
      <w:r>
        <w:rPr>
          <w:rFonts w:hint="eastAsia" w:ascii="仿宋_GB2312" w:hAnsi="仿宋_GB2312" w:eastAsia="仿宋_GB2312" w:cs="仿宋_GB2312"/>
          <w:kern w:val="0"/>
          <w:sz w:val="32"/>
          <w:szCs w:val="32"/>
          <w:highlight w:val="none"/>
          <w:lang w:val="en-US" w:eastAsia="zh-CN"/>
        </w:rPr>
        <w:t>0</w:t>
      </w:r>
      <w:r>
        <w:rPr>
          <w:rFonts w:hint="default"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0</w:t>
      </w:r>
      <w:r>
        <w:rPr>
          <w:rFonts w:hint="default"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无结余分配资金</w:t>
      </w:r>
      <w:r>
        <w:rPr>
          <w:rFonts w:hint="default" w:ascii="仿宋_GB2312" w:hAnsi="仿宋_GB2312" w:eastAsia="仿宋_GB2312" w:cs="仿宋_GB2312"/>
          <w:kern w:val="0"/>
          <w:sz w:val="32"/>
          <w:szCs w:val="32"/>
          <w:highlight w:val="none"/>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w:t>
      </w:r>
      <w:r>
        <w:rPr>
          <w:rFonts w:hint="eastAsia" w:ascii="仿宋" w:hAnsi="仿宋" w:eastAsia="仿宋" w:cs="仿宋"/>
          <w:color w:val="auto"/>
          <w:kern w:val="2"/>
          <w:sz w:val="32"/>
          <w:szCs w:val="32"/>
          <w:highlight w:val="none"/>
          <w:lang w:val="en-US" w:eastAsia="zh-CN" w:bidi="ar"/>
        </w:rPr>
        <w:t>较2021年度决算数</w:t>
      </w:r>
      <w:r>
        <w:rPr>
          <w:rFonts w:ascii="仿宋" w:hAnsi="仿宋" w:eastAsia="仿宋" w:cs="仿宋"/>
          <w:color w:val="auto"/>
          <w:sz w:val="32"/>
          <w:u w:color="auto"/>
        </w:rPr>
        <w:t>减少</w:t>
      </w:r>
      <w:r>
        <w:rPr>
          <w:rFonts w:hint="eastAsia" w:ascii="仿宋" w:hAnsi="仿宋" w:eastAsia="仿宋" w:cs="仿宋"/>
          <w:color w:val="auto"/>
          <w:sz w:val="32"/>
          <w:u w:color="auto"/>
          <w:lang w:val="en-US" w:eastAsia="zh-CN"/>
        </w:rPr>
        <w:t>418.11</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下降</w:t>
      </w:r>
      <w:r>
        <w:rPr>
          <w:rFonts w:hint="eastAsia" w:ascii="仿宋" w:hAnsi="仿宋" w:eastAsia="仿宋" w:cs="仿宋"/>
          <w:color w:val="auto"/>
          <w:sz w:val="32"/>
          <w:u w:color="auto"/>
          <w:lang w:val="en-US" w:eastAsia="zh-CN"/>
        </w:rPr>
        <w:t>100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，主要原因：部分项目已在本年执行完毕，不需要结转至下年继续执行。</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070350" cy="2670175"/>
            <wp:effectExtent l="4445" t="4445" r="20955" b="11430"/>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本部门2022年度一般公共预算财政拨款支出</w:t>
      </w:r>
      <w:r>
        <w:rPr>
          <w:rFonts w:hint="eastAsia" w:ascii="仿宋" w:hAnsi="仿宋" w:eastAsia="仿宋" w:cs="仿宋"/>
          <w:sz w:val="32"/>
          <w:u w:color="auto"/>
          <w:lang w:val="en-US" w:eastAsia="zh-CN"/>
        </w:rPr>
        <w:t>5089.04</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增加2245.77</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增长78.99</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2303.57</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2785.47</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本部门2022 年度一般公共预算财政拨款支出年初预算为</w:t>
      </w:r>
      <w:r>
        <w:rPr>
          <w:rFonts w:hint="eastAsia" w:ascii="仿宋" w:hAnsi="仿宋" w:eastAsia="仿宋" w:cs="仿宋"/>
          <w:sz w:val="32"/>
          <w:u w:color="auto"/>
          <w:lang w:val="en-US" w:eastAsia="zh-CN"/>
        </w:rPr>
        <w:t>762.33</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5089.04</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667.56</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kern w:val="0"/>
          <w:sz w:val="32"/>
          <w:szCs w:val="32"/>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561.14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678.58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120.93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根据实际情况已补充原因。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2010401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448.24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522.82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116.64%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主要用于人员工资、保险费、日常办公费等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有人员调入、考入，退休人员死亡，增加人员工资、抚恤金支出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2010402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一般行政管理事务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35.93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35.93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日常办公费、办公接待费、印刷费、职工差旅费等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按预算执行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2010408</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物价管理</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4.16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3.76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90.38%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用于职工差旅费、委托业务费支出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委托业务费支出减少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2010450</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47.52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10.65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22.41%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用于退休干部死亡抚恤金，在职职工绩效工资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事业人员工资从行政运行科目核拨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2010499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其他发展与改革事务支出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16.62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66.25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398.62%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用于项目前期工作经费、党组织活动经费支出等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主要增加粮食局直属粮库南面2021079号地块地上建（构）筑物经费补助支出、项目前期经费支出增多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8.67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8.67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按预算执行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2013701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网信事务行政运行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FF0000"/>
                <w:sz w:val="21"/>
                <w:szCs w:val="21"/>
                <w:highlight w:val="none"/>
                <w:lang w:val="en-US" w:eastAsia="zh-CN"/>
              </w:rPr>
            </w:pPr>
            <w:r>
              <w:rPr>
                <w:rFonts w:hint="eastAsia" w:ascii="宋体" w:hAnsi="宋体" w:eastAsia="宋体" w:cs="宋体"/>
                <w:i w:val="0"/>
                <w:iCs w:val="0"/>
                <w:color w:val="000000"/>
                <w:sz w:val="20"/>
                <w:szCs w:val="20"/>
                <w:highlight w:val="none"/>
                <w:u w:val="none"/>
                <w:lang w:val="en-US" w:eastAsia="zh-CN"/>
              </w:rPr>
              <w:t>用于县城移民搬迁安置区安居监控系统网络费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FF0000"/>
                <w:sz w:val="18"/>
                <w:szCs w:val="18"/>
                <w:highlight w:val="none"/>
                <w:lang w:val="en-US" w:eastAsia="zh-CN"/>
              </w:rPr>
            </w:pPr>
            <w:r>
              <w:rPr>
                <w:rFonts w:hint="eastAsia" w:ascii="宋体" w:hAnsi="宋体" w:eastAsia="宋体" w:cs="宋体"/>
                <w:i w:val="0"/>
                <w:iCs w:val="0"/>
                <w:color w:val="000000"/>
                <w:sz w:val="20"/>
                <w:szCs w:val="20"/>
                <w:highlight w:val="none"/>
                <w:u w:val="none"/>
                <w:lang w:val="en-US" w:eastAsia="zh-CN"/>
              </w:rPr>
              <w:t>年初无预算，年中追加预算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561.14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678.58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72.15</w:t>
      </w:r>
      <w:r>
        <w:rPr>
          <w:rFonts w:hint="eastAsia" w:ascii="仿宋" w:hAnsi="仿宋" w:eastAsia="仿宋"/>
          <w:sz w:val="32"/>
          <w:szCs w:val="32"/>
          <w:highlight w:val="none"/>
        </w:rPr>
        <w:t>万元，支出决算为</w:t>
      </w:r>
      <w:r>
        <w:rPr>
          <w:rFonts w:hint="eastAsia" w:ascii="仿宋" w:hAnsi="仿宋" w:eastAsia="仿宋" w:cs="仿宋"/>
          <w:sz w:val="32"/>
          <w:szCs w:val="32"/>
          <w:highlight w:val="none"/>
          <w:lang w:val="en-US" w:eastAsia="zh-CN" w:bidi="ar"/>
        </w:rPr>
        <w:t>1471.61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2039.65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根据实际情况已补充原因。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93"/>
        <w:gridCol w:w="1010"/>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9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72.15</w:t>
            </w:r>
          </w:p>
        </w:tc>
        <w:tc>
          <w:tcPr>
            <w:tcW w:w="89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71.61</w:t>
            </w:r>
          </w:p>
        </w:tc>
        <w:tc>
          <w:tcPr>
            <w:tcW w:w="10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99.27%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用于职工干部养老保险支出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主要是有职工退休，减少养老保险支出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2080699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其他企业改革发展补助</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9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1400.00</w:t>
            </w:r>
          </w:p>
        </w:tc>
        <w:tc>
          <w:tcPr>
            <w:tcW w:w="10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用于原粮食系统28位职工随征土地（202179地块）拍卖补偿金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补偿28位原粮食系统职工征地补偿金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72.15</w:t>
            </w:r>
          </w:p>
        </w:tc>
        <w:tc>
          <w:tcPr>
            <w:tcW w:w="89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1471.61</w:t>
            </w:r>
          </w:p>
        </w:tc>
        <w:tc>
          <w:tcPr>
            <w:tcW w:w="10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218305" cy="2701290"/>
            <wp:effectExtent l="4445" t="4445" r="635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城乡社区支出</w:t>
      </w:r>
      <w:r>
        <w:rPr>
          <w:rFonts w:ascii="仿宋" w:hAnsi="仿宋" w:eastAsia="仿宋"/>
          <w:sz w:val="32"/>
          <w:u w:color="auto"/>
        </w:rPr>
        <w:t>（21</w:t>
      </w:r>
      <w:r>
        <w:rPr>
          <w:rFonts w:hint="eastAsia" w:ascii="仿宋" w:hAnsi="仿宋" w:eastAsia="仿宋"/>
          <w:sz w:val="32"/>
          <w:u w:color="auto"/>
          <w:lang w:val="en-US" w:eastAsia="zh-CN"/>
        </w:rPr>
        <w:t>2</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329.74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根据实际情况已补充原因。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2120806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土地出让业务支出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29.74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用于对粮油公司职工补贴国有粮食企业改制职工医疗保险费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年初无预算，年中追加预算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2129999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其他城乡社区支出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300.00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用于2021年乡村振兴补助资金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年初无预算，年中追加预算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329.74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08805" cy="2673350"/>
            <wp:effectExtent l="4445" t="5080" r="6350" b="7620"/>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1111.25</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根据实际情况已补充原因。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78"/>
        <w:gridCol w:w="1025"/>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2130122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农业生产发展</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177.54</w:t>
            </w:r>
          </w:p>
        </w:tc>
        <w:tc>
          <w:tcPr>
            <w:tcW w:w="10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用于本县企业贷款贴息支出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上年结转资金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农村基础设施建设</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637.00</w:t>
            </w:r>
          </w:p>
        </w:tc>
        <w:tc>
          <w:tcPr>
            <w:tcW w:w="10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用于2022年以工代赈项目支出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年初无预算，年中追加预算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其他目标价格补贴</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5.00</w:t>
            </w:r>
          </w:p>
        </w:tc>
        <w:tc>
          <w:tcPr>
            <w:tcW w:w="10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用于稻谷目标价格补贴支出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年初无预算，年中追加预算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其他农林水支出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291.71</w:t>
            </w:r>
          </w:p>
        </w:tc>
        <w:tc>
          <w:tcPr>
            <w:tcW w:w="10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用于石漠化综合治理项目支出、2020年度乡村振兴项目支出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年初无预算，年中追加预算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1111.25</w:t>
            </w:r>
          </w:p>
        </w:tc>
        <w:tc>
          <w:tcPr>
            <w:tcW w:w="10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256405" cy="2835275"/>
            <wp:effectExtent l="4445" t="4445" r="6350" b="17780"/>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52.01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52.03</w:t>
      </w:r>
      <w:r>
        <w:rPr>
          <w:rFonts w:hint="eastAsia" w:ascii="仿宋" w:hAnsi="仿宋" w:eastAsia="仿宋"/>
          <w:sz w:val="32"/>
          <w:szCs w:val="32"/>
          <w:highlight w:val="none"/>
        </w:rPr>
        <w:t>万元，完成年初预算的</w:t>
      </w:r>
      <w:r>
        <w:rPr>
          <w:rFonts w:ascii="仿宋" w:hAnsi="仿宋" w:eastAsia="仿宋"/>
          <w:sz w:val="32"/>
          <w:szCs w:val="32"/>
          <w:highlight w:val="none"/>
        </w:rPr>
        <w:t>97.18%</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根据实际情况已补充原因。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52.01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52.03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用于在职在编干部职工单位部分住房公积金支出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按预算执行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52.01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52.03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122420" cy="3082925"/>
            <wp:effectExtent l="4445" t="5080" r="6985" b="1714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cs="仿宋"/>
          <w:bCs/>
          <w:kern w:val="0"/>
          <w:sz w:val="32"/>
          <w:szCs w:val="32"/>
          <w:lang w:val="en-US" w:eastAsia="zh-CN"/>
        </w:rPr>
        <w:t>粮油物资储备支出（222类）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77.03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69.85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90.68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根据实际情况已补充原因。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2220105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信息统计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用于粮食信息统计社会调查办公费、差旅费支出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按预算执行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2220106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专项业务活动</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5.87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5.87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粮食执法业务工作办公费、差旅费等支出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按预算执行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2220403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储备粮（油）库建设</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52.00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用于储备粮油库建设维修费支出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年初无预算，年中追加预算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2220499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其他粮油储备支出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66.68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用于粮食仓库维修费支出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减少原因：主要是减少水源林粮补贴支出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2220511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应急物资储备</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84.38%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用于物资储备工作办公费、差旅费等支出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按预算执行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77.03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68.85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360545" cy="2882265"/>
            <wp:effectExtent l="4445" t="4445" r="16510" b="8890"/>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cs="仿宋"/>
          <w:bCs/>
          <w:kern w:val="0"/>
          <w:sz w:val="32"/>
          <w:szCs w:val="32"/>
          <w:lang w:val="en-US" w:eastAsia="zh-CN"/>
        </w:rPr>
        <w:t>其他支出（229）</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1405.71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根据实际情况已补充原因。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63"/>
        <w:gridCol w:w="1040"/>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1405.71</w:t>
            </w:r>
          </w:p>
        </w:tc>
        <w:tc>
          <w:tcPr>
            <w:tcW w:w="10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用于在职干部奖励性补贴支出、较少项目款支出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年初无预算，年中追加预算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1405.71</w:t>
            </w:r>
          </w:p>
        </w:tc>
        <w:tc>
          <w:tcPr>
            <w:tcW w:w="10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056380" cy="2730500"/>
            <wp:effectExtent l="4445" t="4445" r="15875" b="8255"/>
            <wp:docPr id="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本部门2022年度一般公共预算财政拨款基本支出</w:t>
      </w:r>
      <w:r>
        <w:rPr>
          <w:rFonts w:hint="eastAsia" w:ascii="仿宋" w:hAnsi="仿宋" w:eastAsia="仿宋" w:cs="仿宋"/>
          <w:sz w:val="32"/>
          <w:u w:color="auto"/>
          <w:lang w:val="en-US" w:eastAsia="zh-CN"/>
        </w:rPr>
        <w:t>2303.57</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2144.08</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159.48</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653.02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103.</w:t>
      </w:r>
      <w:r>
        <w:rPr>
          <w:rFonts w:hint="eastAsia" w:ascii="仿宋" w:hAnsi="仿宋" w:eastAsia="仿宋" w:cs="仿宋"/>
          <w:sz w:val="32"/>
          <w:szCs w:val="32"/>
          <w:highlight w:val="none"/>
          <w:lang w:val="en-US" w:eastAsia="zh-CN"/>
        </w:rPr>
        <w:t>88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人员增加，工资福利支出增加。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204.33万元，30102津贴补贴57.75万元，30103奖金166.05万元，30106伙食补助费8.63万元，30107绩效工资50.43万元，30108机关事业单位基本养老保险缴费71.61万元，30110职工基本医疗保险缴费30.03万元，30111公务员医疗补助缴费0万元，30112其他社会保障缴费4.16万元，30113住房公积金52.03万元，30199其他工资福利支出8.01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159.48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367.72</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主要原因是：日常办公经费增加。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22.24万元，30202印刷费4.14万元，30205水费1.51万元，30206电费1.83万元，30207邮电费4.84万元，30209物业管理费0.16万元，30211差旅费17.65万元，30215会议费1.0万元，30217公务接待费2.5万元，30226劳务费3.6万元，30227委托业务费46.64万元，30228工会经费8.67万元，30239其他交通费用18.62万元，30299其他商品和服务支出25.3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1491.06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2049.56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主要原因是：补偿28位原粮食系统职工征地补偿金，退休干部死亡抚恤金。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30304抚恤金13.18万元，30305生活补助72.88万元,30310个人农业生产补贴1405万元。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本部门无债务利息及费用支出。</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资本性支出0.00万元，</w:t>
      </w:r>
      <w:r>
        <w:rPr>
          <w:rFonts w:hint="default" w:ascii="仿宋" w:hAnsi="仿宋" w:eastAsia="仿宋" w:cs="仿宋"/>
          <w:sz w:val="32"/>
          <w:szCs w:val="32"/>
          <w:highlight w:val="none"/>
        </w:rPr>
        <w:t>完成年初预算的</w:t>
      </w:r>
      <w:r>
        <w:rPr>
          <w:rFonts w:hint="eastAsia" w:ascii="仿宋" w:hAnsi="仿宋" w:eastAsia="仿宋" w:cs="仿宋"/>
          <w:sz w:val="32"/>
          <w:szCs w:val="32"/>
          <w:highlight w:val="none"/>
        </w:rPr>
        <w:t>0%</w:t>
      </w:r>
      <w:r>
        <w:rPr>
          <w:rFonts w:hint="default" w:ascii="仿宋" w:hAnsi="仿宋" w:eastAsia="仿宋" w:cs="仿宋"/>
          <w:sz w:val="32"/>
          <w:szCs w:val="32"/>
          <w:highlight w:val="none"/>
        </w:rPr>
        <w:t>，</w:t>
      </w:r>
      <w:r>
        <w:rPr>
          <w:rFonts w:hint="eastAsia" w:ascii="仿宋" w:hAnsi="仿宋" w:eastAsia="仿宋" w:cs="仿宋"/>
          <w:sz w:val="32"/>
          <w:szCs w:val="32"/>
          <w:highlight w:val="none"/>
          <w:lang w:val="en-US" w:eastAsia="zh-CN"/>
        </w:rPr>
        <w:t>主要原因是：本部门</w:t>
      </w:r>
      <w:r>
        <w:rPr>
          <w:rFonts w:hint="eastAsia" w:ascii="仿宋" w:hAnsi="仿宋" w:eastAsia="仿宋" w:cs="仿宋"/>
          <w:sz w:val="32"/>
          <w:szCs w:val="32"/>
          <w:highlight w:val="none"/>
        </w:rPr>
        <w:t>资本性</w:t>
      </w:r>
      <w:r>
        <w:rPr>
          <w:rFonts w:hint="eastAsia" w:ascii="仿宋" w:hAnsi="仿宋" w:eastAsia="仿宋" w:cs="仿宋"/>
          <w:sz w:val="32"/>
          <w:szCs w:val="32"/>
          <w:highlight w:val="none"/>
          <w:lang w:val="en-US" w:eastAsia="zh-CN"/>
        </w:rPr>
        <w:t>支出。</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本部门其他支出。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本部门2022年度政府性基金支出</w:t>
      </w:r>
      <w:r>
        <w:rPr>
          <w:rFonts w:hint="eastAsia" w:ascii="仿宋" w:hAnsi="仿宋" w:eastAsia="仿宋" w:cs="仿宋"/>
          <w:sz w:val="32"/>
          <w:szCs w:val="32"/>
          <w:highlight w:val="none"/>
          <w:lang w:val="en-US" w:eastAsia="zh-CN"/>
        </w:rPr>
        <w:t>29.74</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29.74</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val="en-US" w:eastAsia="zh-CN"/>
        </w:rPr>
        <w:t>29.74</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29.74</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仿宋" w:hAnsi="仿宋" w:eastAsia="仿宋" w:cs="仿宋"/>
          <w:kern w:val="2"/>
          <w:sz w:val="32"/>
          <w:szCs w:val="32"/>
          <w:highlight w:val="none"/>
          <w:lang w:val="en-US" w:eastAsia="zh-CN" w:bidi="ar"/>
        </w:rPr>
      </w:pPr>
      <w:r>
        <w:rPr>
          <w:rFonts w:hint="eastAsia" w:ascii="仿宋" w:hAnsi="仿宋" w:eastAsia="仿宋" w:cs="仿宋"/>
          <w:sz w:val="32"/>
          <w:szCs w:val="32"/>
          <w:highlight w:val="none"/>
        </w:rPr>
        <w:t>本部门</w:t>
      </w:r>
      <w:r>
        <w:rPr>
          <w:rFonts w:hint="eastAsia" w:ascii="仿宋" w:hAnsi="仿宋" w:eastAsia="仿宋" w:cs="仿宋"/>
          <w:kern w:val="2"/>
          <w:sz w:val="32"/>
          <w:szCs w:val="32"/>
          <w:highlight w:val="none"/>
          <w:lang w:val="en-US" w:eastAsia="zh-CN" w:bidi="ar"/>
        </w:rPr>
        <w:t>没有国有资本经营预算财政拨款收入及</w:t>
      </w:r>
      <w:r>
        <w:rPr>
          <w:rFonts w:hint="eastAsia" w:ascii="仿宋" w:hAnsi="仿宋" w:eastAsia="仿宋" w:cs="仿宋"/>
          <w:sz w:val="32"/>
          <w:szCs w:val="32"/>
          <w:highlight w:val="none"/>
        </w:rPr>
        <w:t>国有资本经营预算支出</w:t>
      </w:r>
      <w:r>
        <w:rPr>
          <w:rFonts w:hint="eastAsia" w:ascii="仿宋" w:hAnsi="仿宋" w:eastAsia="仿宋" w:cs="仿宋"/>
          <w:kern w:val="2"/>
          <w:sz w:val="32"/>
          <w:szCs w:val="32"/>
          <w:highlight w:val="none"/>
          <w:lang w:val="en-US" w:eastAsia="zh-CN" w:bidi="ar"/>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55.6</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1.71</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主要原因是：上级检查及调研各项工作增多。</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Times New Roman" w:hAnsi="Times New Roman" w:eastAsia="仿宋_GB2312" w:cs="Times New Roman"/>
          <w:kern w:val="0"/>
          <w:sz w:val="32"/>
          <w:szCs w:val="32"/>
          <w:lang w:val="en-US" w:eastAsia="zh-CN"/>
        </w:rPr>
        <w:t>无</w:t>
      </w:r>
      <w:r>
        <w:rPr>
          <w:rFonts w:hint="default" w:ascii="Times New Roman" w:hAnsi="Times New Roman" w:eastAsia="仿宋_GB2312" w:cs="Times New Roman"/>
          <w:kern w:val="0"/>
          <w:sz w:val="32"/>
          <w:szCs w:val="32"/>
        </w:rPr>
        <w:t>因公出国（境）。</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numPr>
          <w:ilvl w:val="0"/>
          <w:numId w:val="0"/>
        </w:num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14:textFill>
            <w14:solidFill>
              <w14:schemeClr w14:val="tx1"/>
            </w14:solidFill>
          </w14:textFill>
        </w:rPr>
        <w:t>主要原因是</w:t>
      </w:r>
      <w:bookmarkStart w:id="2" w:name="PO_part3A6B2IncReason1"/>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为本部门无公务用车购置</w:t>
      </w:r>
      <w:bookmarkEnd w:id="2"/>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本部门</w:t>
      </w:r>
      <w:r>
        <w:rPr>
          <w:rFonts w:hint="eastAsia" w:ascii="Times New Roman" w:hAnsi="Times New Roman" w:eastAsia="仿宋_GB2312" w:cs="Times New Roman"/>
          <w:kern w:val="0"/>
          <w:sz w:val="32"/>
          <w:szCs w:val="32"/>
          <w:lang w:val="en-US" w:eastAsia="zh-CN"/>
        </w:rPr>
        <w:t>无</w:t>
      </w:r>
      <w:r>
        <w:rPr>
          <w:rFonts w:hint="default" w:ascii="Times New Roman" w:hAnsi="Times New Roman" w:eastAsia="仿宋_GB2312" w:cs="Times New Roman"/>
          <w:kern w:val="0"/>
          <w:sz w:val="32"/>
          <w:szCs w:val="32"/>
        </w:rPr>
        <w:t>公务用车</w:t>
      </w:r>
      <w:r>
        <w:rPr>
          <w:rFonts w:hint="eastAsia" w:ascii="仿宋" w:hAnsi="仿宋" w:eastAsia="仿宋" w:cs="仿宋"/>
          <w:color w:val="FF0000"/>
          <w:sz w:val="32"/>
          <w:szCs w:val="32"/>
          <w:highlight w:val="none"/>
        </w:rPr>
        <w:t>。</w:t>
      </w:r>
      <w:r>
        <w:rPr>
          <w:rFonts w:hint="eastAsia" w:ascii="仿宋" w:hAnsi="仿宋" w:eastAsia="仿宋" w:cs="仿宋"/>
          <w:sz w:val="32"/>
          <w:szCs w:val="32"/>
          <w:highlight w:val="none"/>
        </w:rPr>
        <w:t>2022年，</w:t>
      </w:r>
      <w:r>
        <w:rPr>
          <w:rFonts w:hint="eastAsia" w:ascii="仿宋" w:hAnsi="仿宋" w:eastAsia="仿宋" w:cs="仿宋"/>
          <w:sz w:val="32"/>
          <w:u w:color="auto"/>
          <w:lang w:val="en-US" w:eastAsia="zh-CN"/>
        </w:rPr>
        <w:t>本</w:t>
      </w:r>
      <w:r>
        <w:rPr>
          <w:rFonts w:hint="eastAsia" w:ascii="仿宋" w:hAnsi="仿宋" w:eastAsia="仿宋" w:cs="仿宋"/>
          <w:sz w:val="32"/>
          <w:szCs w:val="32"/>
          <w:highlight w:val="none"/>
        </w:rPr>
        <w:t>单位开支财政拨款的公务用车保有量为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5</w:t>
      </w:r>
      <w:r>
        <w:rPr>
          <w:rFonts w:hint="eastAsia" w:ascii="仿宋" w:hAnsi="仿宋" w:eastAsia="仿宋" w:cs="仿宋"/>
          <w:sz w:val="32"/>
          <w:szCs w:val="32"/>
          <w:highlight w:val="none"/>
          <w:lang w:val="en-US" w:eastAsia="zh-CN"/>
        </w:rPr>
        <w:t>5</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6</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增加1.</w:t>
      </w:r>
      <w:r>
        <w:rPr>
          <w:rFonts w:hint="eastAsia" w:ascii="仿宋" w:hAnsi="仿宋" w:eastAsia="仿宋" w:cs="仿宋"/>
          <w:sz w:val="32"/>
          <w:szCs w:val="32"/>
          <w:highlight w:val="none"/>
          <w:lang w:val="en-US" w:eastAsia="zh-CN"/>
        </w:rPr>
        <w:t>7</w:t>
      </w:r>
      <w:r>
        <w:rPr>
          <w:rFonts w:ascii="仿宋" w:hAnsi="仿宋" w:eastAsia="仿宋" w:cs="仿宋"/>
          <w:sz w:val="32"/>
          <w:szCs w:val="32"/>
          <w:highlight w:val="none"/>
        </w:rPr>
        <w:t>1</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主要原因是：上级检查及调研各项工作增多。</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30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195</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autoSpaceDE w:val="0"/>
        <w:autoSpaceDN w:val="0"/>
        <w:adjustRightInd w:val="0"/>
        <w:spacing w:line="600" w:lineRule="exact"/>
        <w:ind w:firstLine="640" w:firstLineChars="200"/>
        <w:rPr>
          <w:rFonts w:hint="default" w:ascii="Times New Roman" w:hAnsi="Times New Roman" w:eastAsia="仿宋_GB2312" w:cs="Times New Roman"/>
          <w:b w:val="0"/>
          <w:bCs w:val="0"/>
          <w:kern w:val="0"/>
          <w:sz w:val="32"/>
          <w:szCs w:val="32"/>
        </w:rPr>
      </w:pPr>
      <w:r>
        <w:rPr>
          <w:rFonts w:hint="eastAsia" w:ascii="仿宋" w:hAnsi="仿宋" w:eastAsia="仿宋" w:cs="仿宋"/>
          <w:sz w:val="32"/>
          <w:szCs w:val="32"/>
          <w:highlight w:val="none"/>
        </w:rPr>
        <w:t>本部门2022年度机关运行经费支出</w:t>
      </w:r>
      <w:r>
        <w:rPr>
          <w:rFonts w:hint="eastAsia" w:ascii="仿宋" w:hAnsi="仿宋" w:eastAsia="仿宋" w:cs="仿宋"/>
          <w:sz w:val="32"/>
          <w:szCs w:val="32"/>
          <w:highlight w:val="none"/>
          <w:lang w:val="en-US" w:eastAsia="zh-CN"/>
        </w:rPr>
        <w:t>553.11</w:t>
      </w:r>
      <w:r>
        <w:rPr>
          <w:rFonts w:hint="eastAsia"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增加104.87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增长23.39</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19.75</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3.7</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原因是：</w:t>
      </w:r>
      <w:r>
        <w:rPr>
          <w:rFonts w:hint="default" w:ascii="Times New Roman" w:hAnsi="Times New Roman" w:eastAsia="仿宋_GB2312" w:cs="Times New Roman"/>
          <w:b w:val="0"/>
          <w:bCs w:val="0"/>
          <w:kern w:val="0"/>
          <w:sz w:val="32"/>
          <w:szCs w:val="32"/>
        </w:rPr>
        <w:t>办公设施设备购置经费增加、资产运行维护支出增加、信息系统运行维护支出增加、人员编制数量增加等。</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2563.23</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9.49</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val="en-US" w:eastAsia="zh-CN"/>
        </w:rPr>
        <w:t>2553.74</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2553.74</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99.62</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9.49</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0.38</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2518.10</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97.7</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组织对“中央财政衔接推进乡村振兴补助资金”</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522</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万元。从评价情况来看，主要完成以工代赈</w:t>
      </w:r>
      <w:r>
        <w:rPr>
          <w:rFonts w:hint="eastAsia" w:ascii="仿宋" w:hAnsi="仿宋" w:eastAsia="仿宋" w:cs="仿宋"/>
          <w:color w:val="000000" w:themeColor="text1"/>
          <w:sz w:val="32"/>
          <w:szCs w:val="32"/>
          <w:lang w:val="en-US" w:eastAsia="zh-CN"/>
          <w14:textFill>
            <w14:solidFill>
              <w14:schemeClr w14:val="tx1"/>
            </w14:solidFill>
          </w14:textFill>
        </w:rPr>
        <w:t>工程</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12个项目道路及漫水桥建设</w:t>
      </w:r>
      <w:r>
        <w:rPr>
          <w:rFonts w:hint="eastAsia" w:ascii="仿宋" w:hAnsi="仿宋" w:eastAsia="仿宋" w:cs="仿宋"/>
          <w:color w:val="000000" w:themeColor="text1"/>
          <w:sz w:val="32"/>
          <w:szCs w:val="32"/>
          <w14:textFill>
            <w14:solidFill>
              <w14:schemeClr w14:val="tx1"/>
            </w14:solidFill>
          </w14:textFill>
        </w:rPr>
        <w:t>，满足当地人民群众出行的需要，大大地改善当地群众出行条件，不断完善基础设施建设。</w:t>
      </w:r>
    </w:p>
    <w:p>
      <w:pPr>
        <w:ind w:firstLine="640" w:firstLineChars="200"/>
        <w:jc w:val="left"/>
        <w:rPr>
          <w:rFonts w:hint="default" w:ascii="Times New Roman" w:hAnsi="Times New Roman" w:eastAsia="仿宋_GB2312" w:cs="Times New Roman"/>
          <w:b w:val="0"/>
          <w:bCs w:val="0"/>
          <w:kern w:val="0"/>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个部门（单位）开展整体支出绩效评价试点，涉及一般公共预算支出3334.77万元，政府性基金预算支出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年初预算数762.33万元，年中调整3139.97万元，调整后预算数3902.3万元，完成全年预算数3334.77万元，完成预算执行率85.46%，自评得分为8.55分。</w:t>
      </w:r>
      <w:bookmarkStart w:id="3" w:name="_GoBack"/>
      <w:bookmarkEnd w:id="3"/>
    </w:p>
    <w:p>
      <w:pPr>
        <w:numPr>
          <w:ilvl w:val="0"/>
          <w:numId w:val="4"/>
        </w:num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000000" w:themeColor="text1"/>
          <w:sz w:val="32"/>
          <w:szCs w:val="32"/>
          <w14:textFill>
            <w14:solidFill>
              <w14:schemeClr w14:val="tx1"/>
            </w14:solidFill>
          </w14:textFill>
        </w:rPr>
        <w:t>部门决算中项目绩效自评结果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lang w:val="en-US" w:eastAsia="zh-CN"/>
        </w:rPr>
        <w:t>1、</w:t>
      </w:r>
      <w:r>
        <w:rPr>
          <w:rFonts w:hint="eastAsia" w:ascii="仿宋" w:hAnsi="仿宋" w:eastAsia="仿宋" w:cs="仿宋"/>
          <w:color w:val="000000" w:themeColor="text1"/>
          <w:sz w:val="32"/>
          <w:szCs w:val="32"/>
          <w:lang w:val="en-US" w:eastAsia="zh-CN"/>
          <w14:textFill>
            <w14:solidFill>
              <w14:schemeClr w14:val="tx1"/>
            </w14:solidFill>
          </w14:textFill>
        </w:rPr>
        <w:t>党员活运经费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0"/>
        </w:num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2、中央财政衔接推进乡村振兴补助资金自评得分为100分。</w:t>
      </w:r>
      <w:r>
        <w:rPr>
          <w:rFonts w:hint="default" w:ascii="仿宋" w:hAnsi="仿宋" w:eastAsia="仿宋" w:cs="仿宋"/>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sz w:val="32"/>
          <w:szCs w:val="32"/>
          <w:lang w:val="en-US" w:eastAsia="zh-CN"/>
          <w14:textFill>
            <w14:solidFill>
              <w14:schemeClr w14:val="tx1"/>
            </w14:solidFill>
          </w14:textFill>
        </w:rPr>
        <w:t>项目建设完成情况</w:t>
      </w:r>
      <w:r>
        <w:rPr>
          <w:rFonts w:hint="default" w:ascii="仿宋" w:hAnsi="仿宋" w:eastAsia="仿宋" w:cs="仿宋"/>
          <w:color w:val="000000" w:themeColor="text1"/>
          <w:sz w:val="32"/>
          <w:szCs w:val="32"/>
          <w:lang w:val="en-US" w:eastAsia="zh-CN"/>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项目质量验收情况</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发现的主要问题及原因：管理制度不完善。下一步改进措施：一是完善管理制度，改进管理措施；二是完善绩效任务。</w:t>
      </w:r>
    </w:p>
    <w:p>
      <w:pPr>
        <w:numPr>
          <w:ilvl w:val="0"/>
          <w:numId w:val="0"/>
        </w:num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3、工程项目监理、规划设计编审、项目勘察及项目竣工验收经费自评得分</w:t>
      </w: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color w:val="000000" w:themeColor="text1"/>
          <w:sz w:val="32"/>
          <w:szCs w:val="32"/>
          <w:lang w:val="en-US" w:eastAsia="zh-CN"/>
          <w14:textFill>
            <w14:solidFill>
              <w14:schemeClr w14:val="tx1"/>
            </w14:solidFill>
          </w14:textFill>
        </w:rPr>
        <w:t>92.24分。</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项目已实施完成，由于国库存资金紧张，没能足额支付工程款。</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待国库资金允许支付。</w:t>
      </w:r>
    </w:p>
    <w:p>
      <w:pPr>
        <w:numPr>
          <w:ilvl w:val="0"/>
          <w:numId w:val="0"/>
        </w:numPr>
        <w:ind w:firstLine="64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4、2022年储备粮油库建设维修项目</w:t>
      </w:r>
      <w:r>
        <w:rPr>
          <w:rFonts w:hint="eastAsia" w:ascii="仿宋" w:hAnsi="仿宋" w:eastAsia="仿宋" w:cs="仿宋"/>
          <w:color w:val="000000" w:themeColor="text1"/>
          <w:sz w:val="32"/>
          <w:szCs w:val="32"/>
          <w14:textFill>
            <w14:solidFill>
              <w14:schemeClr w14:val="tx1"/>
            </w14:solidFill>
          </w14:textFill>
        </w:rPr>
        <w:t>评得分为</w:t>
      </w:r>
      <w:r>
        <w:rPr>
          <w:rFonts w:hint="eastAsia" w:ascii="仿宋" w:hAnsi="仿宋" w:eastAsia="仿宋" w:cs="仿宋"/>
          <w:color w:val="000000" w:themeColor="text1"/>
          <w:sz w:val="32"/>
          <w:szCs w:val="32"/>
          <w:lang w:val="en-US" w:eastAsia="zh-CN"/>
          <w14:textFill>
            <w14:solidFill>
              <w14:schemeClr w14:val="tx1"/>
            </w14:solidFill>
          </w14:textFill>
        </w:rPr>
        <w:t>100分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主要完成：2022年对乡镇老旧仓房进行维修，满足基层粮食业务需求，保障存粮安全。</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val="en-US" w:eastAsia="zh-CN"/>
        </w:rPr>
        <w:t>环江毛南族自治县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F6EC8"/>
    <w:multiLevelType w:val="singleLevel"/>
    <w:tmpl w:val="84FF6EC8"/>
    <w:lvl w:ilvl="0" w:tentative="0">
      <w:start w:val="2"/>
      <w:numFmt w:val="decimal"/>
      <w:lvlText w:val="%1."/>
      <w:lvlJc w:val="left"/>
      <w:pPr>
        <w:tabs>
          <w:tab w:val="left" w:pos="312"/>
        </w:tabs>
      </w:pPr>
    </w:lvl>
  </w:abstractNum>
  <w:abstractNum w:abstractNumId="1">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2">
    <w:nsid w:val="C79E08BB"/>
    <w:multiLevelType w:val="singleLevel"/>
    <w:tmpl w:val="C79E08BB"/>
    <w:lvl w:ilvl="0" w:tentative="0">
      <w:start w:val="1"/>
      <w:numFmt w:val="chineseCounting"/>
      <w:suff w:val="nothing"/>
      <w:lvlText w:val="（%1）"/>
      <w:lvlJc w:val="left"/>
      <w:rPr>
        <w:rFonts w:hint="eastAsia"/>
      </w:rPr>
    </w:lvl>
  </w:abstractNum>
  <w:abstractNum w:abstractNumId="3">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4F3199"/>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131D5"/>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5024D1"/>
    <w:rsid w:val="028D2DA7"/>
    <w:rsid w:val="02E0291A"/>
    <w:rsid w:val="032015B4"/>
    <w:rsid w:val="044C2756"/>
    <w:rsid w:val="04E54546"/>
    <w:rsid w:val="057F55A9"/>
    <w:rsid w:val="058A7125"/>
    <w:rsid w:val="05992762"/>
    <w:rsid w:val="07B0770E"/>
    <w:rsid w:val="07D87CAF"/>
    <w:rsid w:val="08FC0F59"/>
    <w:rsid w:val="0942143F"/>
    <w:rsid w:val="096B15B0"/>
    <w:rsid w:val="0A5C798D"/>
    <w:rsid w:val="0C5F125B"/>
    <w:rsid w:val="0CE11D98"/>
    <w:rsid w:val="0D100297"/>
    <w:rsid w:val="0D202B45"/>
    <w:rsid w:val="0F0F1201"/>
    <w:rsid w:val="0F845091"/>
    <w:rsid w:val="0F8D4C87"/>
    <w:rsid w:val="10505FAA"/>
    <w:rsid w:val="105F7E7E"/>
    <w:rsid w:val="11E56B5B"/>
    <w:rsid w:val="125C77AB"/>
    <w:rsid w:val="139A6ACA"/>
    <w:rsid w:val="14CB726E"/>
    <w:rsid w:val="1548078A"/>
    <w:rsid w:val="15B344E7"/>
    <w:rsid w:val="15E244CA"/>
    <w:rsid w:val="162C5B6F"/>
    <w:rsid w:val="16620555"/>
    <w:rsid w:val="178D0712"/>
    <w:rsid w:val="17E92249"/>
    <w:rsid w:val="18D304F1"/>
    <w:rsid w:val="193A1106"/>
    <w:rsid w:val="19F32577"/>
    <w:rsid w:val="19F45B80"/>
    <w:rsid w:val="1A6E0891"/>
    <w:rsid w:val="1AED1C0C"/>
    <w:rsid w:val="1B00735C"/>
    <w:rsid w:val="1B0C078D"/>
    <w:rsid w:val="1B2B31E2"/>
    <w:rsid w:val="1B4C295A"/>
    <w:rsid w:val="1B973C63"/>
    <w:rsid w:val="1BA1001E"/>
    <w:rsid w:val="1D317259"/>
    <w:rsid w:val="1E664F5B"/>
    <w:rsid w:val="1EB34BE1"/>
    <w:rsid w:val="1EF25422"/>
    <w:rsid w:val="1F360B43"/>
    <w:rsid w:val="1FFC742B"/>
    <w:rsid w:val="215E639F"/>
    <w:rsid w:val="21EC3183"/>
    <w:rsid w:val="21FF3314"/>
    <w:rsid w:val="225E72CD"/>
    <w:rsid w:val="22915CBF"/>
    <w:rsid w:val="22FA283E"/>
    <w:rsid w:val="246E2F77"/>
    <w:rsid w:val="254B4E2B"/>
    <w:rsid w:val="260C0C79"/>
    <w:rsid w:val="261049F6"/>
    <w:rsid w:val="268C267E"/>
    <w:rsid w:val="283D7C94"/>
    <w:rsid w:val="29345755"/>
    <w:rsid w:val="29480E03"/>
    <w:rsid w:val="2983634D"/>
    <w:rsid w:val="29C60237"/>
    <w:rsid w:val="2BB02055"/>
    <w:rsid w:val="2C575A56"/>
    <w:rsid w:val="2D3F332E"/>
    <w:rsid w:val="2D514837"/>
    <w:rsid w:val="2DA6754B"/>
    <w:rsid w:val="2DF50BBD"/>
    <w:rsid w:val="2F257714"/>
    <w:rsid w:val="2F3275E5"/>
    <w:rsid w:val="30AA08EF"/>
    <w:rsid w:val="30CD2DED"/>
    <w:rsid w:val="30D23D1C"/>
    <w:rsid w:val="31221CF5"/>
    <w:rsid w:val="31400178"/>
    <w:rsid w:val="31CD0880"/>
    <w:rsid w:val="321E3342"/>
    <w:rsid w:val="327759C8"/>
    <w:rsid w:val="33185FE3"/>
    <w:rsid w:val="332F65CC"/>
    <w:rsid w:val="33437504"/>
    <w:rsid w:val="34EE2E36"/>
    <w:rsid w:val="35C21ABC"/>
    <w:rsid w:val="36104E08"/>
    <w:rsid w:val="364C7A8A"/>
    <w:rsid w:val="36777241"/>
    <w:rsid w:val="387B7C35"/>
    <w:rsid w:val="38847C98"/>
    <w:rsid w:val="38A951DB"/>
    <w:rsid w:val="38B31605"/>
    <w:rsid w:val="39003F4F"/>
    <w:rsid w:val="3C07002B"/>
    <w:rsid w:val="3C0C7790"/>
    <w:rsid w:val="3C2743D2"/>
    <w:rsid w:val="3D0D152A"/>
    <w:rsid w:val="3DF62756"/>
    <w:rsid w:val="3E1103E1"/>
    <w:rsid w:val="3F1B7587"/>
    <w:rsid w:val="3F4118C1"/>
    <w:rsid w:val="40C06047"/>
    <w:rsid w:val="4109319E"/>
    <w:rsid w:val="41171E77"/>
    <w:rsid w:val="416704FF"/>
    <w:rsid w:val="41E57B4F"/>
    <w:rsid w:val="42BB4861"/>
    <w:rsid w:val="432F26F6"/>
    <w:rsid w:val="435D335A"/>
    <w:rsid w:val="43880F63"/>
    <w:rsid w:val="441C5A6F"/>
    <w:rsid w:val="44C44FCC"/>
    <w:rsid w:val="44CC7369"/>
    <w:rsid w:val="457F5108"/>
    <w:rsid w:val="46951B6B"/>
    <w:rsid w:val="46E25304"/>
    <w:rsid w:val="470C533F"/>
    <w:rsid w:val="49A34401"/>
    <w:rsid w:val="4A3E30AB"/>
    <w:rsid w:val="4A733CA3"/>
    <w:rsid w:val="4AC14DAC"/>
    <w:rsid w:val="4ADC2C61"/>
    <w:rsid w:val="4D154C85"/>
    <w:rsid w:val="4D7017D2"/>
    <w:rsid w:val="4DD852DC"/>
    <w:rsid w:val="4E525FA0"/>
    <w:rsid w:val="4EA531DE"/>
    <w:rsid w:val="4EC8553A"/>
    <w:rsid w:val="4F1E039A"/>
    <w:rsid w:val="4FB42FCF"/>
    <w:rsid w:val="508F4E24"/>
    <w:rsid w:val="51461E90"/>
    <w:rsid w:val="51463753"/>
    <w:rsid w:val="514767A9"/>
    <w:rsid w:val="51875353"/>
    <w:rsid w:val="518976D2"/>
    <w:rsid w:val="52386158"/>
    <w:rsid w:val="52411EA6"/>
    <w:rsid w:val="52553A93"/>
    <w:rsid w:val="53521F8B"/>
    <w:rsid w:val="53E22F47"/>
    <w:rsid w:val="54522FF8"/>
    <w:rsid w:val="55450629"/>
    <w:rsid w:val="562F1D40"/>
    <w:rsid w:val="56692963"/>
    <w:rsid w:val="568B0F48"/>
    <w:rsid w:val="5786217B"/>
    <w:rsid w:val="579E2AA8"/>
    <w:rsid w:val="59337A15"/>
    <w:rsid w:val="59810274"/>
    <w:rsid w:val="5ACD44F1"/>
    <w:rsid w:val="5BC24519"/>
    <w:rsid w:val="5CA96A00"/>
    <w:rsid w:val="5CDE1A6B"/>
    <w:rsid w:val="5CF730BC"/>
    <w:rsid w:val="5D8B2D08"/>
    <w:rsid w:val="5DB54949"/>
    <w:rsid w:val="5E5F0DCE"/>
    <w:rsid w:val="5F8660D0"/>
    <w:rsid w:val="5FA40A7B"/>
    <w:rsid w:val="5FD56D29"/>
    <w:rsid w:val="5FEC7F3F"/>
    <w:rsid w:val="60BF3E00"/>
    <w:rsid w:val="60DE5A3A"/>
    <w:rsid w:val="60E4298C"/>
    <w:rsid w:val="60F74BC3"/>
    <w:rsid w:val="61356192"/>
    <w:rsid w:val="617D3BF8"/>
    <w:rsid w:val="61841F6A"/>
    <w:rsid w:val="623007A9"/>
    <w:rsid w:val="637D7558"/>
    <w:rsid w:val="644F19AC"/>
    <w:rsid w:val="64AF64B9"/>
    <w:rsid w:val="6518586B"/>
    <w:rsid w:val="65356BB1"/>
    <w:rsid w:val="65AA4920"/>
    <w:rsid w:val="65B13701"/>
    <w:rsid w:val="67694F1E"/>
    <w:rsid w:val="69597934"/>
    <w:rsid w:val="6B4C7159"/>
    <w:rsid w:val="6B610470"/>
    <w:rsid w:val="6B964DDC"/>
    <w:rsid w:val="6C783074"/>
    <w:rsid w:val="6CB22A1F"/>
    <w:rsid w:val="6D9E65C6"/>
    <w:rsid w:val="6DA81947"/>
    <w:rsid w:val="6EB66DE2"/>
    <w:rsid w:val="6EC53A3C"/>
    <w:rsid w:val="6ED3075F"/>
    <w:rsid w:val="6F2A2D4B"/>
    <w:rsid w:val="6F863CF9"/>
    <w:rsid w:val="6F8A0C1E"/>
    <w:rsid w:val="6FF164B1"/>
    <w:rsid w:val="703F45D4"/>
    <w:rsid w:val="715D6546"/>
    <w:rsid w:val="71BE069E"/>
    <w:rsid w:val="73953409"/>
    <w:rsid w:val="73E069A3"/>
    <w:rsid w:val="74E37AFB"/>
    <w:rsid w:val="77F92BFA"/>
    <w:rsid w:val="78104AA8"/>
    <w:rsid w:val="788F69B6"/>
    <w:rsid w:val="78E257C5"/>
    <w:rsid w:val="794B35BE"/>
    <w:rsid w:val="7A3B7C05"/>
    <w:rsid w:val="7B0A3A31"/>
    <w:rsid w:val="7B14377D"/>
    <w:rsid w:val="7B2433F4"/>
    <w:rsid w:val="7B3360ED"/>
    <w:rsid w:val="7B5319F3"/>
    <w:rsid w:val="7BDF037E"/>
    <w:rsid w:val="7BF50948"/>
    <w:rsid w:val="7C7706FD"/>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5089.04</c:v>
                </c:pt>
                <c:pt idx="1">
                  <c:v>29.74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Sheet1!$A$2:$A$11</c:f>
              <c:numCache>
                <c:formatCode>General</c:formatCode>
                <c:ptCount val="10"/>
                <c:pt idx="0">
                  <c:v>30101</c:v>
                </c:pt>
                <c:pt idx="1">
                  <c:v>30102</c:v>
                </c:pt>
                <c:pt idx="2">
                  <c:v>30103</c:v>
                </c:pt>
                <c:pt idx="3">
                  <c:v>30106</c:v>
                </c:pt>
                <c:pt idx="4">
                  <c:v>30107</c:v>
                </c:pt>
                <c:pt idx="5">
                  <c:v>30108</c:v>
                </c:pt>
                <c:pt idx="6">
                  <c:v>30110</c:v>
                </c:pt>
                <c:pt idx="7">
                  <c:v>30112</c:v>
                </c:pt>
                <c:pt idx="8">
                  <c:v>30113</c:v>
                </c:pt>
                <c:pt idx="9">
                  <c:v>30199</c:v>
                </c:pt>
              </c:numCache>
            </c:numRef>
          </c:cat>
          <c:val>
            <c:numRef>
              <c:f>Sheet1!$B$2:$B$11</c:f>
              <c:numCache>
                <c:formatCode>General</c:formatCode>
                <c:ptCount val="10"/>
                <c:pt idx="0">
                  <c:v>204.33</c:v>
                </c:pt>
                <c:pt idx="1">
                  <c:v>57.75</c:v>
                </c:pt>
                <c:pt idx="2">
                  <c:v>166.05</c:v>
                </c:pt>
                <c:pt idx="3">
                  <c:v>8.63</c:v>
                </c:pt>
                <c:pt idx="4">
                  <c:v>50.43</c:v>
                </c:pt>
                <c:pt idx="5">
                  <c:v>71.61</c:v>
                </c:pt>
                <c:pt idx="6">
                  <c:v>30.03</c:v>
                </c:pt>
                <c:pt idx="7">
                  <c:v>4.16</c:v>
                </c:pt>
                <c:pt idx="8">
                  <c:v>52.03</c:v>
                </c:pt>
                <c:pt idx="9">
                  <c:v>8.01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Sheet1!$A$2:$A$15</c:f>
              <c:numCache>
                <c:formatCode>General</c:formatCode>
                <c:ptCount val="14"/>
                <c:pt idx="0">
                  <c:v>30201</c:v>
                </c:pt>
                <c:pt idx="1">
                  <c:v>30202</c:v>
                </c:pt>
                <c:pt idx="2">
                  <c:v>30205</c:v>
                </c:pt>
                <c:pt idx="3">
                  <c:v>30206</c:v>
                </c:pt>
                <c:pt idx="4">
                  <c:v>30207</c:v>
                </c:pt>
                <c:pt idx="5">
                  <c:v>30209</c:v>
                </c:pt>
                <c:pt idx="6">
                  <c:v>30211</c:v>
                </c:pt>
                <c:pt idx="7">
                  <c:v>30215</c:v>
                </c:pt>
                <c:pt idx="8">
                  <c:v>30217</c:v>
                </c:pt>
                <c:pt idx="9">
                  <c:v>30226</c:v>
                </c:pt>
                <c:pt idx="10">
                  <c:v>30227</c:v>
                </c:pt>
                <c:pt idx="11">
                  <c:v>30228</c:v>
                </c:pt>
                <c:pt idx="12">
                  <c:v>30239</c:v>
                </c:pt>
                <c:pt idx="13">
                  <c:v>30299</c:v>
                </c:pt>
              </c:numCache>
            </c:numRef>
          </c:cat>
          <c:val>
            <c:numRef>
              <c:f>Sheet1!$B$2:$B$15</c:f>
              <c:numCache>
                <c:formatCode>General</c:formatCode>
                <c:ptCount val="14"/>
                <c:pt idx="0">
                  <c:v>22.24</c:v>
                </c:pt>
                <c:pt idx="1">
                  <c:v>4.14</c:v>
                </c:pt>
                <c:pt idx="2">
                  <c:v>1.51</c:v>
                </c:pt>
                <c:pt idx="3">
                  <c:v>1.83</c:v>
                </c:pt>
                <c:pt idx="4">
                  <c:v>4.84</c:v>
                </c:pt>
                <c:pt idx="5">
                  <c:v>0.16</c:v>
                </c:pt>
                <c:pt idx="6">
                  <c:v>17.65</c:v>
                </c:pt>
                <c:pt idx="7">
                  <c:v>1</c:v>
                </c:pt>
                <c:pt idx="8">
                  <c:v>2.5</c:v>
                </c:pt>
                <c:pt idx="9">
                  <c:v>3.6</c:v>
                </c:pt>
                <c:pt idx="10">
                  <c:v>46.64</c:v>
                </c:pt>
                <c:pt idx="11">
                  <c:v>8.67</c:v>
                </c:pt>
                <c:pt idx="12">
                  <c:v>18.62</c:v>
                </c:pt>
                <c:pt idx="13">
                  <c:v>25.3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Sheet1!$A$2:$A$4</c:f>
              <c:numCache>
                <c:formatCode>General</c:formatCode>
                <c:ptCount val="3"/>
                <c:pt idx="0">
                  <c:v>30304</c:v>
                </c:pt>
                <c:pt idx="1">
                  <c:v>30305</c:v>
                </c:pt>
                <c:pt idx="2">
                  <c:v>30310</c:v>
                </c:pt>
              </c:numCache>
            </c:numRef>
          </c:cat>
          <c:val>
            <c:numRef>
              <c:f>Sheet1!$B$2:$B$4</c:f>
              <c:numCache>
                <c:formatCode>General</c:formatCode>
                <c:ptCount val="3"/>
                <c:pt idx="0">
                  <c:v>13.18</c:v>
                </c:pt>
                <c:pt idx="1">
                  <c:v>72.88</c:v>
                </c:pt>
                <c:pt idx="2">
                  <c:v>1405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Sheet1!$A$2:$A$8</c:f>
              <c:strCache>
                <c:ptCount val="7"/>
                <c:pt idx="0">
                  <c:v>一般公共服务支出</c:v>
                </c:pt>
                <c:pt idx="1">
                  <c:v>社会保障和就业支出</c:v>
                </c:pt>
                <c:pt idx="2">
                  <c:v>城乡社区支出</c:v>
                </c:pt>
                <c:pt idx="3">
                  <c:v>农林水支出</c:v>
                </c:pt>
                <c:pt idx="4">
                  <c:v>住房保障支出</c:v>
                </c:pt>
                <c:pt idx="5">
                  <c:v>粮油物资储备支出</c:v>
                </c:pt>
                <c:pt idx="6">
                  <c:v>其他支出</c:v>
                </c:pt>
              </c:strCache>
            </c:strRef>
          </c:cat>
          <c:val>
            <c:numRef>
              <c:f>Sheet1!$B$2:$B$8</c:f>
              <c:numCache>
                <c:formatCode>General</c:formatCode>
                <c:ptCount val="7"/>
                <c:pt idx="0">
                  <c:v>914.47</c:v>
                </c:pt>
                <c:pt idx="1">
                  <c:v>68.06</c:v>
                </c:pt>
                <c:pt idx="2">
                  <c:v>107.78</c:v>
                </c:pt>
                <c:pt idx="3">
                  <c:v>782.63</c:v>
                </c:pt>
                <c:pt idx="4">
                  <c:v>49.79</c:v>
                </c:pt>
                <c:pt idx="5">
                  <c:v>240.72</c:v>
                </c:pt>
                <c:pt idx="6">
                  <c:v>668.44</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Sheet1!$A$2:$A$8</c:f>
              <c:strCache>
                <c:ptCount val="7"/>
                <c:pt idx="0">
                  <c:v>一般公共服务支出</c:v>
                </c:pt>
                <c:pt idx="1">
                  <c:v>社会保障和就业支出</c:v>
                </c:pt>
                <c:pt idx="2">
                  <c:v>城乡社区支出</c:v>
                </c:pt>
                <c:pt idx="3">
                  <c:v>农林水支出</c:v>
                </c:pt>
                <c:pt idx="4">
                  <c:v>住房保障支出</c:v>
                </c:pt>
                <c:pt idx="5">
                  <c:v>粮油物资储备支出</c:v>
                </c:pt>
                <c:pt idx="6">
                  <c:v>其他支出</c:v>
                </c:pt>
              </c:strCache>
            </c:strRef>
          </c:cat>
          <c:val>
            <c:numRef>
              <c:f>Sheet1!$C$2:$C$8</c:f>
              <c:numCache>
                <c:formatCode>General</c:formatCode>
                <c:ptCount val="7"/>
                <c:pt idx="0">
                  <c:v>678.58</c:v>
                </c:pt>
                <c:pt idx="1">
                  <c:v>1471.61</c:v>
                </c:pt>
                <c:pt idx="2">
                  <c:v>329.74</c:v>
                </c:pt>
                <c:pt idx="3">
                  <c:v>1111.25</c:v>
                </c:pt>
                <c:pt idx="4">
                  <c:v>52.03</c:v>
                </c:pt>
                <c:pt idx="5">
                  <c:v>69.85</c:v>
                </c:pt>
                <c:pt idx="6">
                  <c:v>1405.71</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sz="1100"/>
              <a:t>一般公共服务支出</a:t>
            </a:r>
            <a:endParaRPr lang="en-US" sz="1100"/>
          </a:p>
        </c:rich>
      </c:tx>
      <c:layout>
        <c:manualLayout>
          <c:xMode val="edge"/>
          <c:yMode val="edge"/>
          <c:x val="0.375124166311906"/>
          <c:y val="0.02369668246445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Sheet1!$A$2:$A$10</c:f>
              <c:numCache>
                <c:formatCode>General</c:formatCode>
                <c:ptCount val="9"/>
                <c:pt idx="0">
                  <c:v>2010401</c:v>
                </c:pt>
                <c:pt idx="1">
                  <c:v>2010402</c:v>
                </c:pt>
                <c:pt idx="2">
                  <c:v>2010408</c:v>
                </c:pt>
                <c:pt idx="3">
                  <c:v>2010450</c:v>
                </c:pt>
                <c:pt idx="4">
                  <c:v>2010499</c:v>
                </c:pt>
                <c:pt idx="5">
                  <c:v>2012999</c:v>
                </c:pt>
                <c:pt idx="6">
                  <c:v>2013701</c:v>
                </c:pt>
              </c:numCache>
            </c:numRef>
          </c:cat>
          <c:val>
            <c:numRef>
              <c:f>Sheet1!$B$2:$B$10</c:f>
              <c:numCache>
                <c:formatCode>General</c:formatCode>
                <c:ptCount val="9"/>
                <c:pt idx="0">
                  <c:v>522.82</c:v>
                </c:pt>
                <c:pt idx="1">
                  <c:v>35.93</c:v>
                </c:pt>
                <c:pt idx="2">
                  <c:v>3.76</c:v>
                </c:pt>
                <c:pt idx="3">
                  <c:v>10.65</c:v>
                </c:pt>
                <c:pt idx="4">
                  <c:v>66.25</c:v>
                </c:pt>
                <c:pt idx="5">
                  <c:v>8.67</c:v>
                </c:pt>
                <c:pt idx="6">
                  <c:v>30.5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Sheet1!$A$2:$A$4</c:f>
              <c:numCache>
                <c:formatCode>General</c:formatCode>
                <c:ptCount val="3"/>
                <c:pt idx="0">
                  <c:v>2080505</c:v>
                </c:pt>
                <c:pt idx="1">
                  <c:v>2080699</c:v>
                </c:pt>
              </c:numCache>
            </c:numRef>
          </c:cat>
          <c:val>
            <c:numRef>
              <c:f>Sheet1!$B$2:$B$4</c:f>
              <c:numCache>
                <c:formatCode>General</c:formatCode>
                <c:ptCount val="3"/>
                <c:pt idx="0">
                  <c:v>71.61</c:v>
                </c:pt>
                <c:pt idx="1">
                  <c:v>1400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城乡社区支出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2120806</c:v>
                </c:pt>
                <c:pt idx="1">
                  <c:v>2129999</c:v>
                </c:pt>
              </c:numCache>
            </c:numRef>
          </c:cat>
          <c:val>
            <c:numRef>
              <c:f>Sheet1!$B$2:$B$5</c:f>
              <c:numCache>
                <c:formatCode>General</c:formatCode>
                <c:ptCount val="4"/>
                <c:pt idx="0">
                  <c:v>29.74</c:v>
                </c:pt>
                <c:pt idx="1">
                  <c:v>300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农林水支出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2130122</c:v>
                </c:pt>
                <c:pt idx="1">
                  <c:v>2130504</c:v>
                </c:pt>
                <c:pt idx="2">
                  <c:v>2130999</c:v>
                </c:pt>
                <c:pt idx="3">
                  <c:v>2139999</c:v>
                </c:pt>
              </c:numCache>
            </c:numRef>
          </c:cat>
          <c:val>
            <c:numRef>
              <c:f>Sheet1!$B$2:$B$5</c:f>
              <c:numCache>
                <c:formatCode>General</c:formatCode>
                <c:ptCount val="4"/>
                <c:pt idx="0">
                  <c:v>177.54</c:v>
                </c:pt>
                <c:pt idx="1">
                  <c:v>637</c:v>
                </c:pt>
                <c:pt idx="2">
                  <c:v>5</c:v>
                </c:pt>
                <c:pt idx="3">
                  <c:v>291.71</c:v>
                </c:pt>
              </c:numCache>
            </c:numRef>
          </c:val>
        </c:ser>
        <c:ser>
          <c:idx val="1"/>
          <c:order val="1"/>
          <c:tx>
            <c:strRef>
              <c:f>Sheet1!#REF!</c:f>
              <c:strCache>
                <c:ptCount val="1"/>
                <c:pt idx="0">
                  <c:v/>
                </c:pt>
              </c:strCache>
            </c:strRef>
          </c:tx>
          <c:invertIfNegative val="0"/>
          <c:dLbls>
            <c:delete val="1"/>
          </c:dLbls>
          <c:cat>
            <c:numRef>
              <c:f>Sheet1!$A$2:$A$5</c:f>
              <c:numCache>
                <c:formatCode>General</c:formatCode>
                <c:ptCount val="4"/>
                <c:pt idx="0">
                  <c:v>2130122</c:v>
                </c:pt>
                <c:pt idx="1">
                  <c:v>2130504</c:v>
                </c:pt>
                <c:pt idx="2">
                  <c:v>2130999</c:v>
                </c:pt>
                <c:pt idx="3">
                  <c:v>2139999</c:v>
                </c:pt>
              </c:numCache>
            </c:numRef>
          </c:cat>
          <c:val>
            <c:numRef>
              <c:f>Sheet1!#REF!</c:f>
              <c:numCache>
                <c:formatCode>General</c:formatCode>
                <c:ptCount val="1"/>
                <c:pt idx="0">
                  <c:v>1</c:v>
                </c:pt>
              </c:numCache>
            </c:numRef>
          </c:val>
        </c:ser>
        <c:ser>
          <c:idx val="2"/>
          <c:order val="2"/>
          <c:tx>
            <c:strRef>
              <c:f>Sheet1!#REF!</c:f>
              <c:strCache>
                <c:ptCount val="1"/>
                <c:pt idx="0">
                  <c:v/>
                </c:pt>
              </c:strCache>
            </c:strRef>
          </c:tx>
          <c:invertIfNegative val="0"/>
          <c:dLbls>
            <c:delete val="1"/>
          </c:dLbls>
          <c:cat>
            <c:numRef>
              <c:f>Sheet1!$A$2:$A$5</c:f>
              <c:numCache>
                <c:formatCode>General</c:formatCode>
                <c:ptCount val="4"/>
                <c:pt idx="0">
                  <c:v>2130122</c:v>
                </c:pt>
                <c:pt idx="1">
                  <c:v>2130504</c:v>
                </c:pt>
                <c:pt idx="2">
                  <c:v>2130999</c:v>
                </c:pt>
                <c:pt idx="3">
                  <c:v>2139999</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52.03</c:v>
                </c:pt>
                <c:pt idx="1">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粮油物资储备支出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Sheet1!$A$2:$A$8</c:f>
              <c:numCache>
                <c:formatCode>General</c:formatCode>
                <c:ptCount val="7"/>
                <c:pt idx="0">
                  <c:v>2220105</c:v>
                </c:pt>
                <c:pt idx="1">
                  <c:v>2220106</c:v>
                </c:pt>
                <c:pt idx="2">
                  <c:v>2220403</c:v>
                </c:pt>
                <c:pt idx="3">
                  <c:v>2220499</c:v>
                </c:pt>
                <c:pt idx="4">
                  <c:v>2220511</c:v>
                </c:pt>
              </c:numCache>
            </c:numRef>
          </c:cat>
          <c:val>
            <c:numRef>
              <c:f>Sheet1!$B$2:$B$8</c:f>
              <c:numCache>
                <c:formatCode>General</c:formatCode>
                <c:ptCount val="7"/>
                <c:pt idx="0">
                  <c:v>1.28</c:v>
                </c:pt>
                <c:pt idx="1">
                  <c:v>5.87</c:v>
                </c:pt>
                <c:pt idx="2">
                  <c:v>52</c:v>
                </c:pt>
                <c:pt idx="3">
                  <c:v>8</c:v>
                </c:pt>
                <c:pt idx="4">
                  <c:v>2.7</c:v>
                </c:pt>
              </c:numCache>
            </c:numRef>
          </c:val>
        </c:ser>
        <c:ser>
          <c:idx val="1"/>
          <c:order val="1"/>
          <c:tx>
            <c:strRef>
              <c:f>Sheet1!$C$1</c:f>
              <c:strCache>
                <c:ptCount val="1"/>
                <c:pt idx="0">
                  <c:v>系列 2</c:v>
                </c:pt>
              </c:strCache>
            </c:strRef>
          </c:tx>
          <c:invertIfNegative val="0"/>
          <c:dLbls>
            <c:delete val="1"/>
          </c:dLbls>
          <c:cat>
            <c:numRef>
              <c:f>Sheet1!$A$2:$A$8</c:f>
              <c:numCache>
                <c:formatCode>General</c:formatCode>
                <c:ptCount val="7"/>
                <c:pt idx="0">
                  <c:v>2220105</c:v>
                </c:pt>
                <c:pt idx="1">
                  <c:v>2220106</c:v>
                </c:pt>
                <c:pt idx="2">
                  <c:v>2220403</c:v>
                </c:pt>
                <c:pt idx="3">
                  <c:v>2220499</c:v>
                </c:pt>
                <c:pt idx="4">
                  <c:v>2220511</c:v>
                </c:pt>
              </c:numCache>
            </c:numRef>
          </c:cat>
          <c:val>
            <c:numRef>
              <c:f>Sheet1!$C$2:$C$8</c:f>
              <c:numCache>
                <c:formatCode>General</c:formatCode>
                <c:ptCount val="7"/>
              </c:numCache>
            </c:numRef>
          </c:val>
        </c:ser>
        <c:ser>
          <c:idx val="2"/>
          <c:order val="2"/>
          <c:tx>
            <c:strRef>
              <c:f>Sheet1!$D$1</c:f>
              <c:strCache>
                <c:ptCount val="1"/>
                <c:pt idx="0">
                  <c:v>系列 3</c:v>
                </c:pt>
              </c:strCache>
            </c:strRef>
          </c:tx>
          <c:invertIfNegative val="0"/>
          <c:dLbls>
            <c:delete val="1"/>
          </c:dLbls>
          <c:cat>
            <c:numRef>
              <c:f>Sheet1!$A$2:$A$8</c:f>
              <c:numCache>
                <c:formatCode>General</c:formatCode>
                <c:ptCount val="7"/>
                <c:pt idx="0">
                  <c:v>2220105</c:v>
                </c:pt>
                <c:pt idx="1">
                  <c:v>2220106</c:v>
                </c:pt>
                <c:pt idx="2">
                  <c:v>2220403</c:v>
                </c:pt>
                <c:pt idx="3">
                  <c:v>2220499</c:v>
                </c:pt>
                <c:pt idx="4">
                  <c:v>2220511</c:v>
                </c:pt>
              </c:numCache>
            </c:numRef>
          </c:cat>
          <c:val>
            <c:numRef>
              <c:f>Sheet1!$D$2:$D$8</c:f>
              <c:numCache>
                <c:formatCode>General</c:formatCode>
                <c:ptCount val="7"/>
              </c:numCache>
            </c:numRef>
          </c:val>
        </c:ser>
        <c:ser>
          <c:idx val="3"/>
          <c:order val="3"/>
          <c:tx>
            <c:strRef>
              <c:f>Sheet1!$E$1</c:f>
              <c:strCache>
                <c:ptCount val="1"/>
                <c:pt idx="0">
                  <c:v/>
                </c:pt>
              </c:strCache>
            </c:strRef>
          </c:tx>
          <c:invertIfNegative val="0"/>
          <c:dLbls>
            <c:delete val="1"/>
          </c:dLbls>
          <c:cat>
            <c:numRef>
              <c:f>Sheet1!$A$2:$A$8</c:f>
              <c:numCache>
                <c:formatCode>General</c:formatCode>
                <c:ptCount val="7"/>
                <c:pt idx="0">
                  <c:v>2220105</c:v>
                </c:pt>
                <c:pt idx="1">
                  <c:v>2220106</c:v>
                </c:pt>
                <c:pt idx="2">
                  <c:v>2220403</c:v>
                </c:pt>
                <c:pt idx="3">
                  <c:v>2220499</c:v>
                </c:pt>
                <c:pt idx="4">
                  <c:v>2220511</c:v>
                </c:pt>
              </c:numCache>
            </c:numRef>
          </c:cat>
          <c:val>
            <c:numRef>
              <c:f>Sheet1!$E$2:$E$8</c:f>
              <c:numCache>
                <c:formatCode>General</c:formatCode>
                <c:ptCount val="7"/>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2299999</c:v>
                </c:pt>
              </c:numCache>
            </c:numRef>
          </c:cat>
          <c:val>
            <c:numRef>
              <c:f>Sheet1!$B$2:$B$3</c:f>
              <c:numCache>
                <c:formatCode>General</c:formatCode>
                <c:ptCount val="2"/>
                <c:pt idx="0">
                  <c:v>1405.71</c:v>
                </c:pt>
                <c:pt idx="1">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9</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2023-11-16T09:15:00Z</cp:lastPrinted>
  <dcterms:modified xsi:type="dcterms:W3CDTF">2023-11-23T04:11:08Z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AA25E674CF944FDEA053455799ADECE4</vt:lpwstr>
  </property>
</Properties>
</file>