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“三公”经费支出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情况说明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620" w:firstLineChars="200"/>
        <w:jc w:val="both"/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年我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县“三公”经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费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中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车辆购置及运行维护费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826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万元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其中公务车辆购置76万元、运行维护费750万元；公务用车购置4辆，公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务用车保有量314辆。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公务接待费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265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</w:rPr>
        <w:t>万元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shd w:val="clear" w:fill="FFFFFF"/>
          <w:lang w:val="en-US" w:eastAsia="zh-CN"/>
        </w:rPr>
        <w:t>国内公务接待批次2848次，国内公务接待人次34047人。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DgzYjgyNTVkYjc0MjcxOWVhYjZkMTRlYjBmN2EifQ=="/>
  </w:docVars>
  <w:rsids>
    <w:rsidRoot w:val="00000000"/>
    <w:rsid w:val="2DEF6585"/>
    <w:rsid w:val="57010C9C"/>
    <w:rsid w:val="57E7B0A6"/>
    <w:rsid w:val="5BFA38C1"/>
    <w:rsid w:val="7CB6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104</Characters>
  <Lines>0</Lines>
  <Paragraphs>0</Paragraphs>
  <TotalTime>20</TotalTime>
  <ScaleCrop>false</ScaleCrop>
  <LinksUpToDate>false</LinksUpToDate>
  <CharactersWithSpaces>104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2023-05-05T09:28:00Z</dcterms:created>
  <dc:creator>Administrator</dc:creator>
  <cp:lastModifiedBy>huawei</cp:lastModifiedBy>
  <dcterms:modified xsi:type="dcterms:W3CDTF">2023-11-09T18:09:01Z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932487CE6CE946458647825AB92D8AD4_12</vt:lpwstr>
  </property>
</Properties>
</file>